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D" w:rsidRPr="00062F00" w:rsidRDefault="00BD796D" w:rsidP="00327556">
      <w:pPr>
        <w:pStyle w:val="BodyText1"/>
        <w:spacing w:before="0" w:after="0"/>
        <w:ind w:right="-22"/>
      </w:pPr>
      <w:r w:rsidRPr="00BD796D">
        <w:rPr>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2D5091" w:rsidRDefault="008912B7" w:rsidP="002D5091">
      <w:pPr>
        <w:pStyle w:val="PolicyHeading1-Accessible"/>
      </w:pPr>
      <w:r>
        <w:t>APPOINTMENT AND FUNCTIONS OF AUTHORISED PERSONS</w:t>
      </w:r>
      <w:r w:rsidR="003D76DE">
        <w:t xml:space="preserve"> PROCEDURES</w:t>
      </w:r>
    </w:p>
    <w:p w:rsidR="00155F87" w:rsidRDefault="00155F87" w:rsidP="00CF404F">
      <w:pPr>
        <w:pStyle w:val="Policy-BodyText"/>
        <w:numPr>
          <w:ilvl w:val="0"/>
          <w:numId w:val="0"/>
        </w:numPr>
        <w:spacing w:line="240" w:lineRule="auto"/>
        <w:rPr>
          <w:rStyle w:val="ExplanatoryTextChar"/>
          <w:rFonts w:eastAsiaTheme="minorEastAsia"/>
          <w:sz w:val="24"/>
          <w:szCs w:val="24"/>
        </w:rPr>
      </w:pPr>
      <w:bookmarkStart w:id="0" w:name="_Toc419886018"/>
      <w:r w:rsidRPr="00155F87">
        <w:t xml:space="preserve">This procedure must be read in conjunction with </w:t>
      </w:r>
      <w:bookmarkEnd w:id="0"/>
      <w:r w:rsidR="005C0CB3">
        <w:rPr>
          <w:rStyle w:val="ExplanatoryTextChar"/>
          <w:rFonts w:eastAsiaTheme="minorEastAsia"/>
          <w:b w:val="0"/>
          <w:sz w:val="24"/>
          <w:szCs w:val="24"/>
        </w:rPr>
        <w:t xml:space="preserve">the </w:t>
      </w:r>
      <w:r w:rsidR="005C0CB3" w:rsidRPr="005C0CB3">
        <w:rPr>
          <w:rStyle w:val="ExplanatoryTextChar"/>
          <w:rFonts w:eastAsiaTheme="minorEastAsia"/>
          <w:b w:val="0"/>
          <w:i/>
          <w:sz w:val="24"/>
          <w:szCs w:val="24"/>
        </w:rPr>
        <w:t>Appointment and Functions of Authorised Persons</w:t>
      </w:r>
      <w:r w:rsidR="005C0CB3">
        <w:rPr>
          <w:rStyle w:val="ExplanatoryTextChar"/>
          <w:rFonts w:eastAsiaTheme="minorEastAsia"/>
          <w:b w:val="0"/>
          <w:sz w:val="24"/>
          <w:szCs w:val="24"/>
        </w:rPr>
        <w:t xml:space="preserve"> </w:t>
      </w:r>
      <w:r w:rsidR="003901E9">
        <w:rPr>
          <w:rStyle w:val="ExplanatoryTextChar"/>
          <w:rFonts w:eastAsiaTheme="minorEastAsia"/>
          <w:b w:val="0"/>
          <w:sz w:val="24"/>
          <w:szCs w:val="24"/>
        </w:rPr>
        <w:t>P</w:t>
      </w:r>
      <w:r w:rsidR="005C0CB3">
        <w:rPr>
          <w:rStyle w:val="ExplanatoryTextChar"/>
          <w:rFonts w:eastAsiaTheme="minorEastAsia"/>
          <w:b w:val="0"/>
          <w:sz w:val="24"/>
          <w:szCs w:val="24"/>
        </w:rPr>
        <w:t>olicy.</w:t>
      </w:r>
    </w:p>
    <w:p w:rsidR="007B0AF3" w:rsidRDefault="007B0AF3" w:rsidP="007B0AF3">
      <w:pPr>
        <w:pStyle w:val="PolicyHeading2-Accessible"/>
      </w:pPr>
      <w:bookmarkStart w:id="1" w:name="_Toc419889959"/>
      <w:r>
        <w:t>Overview</w:t>
      </w:r>
      <w:bookmarkEnd w:id="1"/>
    </w:p>
    <w:p w:rsidR="007B0AF3" w:rsidRPr="007B0AF3" w:rsidRDefault="008912B7" w:rsidP="00605446">
      <w:pPr>
        <w:pStyle w:val="Policy-BodyText"/>
        <w:spacing w:line="240" w:lineRule="auto"/>
        <w:ind w:left="567" w:hanging="567"/>
      </w:pPr>
      <w:r>
        <w:t xml:space="preserve">These procedures set out the requirements in relation to appointing authorised persons who carry out specific statutory functions on behalf of the </w:t>
      </w:r>
      <w:r w:rsidR="005925EE">
        <w:t xml:space="preserve">Education and Training </w:t>
      </w:r>
      <w:r>
        <w:t>Directorate</w:t>
      </w:r>
      <w:r w:rsidR="005C0CB3">
        <w:t xml:space="preserve"> </w:t>
      </w:r>
      <w:r w:rsidR="005925EE">
        <w:t xml:space="preserve">(the Directorate) </w:t>
      </w:r>
      <w:r w:rsidR="005C0CB3">
        <w:t>and how their powers are exercised</w:t>
      </w:r>
      <w:r w:rsidR="007B0AF3">
        <w:t>.</w:t>
      </w:r>
    </w:p>
    <w:p w:rsidR="007B0AF3" w:rsidRDefault="007B0AF3" w:rsidP="007B0AF3">
      <w:pPr>
        <w:pStyle w:val="PolicyHeading2-Accessible"/>
      </w:pPr>
      <w:bookmarkStart w:id="2" w:name="_Toc419889960"/>
      <w:r>
        <w:t>Rationale</w:t>
      </w:r>
      <w:bookmarkEnd w:id="2"/>
    </w:p>
    <w:p w:rsidR="007B0AF3" w:rsidRPr="007B0AF3" w:rsidRDefault="008912B7" w:rsidP="003A7C34">
      <w:pPr>
        <w:pStyle w:val="Policy-BodyText"/>
        <w:spacing w:line="240" w:lineRule="auto"/>
        <w:ind w:left="567" w:hanging="567"/>
      </w:pPr>
      <w:r>
        <w:t xml:space="preserve">The </w:t>
      </w:r>
      <w:r w:rsidRPr="008912B7">
        <w:rPr>
          <w:i/>
        </w:rPr>
        <w:t>Education Act 2004</w:t>
      </w:r>
      <w:r w:rsidR="00CB6D9A">
        <w:rPr>
          <w:i/>
        </w:rPr>
        <w:t xml:space="preserve"> </w:t>
      </w:r>
      <w:r w:rsidR="00345CCA">
        <w:t xml:space="preserve">(the Act) </w:t>
      </w:r>
      <w:r>
        <w:t>establishes authorised persons to undertake functions in relation to government and non-government schools and home education.</w:t>
      </w:r>
    </w:p>
    <w:p w:rsidR="007B0AF3" w:rsidRDefault="007B0AF3" w:rsidP="007B0AF3">
      <w:pPr>
        <w:pStyle w:val="PolicyHeading2-Accessible"/>
      </w:pPr>
      <w:bookmarkStart w:id="3" w:name="_Toc419889961"/>
      <w:r>
        <w:t>Procedures</w:t>
      </w:r>
      <w:bookmarkEnd w:id="3"/>
    </w:p>
    <w:p w:rsidR="00345CCA" w:rsidRDefault="00345CCA" w:rsidP="00605446">
      <w:pPr>
        <w:pStyle w:val="Policy-BodyText"/>
        <w:spacing w:line="240" w:lineRule="auto"/>
      </w:pPr>
      <w:r>
        <w:t xml:space="preserve">The Directorate </w:t>
      </w:r>
      <w:r w:rsidR="00CB6D9A">
        <w:t>will</w:t>
      </w:r>
      <w:r>
        <w:t xml:space="preserve"> keep a register of all current authorised persons.</w:t>
      </w:r>
      <w:r w:rsidR="00CB6D9A">
        <w:t xml:space="preserve">  </w:t>
      </w:r>
      <w:r>
        <w:t xml:space="preserve">The register </w:t>
      </w:r>
      <w:r w:rsidR="00CB6D9A">
        <w:t>will</w:t>
      </w:r>
      <w:r w:rsidR="00FF12FB">
        <w:t>:</w:t>
      </w:r>
      <w:r>
        <w:t xml:space="preserve"> </w:t>
      </w:r>
    </w:p>
    <w:p w:rsidR="00345CCA" w:rsidRDefault="00345CCA" w:rsidP="00605446">
      <w:pPr>
        <w:pStyle w:val="Policy-BodyText"/>
        <w:numPr>
          <w:ilvl w:val="0"/>
          <w:numId w:val="8"/>
        </w:numPr>
        <w:spacing w:line="240" w:lineRule="auto"/>
        <w:ind w:left="993" w:hanging="426"/>
      </w:pPr>
      <w:r>
        <w:t xml:space="preserve">record </w:t>
      </w:r>
      <w:r w:rsidR="00CB6D9A">
        <w:t>the</w:t>
      </w:r>
      <w:r>
        <w:t xml:space="preserve"> provisions of the Act </w:t>
      </w:r>
      <w:r w:rsidR="00CB6D9A">
        <w:t xml:space="preserve">under which </w:t>
      </w:r>
      <w:r>
        <w:t>a person is appointed</w:t>
      </w:r>
    </w:p>
    <w:p w:rsidR="00345CCA" w:rsidRPr="00345CCA" w:rsidRDefault="00345CCA" w:rsidP="00605446">
      <w:pPr>
        <w:pStyle w:val="Policy-BodyText"/>
        <w:numPr>
          <w:ilvl w:val="0"/>
          <w:numId w:val="8"/>
        </w:numPr>
        <w:spacing w:line="240" w:lineRule="auto"/>
        <w:ind w:left="993" w:hanging="426"/>
      </w:pPr>
      <w:r>
        <w:t>include details of receipt and return of an identity card.</w:t>
      </w:r>
    </w:p>
    <w:p w:rsidR="00F0779E" w:rsidRPr="00F0779E" w:rsidRDefault="00F0779E" w:rsidP="00967E3F">
      <w:pPr>
        <w:pStyle w:val="PolicySubHeading3-Accessible"/>
      </w:pPr>
      <w:r>
        <w:t>Appointment</w:t>
      </w:r>
    </w:p>
    <w:p w:rsidR="00335933" w:rsidRDefault="00335933" w:rsidP="00605446">
      <w:pPr>
        <w:pStyle w:val="Policy-BodyText"/>
        <w:spacing w:line="240" w:lineRule="auto"/>
        <w:ind w:left="567" w:hanging="567"/>
      </w:pPr>
      <w:r>
        <w:t>An authorised person can be a Directorate employee, an employee of another ACT Government agency or a person outside ACT Government.</w:t>
      </w:r>
    </w:p>
    <w:p w:rsidR="003A7C34" w:rsidRDefault="003A7C34" w:rsidP="00605446">
      <w:pPr>
        <w:pStyle w:val="Policy-BodyText"/>
        <w:spacing w:line="240" w:lineRule="auto"/>
        <w:ind w:left="567" w:hanging="567"/>
      </w:pPr>
      <w:r>
        <w:t>The Act sets out mandatory appointment criteria.  Appointees must:</w:t>
      </w:r>
    </w:p>
    <w:p w:rsidR="003A7C34" w:rsidRDefault="003A7C34" w:rsidP="00605446">
      <w:pPr>
        <w:pStyle w:val="Policy-BodyText"/>
        <w:numPr>
          <w:ilvl w:val="0"/>
          <w:numId w:val="5"/>
        </w:numPr>
        <w:spacing w:line="240" w:lineRule="auto"/>
        <w:ind w:left="993" w:hanging="426"/>
      </w:pPr>
      <w:r>
        <w:t>be an Australian citizen or permanent resident of Australia</w:t>
      </w:r>
    </w:p>
    <w:p w:rsidR="003A7C34" w:rsidRDefault="003A7C34" w:rsidP="00605446">
      <w:pPr>
        <w:pStyle w:val="Policy-BodyText"/>
        <w:numPr>
          <w:ilvl w:val="0"/>
          <w:numId w:val="5"/>
        </w:numPr>
        <w:spacing w:line="240" w:lineRule="auto"/>
        <w:ind w:left="993" w:hanging="426"/>
      </w:pPr>
      <w:r>
        <w:t>be considered by the Director-General as a suitable person having regard in particular to any convictions and the person’s employment record</w:t>
      </w:r>
    </w:p>
    <w:p w:rsidR="003A7C34" w:rsidRDefault="003A7C34" w:rsidP="00605446">
      <w:pPr>
        <w:pStyle w:val="Policy-BodyText"/>
        <w:numPr>
          <w:ilvl w:val="0"/>
          <w:numId w:val="5"/>
        </w:numPr>
        <w:spacing w:line="240" w:lineRule="auto"/>
        <w:ind w:left="993" w:hanging="426"/>
      </w:pPr>
      <w:r>
        <w:t>satisfactorily complete adequate training relevant to their appointment.</w:t>
      </w:r>
    </w:p>
    <w:p w:rsidR="003A7C34" w:rsidRDefault="003A7C34" w:rsidP="00605446">
      <w:pPr>
        <w:pStyle w:val="Policy-BodyText"/>
        <w:spacing w:line="240" w:lineRule="auto"/>
        <w:ind w:left="567" w:hanging="567"/>
      </w:pPr>
      <w:r>
        <w:t xml:space="preserve">Criminal history checks are mandatory unless a check has been completed in the past 12 months.  </w:t>
      </w:r>
    </w:p>
    <w:p w:rsidR="00335933" w:rsidRDefault="00F0779E" w:rsidP="00605446">
      <w:pPr>
        <w:pStyle w:val="Policy-BodyText"/>
        <w:spacing w:line="240" w:lineRule="auto"/>
        <w:ind w:left="567" w:hanging="567"/>
      </w:pPr>
      <w:r>
        <w:t xml:space="preserve">An authorised person may be appointed for a period of up to three years at the discretion of the Director-General. </w:t>
      </w:r>
      <w:r w:rsidR="00335933">
        <w:t>An appointment’s duration must be set out in the instrument of authorisation.</w:t>
      </w:r>
    </w:p>
    <w:p w:rsidR="005925EE" w:rsidRDefault="00A143ED" w:rsidP="00605446">
      <w:pPr>
        <w:pStyle w:val="Policy-BodyText"/>
        <w:numPr>
          <w:ilvl w:val="0"/>
          <w:numId w:val="12"/>
        </w:numPr>
        <w:spacing w:line="240" w:lineRule="auto"/>
        <w:ind w:left="993" w:hanging="426"/>
      </w:pPr>
      <w:r>
        <w:t>a</w:t>
      </w:r>
      <w:r w:rsidR="005925EE">
        <w:t>n authorised person who is a Directorate employee may be appointed for a period of up to three years. This appointment may be reviewed on an annual basis or as-required basis.</w:t>
      </w:r>
    </w:p>
    <w:p w:rsidR="00A143ED" w:rsidRDefault="00A143ED" w:rsidP="00605446">
      <w:pPr>
        <w:pStyle w:val="Policy-BodyText"/>
        <w:numPr>
          <w:ilvl w:val="0"/>
          <w:numId w:val="12"/>
        </w:numPr>
        <w:spacing w:line="240" w:lineRule="auto"/>
        <w:ind w:left="993" w:hanging="426"/>
      </w:pPr>
      <w:r>
        <w:t>the appointment of a person who is external to the government will generally be made to fulfil a specific purpose and will be for a specific (short-term) timeframe.</w:t>
      </w:r>
    </w:p>
    <w:p w:rsidR="00335933" w:rsidRDefault="00335933" w:rsidP="00605446">
      <w:pPr>
        <w:pStyle w:val="Policy-BodyText"/>
        <w:spacing w:line="240" w:lineRule="auto"/>
        <w:ind w:left="567" w:hanging="567"/>
      </w:pPr>
      <w:r>
        <w:t>The Director-General may limit an authorised person</w:t>
      </w:r>
      <w:r w:rsidR="003713AE">
        <w:t xml:space="preserve">’s role to specific functions. </w:t>
      </w:r>
      <w:r>
        <w:t>This will be set out in the instrument of authorisation.</w:t>
      </w:r>
    </w:p>
    <w:p w:rsidR="005925EE" w:rsidRDefault="005925EE" w:rsidP="00605446">
      <w:pPr>
        <w:pStyle w:val="Policy-BodyText"/>
        <w:spacing w:line="240" w:lineRule="auto"/>
        <w:ind w:left="567" w:hanging="567"/>
      </w:pPr>
      <w:r>
        <w:t>The Director-General may appoint additional authorised persons on an as-required basis, for the period of time stated on the instrument of authorisation.</w:t>
      </w:r>
    </w:p>
    <w:p w:rsidR="00CB6D9A" w:rsidRPr="00CB6D9A" w:rsidRDefault="00CB6D9A" w:rsidP="00967E3F">
      <w:pPr>
        <w:pStyle w:val="PolicySubHeading3-Accessible"/>
      </w:pPr>
      <w:r>
        <w:t>ACT Government employees</w:t>
      </w:r>
    </w:p>
    <w:p w:rsidR="00CB6D9A" w:rsidRDefault="00CB6D9A" w:rsidP="00605446">
      <w:pPr>
        <w:pStyle w:val="Policy-BodyText"/>
        <w:spacing w:line="240" w:lineRule="auto"/>
        <w:ind w:left="567" w:hanging="567"/>
      </w:pPr>
      <w:r>
        <w:t>The Director-General may appoint individuals as authorised persons or identify positions within the agency that require the holder to be appointed an authorised person.</w:t>
      </w:r>
    </w:p>
    <w:p w:rsidR="00AD5240" w:rsidRDefault="00AD5240" w:rsidP="00605446">
      <w:pPr>
        <w:pStyle w:val="Policy-BodyText"/>
        <w:spacing w:line="240" w:lineRule="auto"/>
        <w:ind w:left="567" w:hanging="567"/>
      </w:pPr>
      <w:r>
        <w:t>A person appointed in a particular position who moves into another position, either temporary or permanent, which requires the holder of the position to be an authorised person, can retain the status of an authorised person until the normal expiry date.</w:t>
      </w:r>
    </w:p>
    <w:p w:rsidR="005925EE" w:rsidRPr="005925EE" w:rsidRDefault="005925EE" w:rsidP="00967E3F">
      <w:pPr>
        <w:pStyle w:val="PolicySubHeading3-Accessible"/>
      </w:pPr>
      <w:r w:rsidRPr="005925EE">
        <w:lastRenderedPageBreak/>
        <w:t>Appointment of non-ACT Government persons</w:t>
      </w:r>
    </w:p>
    <w:p w:rsidR="00F0779E" w:rsidRDefault="00F0779E" w:rsidP="00605446">
      <w:pPr>
        <w:pStyle w:val="Policy-BodyText"/>
        <w:spacing w:line="240" w:lineRule="auto"/>
        <w:ind w:left="567" w:hanging="567"/>
      </w:pPr>
      <w:r>
        <w:t xml:space="preserve">When appointing a non-ACT Government </w:t>
      </w:r>
      <w:r w:rsidR="005925EE">
        <w:t>person</w:t>
      </w:r>
      <w:r>
        <w:t xml:space="preserve"> as an authorised person (government), the Director-General must be satisfied that the eligibility criteria has been complied with, including that the person has completed relevant training.</w:t>
      </w:r>
    </w:p>
    <w:p w:rsidR="00F0779E" w:rsidRPr="00F0779E" w:rsidRDefault="00F0779E" w:rsidP="00967E3F">
      <w:pPr>
        <w:pStyle w:val="PolicySubHeading3-Accessible"/>
      </w:pPr>
      <w:r w:rsidRPr="00F0779E">
        <w:t>Training</w:t>
      </w:r>
    </w:p>
    <w:p w:rsidR="00F0779E" w:rsidRDefault="00F0779E" w:rsidP="00605446">
      <w:pPr>
        <w:pStyle w:val="Policy-BodyText"/>
        <w:spacing w:line="240" w:lineRule="auto"/>
        <w:ind w:left="567" w:hanging="567"/>
      </w:pPr>
      <w:r>
        <w:t>Persons must have satisfactorily completed adequate training to exercise the powers of an authorised person proposed to be given to that person.</w:t>
      </w:r>
    </w:p>
    <w:p w:rsidR="00F0779E" w:rsidRDefault="00F0779E" w:rsidP="00605446">
      <w:pPr>
        <w:pStyle w:val="Policy-BodyText"/>
        <w:spacing w:line="240" w:lineRule="auto"/>
        <w:ind w:left="567" w:hanging="567"/>
      </w:pPr>
      <w:r>
        <w:t>Training must be completed by persons nominated to be authorised persons prior to the appointment being made.</w:t>
      </w:r>
    </w:p>
    <w:p w:rsidR="00F0779E" w:rsidRDefault="003F26B2" w:rsidP="00605446">
      <w:pPr>
        <w:pStyle w:val="Policy-BodyText"/>
        <w:spacing w:line="240" w:lineRule="auto"/>
        <w:ind w:left="567" w:hanging="567"/>
      </w:pPr>
      <w:r>
        <w:t>The Directorate or another agency will provide t</w:t>
      </w:r>
      <w:r w:rsidR="00F0779E">
        <w:t xml:space="preserve">raining </w:t>
      </w:r>
      <w:r>
        <w:t>for authorised persons.</w:t>
      </w:r>
    </w:p>
    <w:p w:rsidR="00AD5240" w:rsidRDefault="00AD5240" w:rsidP="00967E3F">
      <w:pPr>
        <w:pStyle w:val="PolicySubHeading3-Accessible"/>
      </w:pPr>
      <w:r>
        <w:t>Identity card</w:t>
      </w:r>
    </w:p>
    <w:p w:rsidR="00AD5240" w:rsidRDefault="00AD5240" w:rsidP="00605446">
      <w:pPr>
        <w:pStyle w:val="Policy-BodyText"/>
        <w:spacing w:line="240" w:lineRule="auto"/>
        <w:ind w:left="567" w:hanging="567"/>
      </w:pPr>
      <w:r>
        <w:t>The Directorate will provide authorised persons (government) and authorised persons (non-government) with an identity card that states the person is an authorised person for the Act or stated provision/s of the act.</w:t>
      </w:r>
    </w:p>
    <w:p w:rsidR="00345CCA" w:rsidRDefault="00345CCA" w:rsidP="00605446">
      <w:pPr>
        <w:pStyle w:val="Policy-BodyText"/>
        <w:spacing w:line="240" w:lineRule="auto"/>
        <w:ind w:left="567" w:hanging="567"/>
      </w:pPr>
      <w:r>
        <w:t>The identity card must show, as required by section 68(1) and section 120(1) of the Act</w:t>
      </w:r>
    </w:p>
    <w:p w:rsidR="00345CCA" w:rsidRDefault="00605446" w:rsidP="00605446">
      <w:pPr>
        <w:pStyle w:val="Policy-BodyText"/>
        <w:numPr>
          <w:ilvl w:val="0"/>
          <w:numId w:val="6"/>
        </w:numPr>
        <w:spacing w:line="240" w:lineRule="auto"/>
      </w:pPr>
      <w:r>
        <w:t>a</w:t>
      </w:r>
      <w:r w:rsidR="00345CCA">
        <w:t xml:space="preserve"> recent photograph of the person</w:t>
      </w:r>
    </w:p>
    <w:p w:rsidR="00345CCA" w:rsidRDefault="00605446" w:rsidP="00605446">
      <w:pPr>
        <w:pStyle w:val="Policy-BodyText"/>
        <w:numPr>
          <w:ilvl w:val="0"/>
          <w:numId w:val="6"/>
        </w:numPr>
        <w:spacing w:line="240" w:lineRule="auto"/>
      </w:pPr>
      <w:r>
        <w:t>t</w:t>
      </w:r>
      <w:r w:rsidR="00345CCA">
        <w:t>he name of the person</w:t>
      </w:r>
    </w:p>
    <w:p w:rsidR="00345CCA" w:rsidRDefault="00605446" w:rsidP="00605446">
      <w:pPr>
        <w:pStyle w:val="Policy-BodyText"/>
        <w:numPr>
          <w:ilvl w:val="0"/>
          <w:numId w:val="6"/>
        </w:numPr>
        <w:spacing w:line="240" w:lineRule="auto"/>
      </w:pPr>
      <w:r>
        <w:t>t</w:t>
      </w:r>
      <w:r w:rsidR="00345CCA">
        <w:t>he date of issue of the card (as stated on the instrument of authorisation)</w:t>
      </w:r>
    </w:p>
    <w:p w:rsidR="00345CCA" w:rsidRDefault="00605446" w:rsidP="00605446">
      <w:pPr>
        <w:pStyle w:val="Policy-BodyText"/>
        <w:numPr>
          <w:ilvl w:val="0"/>
          <w:numId w:val="6"/>
        </w:numPr>
        <w:spacing w:line="240" w:lineRule="auto"/>
      </w:pPr>
      <w:r>
        <w:t>t</w:t>
      </w:r>
      <w:r w:rsidR="00345CCA">
        <w:t>he expiry date of the card (as stated on the instrument of authorisation)</w:t>
      </w:r>
    </w:p>
    <w:p w:rsidR="00345CCA" w:rsidRDefault="00605446" w:rsidP="00605446">
      <w:pPr>
        <w:pStyle w:val="Policy-BodyText"/>
        <w:numPr>
          <w:ilvl w:val="0"/>
          <w:numId w:val="6"/>
        </w:numPr>
        <w:spacing w:line="240" w:lineRule="auto"/>
      </w:pPr>
      <w:proofErr w:type="gramStart"/>
      <w:r>
        <w:t>t</w:t>
      </w:r>
      <w:r w:rsidR="00345CCA">
        <w:t>he</w:t>
      </w:r>
      <w:proofErr w:type="gramEnd"/>
      <w:r w:rsidR="00345CCA">
        <w:t xml:space="preserve"> specific parts of the Act under which the person is authorised.</w:t>
      </w:r>
    </w:p>
    <w:p w:rsidR="00345CCA" w:rsidRDefault="00345CCA" w:rsidP="00605446">
      <w:pPr>
        <w:pStyle w:val="Policy-BodyText"/>
        <w:spacing w:line="240" w:lineRule="auto"/>
        <w:ind w:left="567" w:hanging="567"/>
      </w:pPr>
      <w:r>
        <w:t>An authorised person must acknowledge receipt of an identity card and be provided with an acknowledgement on return of the card.</w:t>
      </w:r>
    </w:p>
    <w:p w:rsidR="00345CCA" w:rsidRDefault="00345CCA" w:rsidP="00605446">
      <w:pPr>
        <w:pStyle w:val="Policy-BodyText"/>
        <w:spacing w:line="240" w:lineRule="auto"/>
        <w:ind w:left="567" w:hanging="567"/>
      </w:pPr>
      <w:r>
        <w:t>As required in sections (69(1) and (2) (government) and 121(1) and (2) non-government, and authorised person:</w:t>
      </w:r>
    </w:p>
    <w:p w:rsidR="00345CCA" w:rsidRDefault="00345CCA" w:rsidP="00605446">
      <w:pPr>
        <w:pStyle w:val="Policy-BodyText"/>
        <w:numPr>
          <w:ilvl w:val="0"/>
          <w:numId w:val="7"/>
        </w:numPr>
        <w:spacing w:line="240" w:lineRule="auto"/>
      </w:pPr>
      <w:r>
        <w:t>must show their identity card to the principal of a school prior to entering the school and exercising any powers under the legislation</w:t>
      </w:r>
    </w:p>
    <w:p w:rsidR="00345CCA" w:rsidRDefault="00345CCA" w:rsidP="00605446">
      <w:pPr>
        <w:pStyle w:val="Policy-BodyText"/>
        <w:numPr>
          <w:ilvl w:val="0"/>
          <w:numId w:val="7"/>
        </w:numPr>
        <w:spacing w:line="240" w:lineRule="auto"/>
      </w:pPr>
      <w:proofErr w:type="gramStart"/>
      <w:r>
        <w:t>must</w:t>
      </w:r>
      <w:proofErr w:type="gramEnd"/>
      <w:r>
        <w:t xml:space="preserve"> not remain in a school if they fa</w:t>
      </w:r>
      <w:r w:rsidR="008D4E7F">
        <w:t>i</w:t>
      </w:r>
      <w:r>
        <w:t>l to show an identity card when asked by the principal of the school.</w:t>
      </w:r>
    </w:p>
    <w:p w:rsidR="00226E90" w:rsidRPr="00226E90" w:rsidRDefault="00605446" w:rsidP="00605446">
      <w:pPr>
        <w:pStyle w:val="Policy-BodyText"/>
        <w:numPr>
          <w:ilvl w:val="0"/>
          <w:numId w:val="7"/>
        </w:numPr>
        <w:spacing w:line="240" w:lineRule="auto"/>
      </w:pPr>
      <w:proofErr w:type="gramStart"/>
      <w:r>
        <w:t>a</w:t>
      </w:r>
      <w:r w:rsidR="00226E90" w:rsidRPr="00226E90">
        <w:t>s</w:t>
      </w:r>
      <w:proofErr w:type="gramEnd"/>
      <w:r w:rsidR="00226E90" w:rsidRPr="00226E90">
        <w:t xml:space="preserve"> required under section 68(2) and section 120(2) of the Act, an authorised person must return their identity card within 21 days of cessation of appointment. Failure to do so is a strict liability offence and may incur</w:t>
      </w:r>
      <w:r w:rsidR="00226E90">
        <w:t xml:space="preserve"> a fine.</w:t>
      </w:r>
    </w:p>
    <w:p w:rsidR="00345CCA" w:rsidRDefault="00345CCA" w:rsidP="00967E3F">
      <w:pPr>
        <w:pStyle w:val="PolicySubHeading3-Accessible"/>
      </w:pPr>
      <w:r>
        <w:t>Cessation of appointment</w:t>
      </w:r>
    </w:p>
    <w:p w:rsidR="00226E90" w:rsidRPr="00226E90" w:rsidRDefault="00226E90" w:rsidP="00605446">
      <w:pPr>
        <w:pStyle w:val="Policy-BodyText"/>
        <w:spacing w:line="240" w:lineRule="auto"/>
        <w:ind w:left="567" w:hanging="567"/>
      </w:pPr>
      <w:bookmarkStart w:id="4" w:name="_Toc419889963"/>
      <w:bookmarkStart w:id="5" w:name="_Toc419889962"/>
      <w:r w:rsidRPr="00226E90">
        <w:t xml:space="preserve">An appointment as an authorised person ceases when: </w:t>
      </w:r>
    </w:p>
    <w:p w:rsidR="00226E90" w:rsidRPr="00226E90" w:rsidRDefault="00226E90" w:rsidP="00605446">
      <w:pPr>
        <w:pStyle w:val="Policy-BodyText"/>
        <w:numPr>
          <w:ilvl w:val="0"/>
          <w:numId w:val="9"/>
        </w:numPr>
        <w:spacing w:line="240" w:lineRule="auto"/>
      </w:pPr>
      <w:r w:rsidRPr="00226E90">
        <w:t xml:space="preserve">the expiry date on the instrument of appointment is reached </w:t>
      </w:r>
    </w:p>
    <w:p w:rsidR="00226E90" w:rsidRPr="00226E90" w:rsidRDefault="00226E90" w:rsidP="00605446">
      <w:pPr>
        <w:pStyle w:val="Policy-BodyText"/>
        <w:numPr>
          <w:ilvl w:val="0"/>
          <w:numId w:val="9"/>
        </w:numPr>
        <w:spacing w:line="240" w:lineRule="auto"/>
      </w:pPr>
      <w:proofErr w:type="gramStart"/>
      <w:r w:rsidRPr="00226E90">
        <w:t>the</w:t>
      </w:r>
      <w:proofErr w:type="gramEnd"/>
      <w:r w:rsidRPr="00226E90">
        <w:t xml:space="preserve"> Director-General revokes the appointment. </w:t>
      </w:r>
    </w:p>
    <w:p w:rsidR="00226E90" w:rsidRPr="00226E90" w:rsidRDefault="00226E90" w:rsidP="00605446">
      <w:pPr>
        <w:pStyle w:val="Policy-BodyText"/>
        <w:spacing w:line="240" w:lineRule="auto"/>
        <w:ind w:left="567" w:hanging="567"/>
      </w:pPr>
      <w:r w:rsidRPr="00226E90">
        <w:t xml:space="preserve">The Director-General </w:t>
      </w:r>
      <w:r w:rsidR="00A143ED">
        <w:t>will</w:t>
      </w:r>
      <w:r w:rsidRPr="00226E90">
        <w:t xml:space="preserve"> revoke an appointment of an authorised person when: </w:t>
      </w:r>
    </w:p>
    <w:p w:rsidR="00226E90" w:rsidRPr="00226E90" w:rsidRDefault="00226E90" w:rsidP="00605446">
      <w:pPr>
        <w:pStyle w:val="Policy-BodyText"/>
        <w:numPr>
          <w:ilvl w:val="0"/>
          <w:numId w:val="10"/>
        </w:numPr>
        <w:spacing w:line="240" w:lineRule="auto"/>
      </w:pPr>
      <w:r w:rsidRPr="00226E90">
        <w:t xml:space="preserve">a person no longer meets the conditions set out in section 67 or section 119 of the Act, including if the Director-General determines that a person is no longer a suitable person to be appointed </w:t>
      </w:r>
    </w:p>
    <w:p w:rsidR="00226E90" w:rsidRPr="00226E90" w:rsidRDefault="00226E90" w:rsidP="00605446">
      <w:pPr>
        <w:pStyle w:val="Policy-BodyText"/>
        <w:numPr>
          <w:ilvl w:val="0"/>
          <w:numId w:val="10"/>
        </w:numPr>
        <w:spacing w:line="240" w:lineRule="auto"/>
      </w:pPr>
      <w:r w:rsidRPr="00226E90">
        <w:t xml:space="preserve">there is no longer a need for the appointment </w:t>
      </w:r>
    </w:p>
    <w:p w:rsidR="00226E90" w:rsidRPr="00226E90" w:rsidRDefault="00226E90" w:rsidP="00605446">
      <w:pPr>
        <w:pStyle w:val="Policy-BodyText"/>
        <w:numPr>
          <w:ilvl w:val="0"/>
          <w:numId w:val="10"/>
        </w:numPr>
        <w:spacing w:line="240" w:lineRule="auto"/>
      </w:pPr>
      <w:proofErr w:type="gramStart"/>
      <w:r w:rsidRPr="00226E90">
        <w:t>the</w:t>
      </w:r>
      <w:proofErr w:type="gramEnd"/>
      <w:r w:rsidRPr="00226E90">
        <w:t xml:space="preserve"> person is no longer employed in a position appropriate to perform the duties of an authorised person. </w:t>
      </w:r>
    </w:p>
    <w:p w:rsidR="00226E90" w:rsidRPr="00226E90" w:rsidRDefault="00226E90" w:rsidP="00605446">
      <w:pPr>
        <w:pStyle w:val="Policy-BodyText"/>
        <w:spacing w:line="240" w:lineRule="auto"/>
        <w:ind w:left="567" w:hanging="567"/>
      </w:pPr>
      <w:r w:rsidRPr="00226E90">
        <w:t xml:space="preserve">The factors that the Director-General may consider in determining whether or not to revoke an appointment may include: </w:t>
      </w:r>
    </w:p>
    <w:p w:rsidR="00226E90" w:rsidRPr="00226E90" w:rsidRDefault="00226E90" w:rsidP="00605446">
      <w:pPr>
        <w:pStyle w:val="Policy-BodyText"/>
        <w:numPr>
          <w:ilvl w:val="0"/>
          <w:numId w:val="11"/>
        </w:numPr>
        <w:spacing w:line="240" w:lineRule="auto"/>
      </w:pPr>
      <w:r w:rsidRPr="00226E90">
        <w:t xml:space="preserve">breach of law </w:t>
      </w:r>
    </w:p>
    <w:p w:rsidR="00226E90" w:rsidRPr="00226E90" w:rsidRDefault="00226E90" w:rsidP="00605446">
      <w:pPr>
        <w:pStyle w:val="Policy-BodyText"/>
        <w:numPr>
          <w:ilvl w:val="0"/>
          <w:numId w:val="11"/>
        </w:numPr>
        <w:spacing w:line="240" w:lineRule="auto"/>
      </w:pPr>
      <w:r w:rsidRPr="00226E90">
        <w:t xml:space="preserve">breach of government or departmental policies </w:t>
      </w:r>
    </w:p>
    <w:p w:rsidR="00226E90" w:rsidRDefault="00226E90" w:rsidP="00605446">
      <w:pPr>
        <w:pStyle w:val="Policy-BodyText"/>
        <w:numPr>
          <w:ilvl w:val="0"/>
          <w:numId w:val="11"/>
        </w:numPr>
        <w:spacing w:line="240" w:lineRule="auto"/>
      </w:pPr>
      <w:r w:rsidRPr="00226E90">
        <w:t xml:space="preserve">breach of Code of Ethics. </w:t>
      </w:r>
    </w:p>
    <w:p w:rsidR="00F54F53" w:rsidRDefault="00F54F53" w:rsidP="00967E3F">
      <w:pPr>
        <w:pStyle w:val="PolicySubHeading3-Accessible"/>
      </w:pPr>
      <w:r w:rsidRPr="00F54F53">
        <w:t>Consent to entry – obligations of authorised person (non-government)</w:t>
      </w:r>
    </w:p>
    <w:p w:rsidR="00F54F53" w:rsidRDefault="00F54F53" w:rsidP="00605446">
      <w:pPr>
        <w:pStyle w:val="Policy-BodyText"/>
        <w:spacing w:line="240" w:lineRule="auto"/>
        <w:ind w:left="567" w:hanging="567"/>
      </w:pPr>
      <w:r>
        <w:lastRenderedPageBreak/>
        <w:t>The following obligations apply if the authorised person (non-government) intends to ask the principal of a non-government school to consent to the entry of the authorised person:</w:t>
      </w:r>
    </w:p>
    <w:p w:rsidR="00F54F53" w:rsidRDefault="00F54F53" w:rsidP="00605446">
      <w:pPr>
        <w:pStyle w:val="Policy-BodyText"/>
        <w:spacing w:line="240" w:lineRule="auto"/>
        <w:ind w:left="567" w:hanging="567"/>
      </w:pPr>
      <w:r>
        <w:t>Before asking for consent t</w:t>
      </w:r>
      <w:r w:rsidR="00F90927">
        <w:t>o</w:t>
      </w:r>
      <w:r>
        <w:t xml:space="preserve"> enter, the authorised person (non-government) will tell the principal:</w:t>
      </w:r>
    </w:p>
    <w:p w:rsidR="00F54F53" w:rsidRDefault="00F90927" w:rsidP="00605446">
      <w:pPr>
        <w:pStyle w:val="Policy-BodyText"/>
        <w:numPr>
          <w:ilvl w:val="0"/>
          <w:numId w:val="13"/>
        </w:numPr>
        <w:spacing w:line="240" w:lineRule="auto"/>
        <w:ind w:left="993" w:hanging="426"/>
      </w:pPr>
      <w:r>
        <w:t>t</w:t>
      </w:r>
      <w:r w:rsidR="00F54F53">
        <w:t xml:space="preserve">he reason for the entry </w:t>
      </w:r>
    </w:p>
    <w:p w:rsidR="00F54F53" w:rsidRDefault="00F90927" w:rsidP="00605446">
      <w:pPr>
        <w:pStyle w:val="Policy-BodyText"/>
        <w:numPr>
          <w:ilvl w:val="0"/>
          <w:numId w:val="13"/>
        </w:numPr>
        <w:spacing w:line="240" w:lineRule="auto"/>
        <w:ind w:left="993" w:hanging="426"/>
      </w:pPr>
      <w:r>
        <w:t>that the principal is not required to consent</w:t>
      </w:r>
    </w:p>
    <w:p w:rsidR="00F90927" w:rsidRDefault="00F90927" w:rsidP="00605446">
      <w:pPr>
        <w:pStyle w:val="Policy-BodyText"/>
        <w:spacing w:line="240" w:lineRule="auto"/>
        <w:ind w:left="567" w:hanging="567"/>
      </w:pPr>
      <w:r>
        <w:t xml:space="preserve">If the consent is given the authorised person (non-government) will ask the principal to sign an acknowledgement of the consent.  </w:t>
      </w:r>
    </w:p>
    <w:p w:rsidR="00F90927" w:rsidRDefault="00F90927" w:rsidP="00605446">
      <w:pPr>
        <w:pStyle w:val="Policy-BodyText"/>
        <w:spacing w:line="240" w:lineRule="auto"/>
      </w:pPr>
      <w:r>
        <w:t>The acknowledgement must state that:</w:t>
      </w:r>
    </w:p>
    <w:p w:rsidR="00F90927" w:rsidRDefault="00F90927" w:rsidP="00605446">
      <w:pPr>
        <w:pStyle w:val="Policy-BodyText"/>
        <w:numPr>
          <w:ilvl w:val="0"/>
          <w:numId w:val="14"/>
        </w:numPr>
        <w:spacing w:line="240" w:lineRule="auto"/>
        <w:ind w:left="993" w:hanging="426"/>
      </w:pPr>
      <w:r>
        <w:t>the principal was told the reason for the entry and that the principal is not required to consent</w:t>
      </w:r>
    </w:p>
    <w:p w:rsidR="00F90927" w:rsidRDefault="00F90927" w:rsidP="00605446">
      <w:pPr>
        <w:pStyle w:val="Policy-BodyText"/>
        <w:numPr>
          <w:ilvl w:val="0"/>
          <w:numId w:val="14"/>
        </w:numPr>
        <w:spacing w:line="240" w:lineRule="auto"/>
        <w:ind w:left="993" w:hanging="426"/>
      </w:pPr>
      <w:r>
        <w:t>the principal gives an authorised person (non-government) consent to enter the school and exercise powers under the Act</w:t>
      </w:r>
    </w:p>
    <w:p w:rsidR="00F90927" w:rsidRDefault="00F90927" w:rsidP="00605446">
      <w:pPr>
        <w:pStyle w:val="Policy-BodyText"/>
        <w:numPr>
          <w:ilvl w:val="0"/>
          <w:numId w:val="14"/>
        </w:numPr>
        <w:spacing w:line="240" w:lineRule="auto"/>
        <w:ind w:left="993" w:hanging="426"/>
      </w:pPr>
      <w:r>
        <w:t>the time and date the consent was given.</w:t>
      </w:r>
    </w:p>
    <w:p w:rsidR="00F90927" w:rsidRPr="00F54F53" w:rsidRDefault="00F90927" w:rsidP="00605446">
      <w:pPr>
        <w:pStyle w:val="Policy-BodyText"/>
        <w:spacing w:line="240" w:lineRule="auto"/>
        <w:ind w:left="567" w:hanging="567"/>
      </w:pPr>
      <w:r>
        <w:t>If the principal signs an acknowledgement of consent, the authorised person (non-government) will immediately give a copy to the principal.</w:t>
      </w:r>
    </w:p>
    <w:p w:rsidR="009024BA" w:rsidRDefault="009024BA" w:rsidP="009024BA">
      <w:pPr>
        <w:pStyle w:val="PolicyHeading2-Accessible"/>
      </w:pPr>
      <w:r>
        <w:t>Contact</w:t>
      </w:r>
      <w:bookmarkEnd w:id="4"/>
    </w:p>
    <w:p w:rsidR="009024BA" w:rsidRPr="007B3DA1" w:rsidRDefault="009024BA" w:rsidP="00AD694F">
      <w:pPr>
        <w:pStyle w:val="Policy-BodyText"/>
        <w:spacing w:line="240" w:lineRule="auto"/>
      </w:pPr>
      <w:r>
        <w:t xml:space="preserve">The Director, </w:t>
      </w:r>
      <w:r w:rsidR="00043A86">
        <w:rPr>
          <w:rStyle w:val="ExplanatoryTextChar"/>
          <w:rFonts w:eastAsiaTheme="minorEastAsia"/>
          <w:b w:val="0"/>
          <w:sz w:val="24"/>
          <w:szCs w:val="24"/>
        </w:rPr>
        <w:t>Governance and Assurance</w:t>
      </w:r>
      <w:r>
        <w:rPr>
          <w:rStyle w:val="ExplanatoryTextChar"/>
          <w:rFonts w:eastAsiaTheme="minorEastAsia"/>
          <w:b w:val="0"/>
          <w:sz w:val="24"/>
          <w:szCs w:val="24"/>
        </w:rPr>
        <w:t xml:space="preserve"> is responsible for this procedure.</w:t>
      </w:r>
    </w:p>
    <w:p w:rsidR="009024BA" w:rsidRPr="007B3DA1" w:rsidRDefault="009024BA" w:rsidP="00043A86">
      <w:pPr>
        <w:pStyle w:val="Policy-BodyText"/>
        <w:spacing w:line="240" w:lineRule="auto"/>
        <w:ind w:left="567" w:hanging="567"/>
      </w:pPr>
      <w:r w:rsidRPr="007B3DA1">
        <w:t>For support contact</w:t>
      </w:r>
      <w:r>
        <w:rPr>
          <w:rStyle w:val="ExplanatoryTextChar"/>
          <w:rFonts w:eastAsiaTheme="minorEastAsia"/>
          <w:b w:val="0"/>
          <w:sz w:val="24"/>
          <w:szCs w:val="24"/>
        </w:rPr>
        <w:t xml:space="preserve"> </w:t>
      </w:r>
      <w:r w:rsidR="00043A86">
        <w:rPr>
          <w:rStyle w:val="ExplanatoryTextChar"/>
          <w:rFonts w:eastAsiaTheme="minorEastAsia"/>
          <w:b w:val="0"/>
          <w:sz w:val="24"/>
          <w:szCs w:val="24"/>
        </w:rPr>
        <w:t>Governance and Assurance Branch</w:t>
      </w:r>
      <w:r w:rsidRPr="007B3DA1">
        <w:t xml:space="preserve"> on</w:t>
      </w:r>
      <w:r>
        <w:t xml:space="preserve"> </w:t>
      </w:r>
      <w:r w:rsidR="00043A86">
        <w:rPr>
          <w:rStyle w:val="ExplanatoryTextChar"/>
          <w:rFonts w:eastAsiaTheme="minorEastAsia"/>
          <w:b w:val="0"/>
          <w:sz w:val="24"/>
          <w:szCs w:val="24"/>
        </w:rPr>
        <w:t>(02)</w:t>
      </w:r>
      <w:r w:rsidR="00BD5F10">
        <w:rPr>
          <w:rStyle w:val="ExplanatoryTextChar"/>
          <w:rFonts w:eastAsiaTheme="minorEastAsia"/>
          <w:b w:val="0"/>
          <w:sz w:val="24"/>
          <w:szCs w:val="24"/>
        </w:rPr>
        <w:t xml:space="preserve"> </w:t>
      </w:r>
      <w:r w:rsidR="00043A86">
        <w:rPr>
          <w:rStyle w:val="ExplanatoryTextChar"/>
          <w:rFonts w:eastAsiaTheme="minorEastAsia"/>
          <w:b w:val="0"/>
          <w:sz w:val="24"/>
          <w:szCs w:val="24"/>
        </w:rPr>
        <w:t xml:space="preserve">6205 4379 or email </w:t>
      </w:r>
      <w:hyperlink r:id="rId9" w:history="1">
        <w:r w:rsidR="006A2770" w:rsidRPr="002F613C">
          <w:rPr>
            <w:rStyle w:val="Hyperlink"/>
            <w:rFonts w:cs="Calibri"/>
          </w:rPr>
          <w:t>det.legal.liaison@act.gov.au</w:t>
        </w:r>
      </w:hyperlink>
      <w:r w:rsidRPr="007B3DA1">
        <w:t>.</w:t>
      </w:r>
    </w:p>
    <w:p w:rsidR="00692CF6" w:rsidRDefault="005169F4" w:rsidP="00131156">
      <w:pPr>
        <w:pStyle w:val="PolicyHeading2-Accessible"/>
      </w:pPr>
      <w:r>
        <w:t>Complaints</w:t>
      </w:r>
      <w:bookmarkEnd w:id="5"/>
    </w:p>
    <w:p w:rsidR="00E07686" w:rsidRDefault="00E07686" w:rsidP="00605446">
      <w:pPr>
        <w:pStyle w:val="Policy-BodyText"/>
        <w:spacing w:line="240" w:lineRule="auto"/>
        <w:ind w:left="567" w:hanging="567"/>
      </w:pPr>
      <w:r>
        <w:t>Any concerns about the application of this p</w:t>
      </w:r>
      <w:r w:rsidR="00305253">
        <w:t>rocedure</w:t>
      </w:r>
      <w:r>
        <w:t xml:space="preserve"> or the p</w:t>
      </w:r>
      <w:r w:rsidR="00305253">
        <w:t>rocedure</w:t>
      </w:r>
      <w:r>
        <w:t xml:space="preserve"> itself, should be raised with:</w:t>
      </w:r>
    </w:p>
    <w:p w:rsidR="00E07686" w:rsidRDefault="00E07686" w:rsidP="00A143ED">
      <w:pPr>
        <w:pStyle w:val="Policy-BodyText"/>
        <w:numPr>
          <w:ilvl w:val="0"/>
          <w:numId w:val="2"/>
        </w:numPr>
        <w:spacing w:line="240" w:lineRule="auto"/>
        <w:ind w:left="851" w:hanging="284"/>
      </w:pPr>
      <w:r>
        <w:t xml:space="preserve">the school principal </w:t>
      </w:r>
      <w:r w:rsidRPr="009F40BB">
        <w:t>in the first instance</w:t>
      </w:r>
    </w:p>
    <w:p w:rsidR="00E07686" w:rsidRDefault="00E07686" w:rsidP="00A143ED">
      <w:pPr>
        <w:pStyle w:val="Policy-BodyText"/>
        <w:numPr>
          <w:ilvl w:val="0"/>
          <w:numId w:val="2"/>
        </w:numPr>
        <w:spacing w:line="240" w:lineRule="auto"/>
        <w:ind w:left="851" w:hanging="284"/>
      </w:pPr>
      <w:r>
        <w:t xml:space="preserve">the Directorate’s Liaison Unit on (02) 6205 5429 </w:t>
      </w:r>
    </w:p>
    <w:p w:rsidR="00BD5F10" w:rsidRDefault="00E07686" w:rsidP="00BD5F10">
      <w:pPr>
        <w:pStyle w:val="Policy-BodyText"/>
        <w:numPr>
          <w:ilvl w:val="0"/>
          <w:numId w:val="2"/>
        </w:numPr>
        <w:spacing w:line="240" w:lineRule="auto"/>
        <w:ind w:left="851" w:hanging="284"/>
      </w:pPr>
      <w:proofErr w:type="gramStart"/>
      <w:r>
        <w:t>online</w:t>
      </w:r>
      <w:proofErr w:type="gramEnd"/>
      <w:r>
        <w:t xml:space="preserve"> at </w:t>
      </w:r>
      <w:hyperlink r:id="rId10" w:history="1">
        <w:r w:rsidRPr="007C0BC2">
          <w:rPr>
            <w:rStyle w:val="Hyperlink"/>
          </w:rPr>
          <w:t>http://www.det.act.gov.au/contact_us</w:t>
        </w:r>
      </w:hyperlink>
      <w:r>
        <w:t>.</w:t>
      </w:r>
    </w:p>
    <w:p w:rsidR="007C6BE8" w:rsidRDefault="00605446" w:rsidP="00BD5F10">
      <w:pPr>
        <w:pStyle w:val="Policy-BodyText"/>
        <w:numPr>
          <w:ilvl w:val="0"/>
          <w:numId w:val="2"/>
        </w:numPr>
        <w:spacing w:line="240" w:lineRule="auto"/>
        <w:ind w:left="851" w:hanging="284"/>
      </w:pPr>
      <w:r>
        <w:t>S</w:t>
      </w:r>
      <w:r w:rsidR="00E07686">
        <w:t xml:space="preserve">ee also the </w:t>
      </w:r>
      <w:r w:rsidR="00E07686" w:rsidRPr="00BD5F10">
        <w:rPr>
          <w:i/>
        </w:rPr>
        <w:t>Complaints Policy</w:t>
      </w:r>
      <w:r w:rsidR="00E07686">
        <w:t xml:space="preserve"> </w:t>
      </w:r>
      <w:r w:rsidR="00E07686" w:rsidRPr="00CF0E12">
        <w:t>on the Directorate’s website</w:t>
      </w:r>
      <w:r w:rsidR="00E07686">
        <w:t>.</w:t>
      </w:r>
    </w:p>
    <w:p w:rsidR="00BD68F4" w:rsidRDefault="00F5482B" w:rsidP="00BD68F4">
      <w:pPr>
        <w:pStyle w:val="PolicyHeading2-Accessible"/>
      </w:pPr>
      <w:bookmarkStart w:id="6" w:name="_Toc419889964"/>
      <w:r>
        <w:t>References</w:t>
      </w:r>
      <w:bookmarkEnd w:id="6"/>
    </w:p>
    <w:p w:rsidR="00032B16" w:rsidRDefault="00BC0D96" w:rsidP="00AD694F">
      <w:pPr>
        <w:pStyle w:val="Policy-BodyText"/>
        <w:spacing w:line="240" w:lineRule="auto"/>
        <w:rPr>
          <w:rFonts w:asciiTheme="majorHAnsi" w:hAnsiTheme="majorHAnsi"/>
        </w:rPr>
      </w:pPr>
      <w:r w:rsidRPr="00277E3D">
        <w:rPr>
          <w:rFonts w:asciiTheme="majorHAnsi" w:hAnsiTheme="majorHAnsi"/>
          <w:b/>
        </w:rPr>
        <w:t>Rel</w:t>
      </w:r>
      <w:r w:rsidR="006E01E3" w:rsidRPr="00277E3D">
        <w:rPr>
          <w:rFonts w:asciiTheme="majorHAnsi" w:hAnsiTheme="majorHAnsi"/>
          <w:b/>
        </w:rPr>
        <w:t>a</w:t>
      </w:r>
      <w:r w:rsidRPr="00277E3D">
        <w:rPr>
          <w:rFonts w:asciiTheme="majorHAnsi" w:hAnsiTheme="majorHAnsi"/>
          <w:b/>
        </w:rPr>
        <w:t>t</w:t>
      </w:r>
      <w:r w:rsidR="006E01E3" w:rsidRPr="00277E3D">
        <w:rPr>
          <w:rFonts w:asciiTheme="majorHAnsi" w:hAnsiTheme="majorHAnsi"/>
          <w:b/>
        </w:rPr>
        <w:t>ed</w:t>
      </w:r>
      <w:r w:rsidRPr="00277E3D">
        <w:rPr>
          <w:rFonts w:asciiTheme="majorHAnsi" w:hAnsiTheme="majorHAnsi"/>
          <w:b/>
        </w:rPr>
        <w:t xml:space="preserve"> </w:t>
      </w:r>
      <w:r w:rsidR="004030AB">
        <w:rPr>
          <w:rFonts w:asciiTheme="majorHAnsi" w:hAnsiTheme="majorHAnsi"/>
          <w:b/>
        </w:rPr>
        <w:t xml:space="preserve">Policies and </w:t>
      </w:r>
      <w:r w:rsidR="00032B16">
        <w:rPr>
          <w:rFonts w:asciiTheme="majorHAnsi" w:hAnsiTheme="majorHAnsi"/>
          <w:b/>
        </w:rPr>
        <w:t>Documents</w:t>
      </w:r>
      <w:r w:rsidRPr="00277E3D">
        <w:rPr>
          <w:rFonts w:asciiTheme="majorHAnsi" w:hAnsiTheme="majorHAnsi"/>
        </w:rPr>
        <w:t xml:space="preserve"> -</w:t>
      </w:r>
    </w:p>
    <w:p w:rsidR="00FC6D75" w:rsidRDefault="00043A86" w:rsidP="00A143ED">
      <w:pPr>
        <w:pStyle w:val="Policy-BodyText"/>
        <w:numPr>
          <w:ilvl w:val="0"/>
          <w:numId w:val="4"/>
        </w:numPr>
        <w:spacing w:line="240" w:lineRule="auto"/>
        <w:ind w:left="851" w:hanging="284"/>
      </w:pPr>
      <w:r w:rsidRPr="00135DB3">
        <w:rPr>
          <w:i/>
        </w:rPr>
        <w:t>Appointment and Functions of Authorised Persons</w:t>
      </w:r>
      <w:r w:rsidRPr="00135DB3">
        <w:t xml:space="preserve"> policy</w:t>
      </w:r>
    </w:p>
    <w:p w:rsidR="00043A86" w:rsidRPr="00C11263" w:rsidRDefault="00043A86" w:rsidP="00A143ED">
      <w:pPr>
        <w:pStyle w:val="Policy-BodyText"/>
        <w:numPr>
          <w:ilvl w:val="0"/>
          <w:numId w:val="4"/>
        </w:numPr>
        <w:spacing w:line="240" w:lineRule="auto"/>
        <w:ind w:left="851" w:hanging="284"/>
        <w:rPr>
          <w:i/>
        </w:rPr>
      </w:pPr>
      <w:r w:rsidRPr="00135DB3">
        <w:rPr>
          <w:i/>
        </w:rPr>
        <w:t>Attendance at ACT Publi</w:t>
      </w:r>
      <w:r w:rsidRPr="00135DB3">
        <w:rPr>
          <w:i/>
        </w:rPr>
        <w:t>c</w:t>
      </w:r>
      <w:r w:rsidRPr="00135DB3">
        <w:rPr>
          <w:i/>
        </w:rPr>
        <w:t xml:space="preserve"> Schools</w:t>
      </w:r>
    </w:p>
    <w:p w:rsidR="00043A86" w:rsidRPr="00C11263" w:rsidRDefault="00043A86" w:rsidP="00A143ED">
      <w:pPr>
        <w:pStyle w:val="Policy-BodyText"/>
        <w:numPr>
          <w:ilvl w:val="0"/>
          <w:numId w:val="4"/>
        </w:numPr>
        <w:spacing w:line="240" w:lineRule="auto"/>
        <w:ind w:left="851" w:hanging="284"/>
        <w:rPr>
          <w:i/>
        </w:rPr>
      </w:pPr>
      <w:r w:rsidRPr="00135DB3">
        <w:rPr>
          <w:i/>
        </w:rPr>
        <w:t>Attendance at Non-Governm</w:t>
      </w:r>
      <w:r w:rsidRPr="00135DB3">
        <w:rPr>
          <w:i/>
        </w:rPr>
        <w:t>e</w:t>
      </w:r>
      <w:r w:rsidRPr="00135DB3">
        <w:rPr>
          <w:i/>
        </w:rPr>
        <w:t>nt Schools</w:t>
      </w:r>
    </w:p>
    <w:p w:rsidR="00043A86" w:rsidRPr="00C11263" w:rsidRDefault="00043A86" w:rsidP="00A143ED">
      <w:pPr>
        <w:pStyle w:val="Policy-BodyText"/>
        <w:numPr>
          <w:ilvl w:val="0"/>
          <w:numId w:val="4"/>
        </w:numPr>
        <w:spacing w:line="240" w:lineRule="auto"/>
        <w:ind w:left="851" w:hanging="284"/>
        <w:rPr>
          <w:i/>
        </w:rPr>
      </w:pPr>
      <w:r w:rsidRPr="00135DB3">
        <w:rPr>
          <w:i/>
        </w:rPr>
        <w:t>Education Participation (Enrolment and Atten</w:t>
      </w:r>
      <w:r w:rsidRPr="00135DB3">
        <w:rPr>
          <w:i/>
        </w:rPr>
        <w:t>d</w:t>
      </w:r>
      <w:r w:rsidRPr="00135DB3">
        <w:rPr>
          <w:i/>
        </w:rPr>
        <w:t xml:space="preserve">ance) </w:t>
      </w:r>
      <w:r w:rsidRPr="00135DB3">
        <w:t>Policy</w:t>
      </w:r>
    </w:p>
    <w:p w:rsidR="00043A86" w:rsidRPr="00C11263" w:rsidRDefault="00E21ED7" w:rsidP="00A143ED">
      <w:pPr>
        <w:pStyle w:val="Policy-BodyText"/>
        <w:numPr>
          <w:ilvl w:val="0"/>
          <w:numId w:val="4"/>
        </w:numPr>
        <w:spacing w:line="240" w:lineRule="auto"/>
        <w:ind w:left="851" w:hanging="284"/>
        <w:rPr>
          <w:i/>
        </w:rPr>
      </w:pPr>
      <w:hyperlink r:id="rId11" w:history="1">
        <w:r w:rsidR="00043A86" w:rsidRPr="00B34C70">
          <w:rPr>
            <w:rStyle w:val="Hyperlink"/>
            <w:i/>
          </w:rPr>
          <w:t>Registration of Home Education in t</w:t>
        </w:r>
        <w:r w:rsidR="00043A86" w:rsidRPr="00B34C70">
          <w:rPr>
            <w:rStyle w:val="Hyperlink"/>
            <w:i/>
          </w:rPr>
          <w:t>h</w:t>
        </w:r>
        <w:r w:rsidR="00043A86" w:rsidRPr="00B34C70">
          <w:rPr>
            <w:rStyle w:val="Hyperlink"/>
            <w:i/>
          </w:rPr>
          <w:t>e ACT</w:t>
        </w:r>
      </w:hyperlink>
    </w:p>
    <w:sectPr w:rsidR="00043A86" w:rsidRPr="00C11263" w:rsidSect="00BD5F10">
      <w:headerReference w:type="even" r:id="rId12"/>
      <w:headerReference w:type="default" r:id="rId13"/>
      <w:footerReference w:type="even" r:id="rId14"/>
      <w:footerReference w:type="default" r:id="rId15"/>
      <w:headerReference w:type="first" r:id="rId16"/>
      <w:pgSz w:w="11900" w:h="16840"/>
      <w:pgMar w:top="851" w:right="1077" w:bottom="1418" w:left="1077" w:header="567" w:footer="6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53" w:rsidRDefault="00F54F53" w:rsidP="00477967">
      <w:r>
        <w:separator/>
      </w:r>
    </w:p>
    <w:p w:rsidR="00F54F53" w:rsidRDefault="00F54F53"/>
  </w:endnote>
  <w:endnote w:type="continuationSeparator" w:id="0">
    <w:p w:rsidR="00F54F53" w:rsidRDefault="00F54F53" w:rsidP="00477967">
      <w:r>
        <w:continuationSeparator/>
      </w:r>
    </w:p>
    <w:p w:rsidR="00F54F53" w:rsidRDefault="00F54F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53" w:rsidRDefault="00E21ED7" w:rsidP="003E61B7">
    <w:pPr>
      <w:pStyle w:val="Footer"/>
      <w:framePr w:wrap="around" w:vAnchor="text" w:hAnchor="margin" w:xAlign="right" w:y="1"/>
      <w:rPr>
        <w:rStyle w:val="PageNumber"/>
      </w:rPr>
    </w:pPr>
    <w:r>
      <w:rPr>
        <w:rStyle w:val="PageNumber"/>
      </w:rPr>
      <w:fldChar w:fldCharType="begin"/>
    </w:r>
    <w:r w:rsidR="00F54F53">
      <w:rPr>
        <w:rStyle w:val="PageNumber"/>
      </w:rPr>
      <w:instrText xml:space="preserve">PAGE  </w:instrText>
    </w:r>
    <w:r>
      <w:rPr>
        <w:rStyle w:val="PageNumber"/>
      </w:rPr>
      <w:fldChar w:fldCharType="end"/>
    </w:r>
  </w:p>
  <w:p w:rsidR="00F54F53" w:rsidRDefault="00F54F53" w:rsidP="003E3F17">
    <w:pPr>
      <w:pStyle w:val="Footer"/>
      <w:ind w:right="360"/>
    </w:pPr>
  </w:p>
  <w:p w:rsidR="00F54F53" w:rsidRDefault="00F54F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42337"/>
      <w:docPartObj>
        <w:docPartGallery w:val="Page Numbers (Bottom of Page)"/>
        <w:docPartUnique/>
      </w:docPartObj>
    </w:sdtPr>
    <w:sdtEndPr>
      <w:rPr>
        <w:rFonts w:asciiTheme="majorHAnsi" w:hAnsiTheme="majorHAnsi"/>
      </w:rPr>
    </w:sdtEndPr>
    <w:sdtContent>
      <w:p w:rsidR="00F54F53" w:rsidRPr="00FA1FA7" w:rsidRDefault="00F54F53" w:rsidP="00262C02">
        <w:pPr>
          <w:pStyle w:val="Footer"/>
          <w:rPr>
            <w:rFonts w:asciiTheme="majorHAnsi" w:hAnsiTheme="majorHAnsi"/>
            <w:sz w:val="20"/>
            <w:szCs w:val="20"/>
          </w:rPr>
        </w:pPr>
      </w:p>
      <w:p w:rsidR="00F54F53" w:rsidRPr="002628E5" w:rsidRDefault="00E21ED7">
        <w:pPr>
          <w:pStyle w:val="Footer"/>
          <w:jc w:val="right"/>
          <w:rPr>
            <w:rFonts w:asciiTheme="majorHAnsi" w:hAnsiTheme="majorHAnsi"/>
          </w:rPr>
        </w:pPr>
        <w:r w:rsidRPr="002628E5">
          <w:rPr>
            <w:rFonts w:asciiTheme="majorHAnsi" w:hAnsiTheme="majorHAnsi"/>
            <w:sz w:val="20"/>
          </w:rPr>
          <w:fldChar w:fldCharType="begin"/>
        </w:r>
        <w:r w:rsidR="00F54F53" w:rsidRPr="002628E5">
          <w:rPr>
            <w:rFonts w:asciiTheme="majorHAnsi" w:hAnsiTheme="majorHAnsi"/>
            <w:sz w:val="20"/>
          </w:rPr>
          <w:instrText xml:space="preserve"> PAGE   \* MERGEFORMAT </w:instrText>
        </w:r>
        <w:r w:rsidRPr="002628E5">
          <w:rPr>
            <w:rFonts w:asciiTheme="majorHAnsi" w:hAnsiTheme="majorHAnsi"/>
            <w:sz w:val="20"/>
          </w:rPr>
          <w:fldChar w:fldCharType="separate"/>
        </w:r>
        <w:r w:rsidR="003713AE">
          <w:rPr>
            <w:rFonts w:asciiTheme="majorHAnsi" w:hAnsiTheme="majorHAnsi"/>
            <w:noProof/>
            <w:sz w:val="20"/>
          </w:rPr>
          <w:t>1</w:t>
        </w:r>
        <w:r w:rsidRPr="002628E5">
          <w:rPr>
            <w:rFonts w:asciiTheme="majorHAnsi" w:hAnsiTheme="maj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53" w:rsidRDefault="00F54F53" w:rsidP="00477967">
      <w:r>
        <w:separator/>
      </w:r>
    </w:p>
    <w:p w:rsidR="00F54F53" w:rsidRDefault="00F54F53"/>
  </w:footnote>
  <w:footnote w:type="continuationSeparator" w:id="0">
    <w:p w:rsidR="00F54F53" w:rsidRDefault="00F54F53" w:rsidP="00477967">
      <w:r>
        <w:continuationSeparator/>
      </w:r>
    </w:p>
    <w:p w:rsidR="00F54F53" w:rsidRDefault="00F54F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53" w:rsidRDefault="00E21ED7">
    <w:pPr>
      <w:pStyle w:val="Header"/>
    </w:pPr>
    <w:r w:rsidRPr="00E21ED7">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p w:rsidR="00F54F53" w:rsidRDefault="00F54F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53" w:rsidRPr="00225547" w:rsidRDefault="00E21ED7" w:rsidP="00DD1E8F">
    <w:pPr>
      <w:pStyle w:val="Header"/>
      <w:rPr>
        <w:rFonts w:asciiTheme="majorHAnsi" w:hAnsiTheme="majorHAnsi"/>
      </w:rPr>
    </w:pPr>
    <w:r w:rsidRPr="00E21ED7">
      <w:rPr>
        <w:rFonts w:asciiTheme="majorHAnsi" w:hAnsiTheme="majorHAns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53" w:rsidRDefault="00E21ED7">
    <w:pPr>
      <w:pStyle w:val="Header"/>
    </w:pPr>
    <w:r w:rsidRPr="00E21ED7">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AB8"/>
    <w:multiLevelType w:val="hybridMultilevel"/>
    <w:tmpl w:val="0F38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nsid w:val="09EB3117"/>
    <w:multiLevelType w:val="hybridMultilevel"/>
    <w:tmpl w:val="E7F420C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0E323539"/>
    <w:multiLevelType w:val="hybridMultilevel"/>
    <w:tmpl w:val="0600782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D690758"/>
    <w:multiLevelType w:val="hybridMultilevel"/>
    <w:tmpl w:val="B9DCDFD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nsid w:val="270E6DB7"/>
    <w:multiLevelType w:val="hybridMultilevel"/>
    <w:tmpl w:val="8FAE8D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8">
    <w:nsid w:val="305911E3"/>
    <w:multiLevelType w:val="hybridMultilevel"/>
    <w:tmpl w:val="BADE6FEC"/>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38B54102"/>
    <w:multiLevelType w:val="hybridMultilevel"/>
    <w:tmpl w:val="468495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C96749"/>
    <w:multiLevelType w:val="hybridMultilevel"/>
    <w:tmpl w:val="2E04C2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705A6F7D"/>
    <w:multiLevelType w:val="hybridMultilevel"/>
    <w:tmpl w:val="CE66A66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nsid w:val="7D41704B"/>
    <w:multiLevelType w:val="hybridMultilevel"/>
    <w:tmpl w:val="9020AA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13"/>
  </w:num>
  <w:num w:numId="6">
    <w:abstractNumId w:val="2"/>
  </w:num>
  <w:num w:numId="7">
    <w:abstractNumId w:val="8"/>
  </w:num>
  <w:num w:numId="8">
    <w:abstractNumId w:val="6"/>
  </w:num>
  <w:num w:numId="9">
    <w:abstractNumId w:val="12"/>
  </w:num>
  <w:num w:numId="10">
    <w:abstractNumId w:val="4"/>
  </w:num>
  <w:num w:numId="11">
    <w:abstractNumId w:val="3"/>
  </w:num>
  <w:num w:numId="12">
    <w:abstractNumId w:val="0"/>
  </w:num>
  <w:num w:numId="13">
    <w:abstractNumId w:val="11"/>
  </w:num>
  <w:num w:numId="14">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D91B51"/>
    <w:rsid w:val="00012069"/>
    <w:rsid w:val="00015D27"/>
    <w:rsid w:val="00016260"/>
    <w:rsid w:val="00032B16"/>
    <w:rsid w:val="00034478"/>
    <w:rsid w:val="0004381A"/>
    <w:rsid w:val="00043A86"/>
    <w:rsid w:val="00047E4C"/>
    <w:rsid w:val="00055267"/>
    <w:rsid w:val="00062F00"/>
    <w:rsid w:val="00063211"/>
    <w:rsid w:val="00067924"/>
    <w:rsid w:val="00073624"/>
    <w:rsid w:val="000A143E"/>
    <w:rsid w:val="000A2B3A"/>
    <w:rsid w:val="000A63D0"/>
    <w:rsid w:val="000A7D0E"/>
    <w:rsid w:val="000B3386"/>
    <w:rsid w:val="000B3AA3"/>
    <w:rsid w:val="000E1A2E"/>
    <w:rsid w:val="000E3F86"/>
    <w:rsid w:val="0010178C"/>
    <w:rsid w:val="00113746"/>
    <w:rsid w:val="00117A1B"/>
    <w:rsid w:val="00121B20"/>
    <w:rsid w:val="00131156"/>
    <w:rsid w:val="00135DB3"/>
    <w:rsid w:val="001527EF"/>
    <w:rsid w:val="00155F87"/>
    <w:rsid w:val="00167B4F"/>
    <w:rsid w:val="0019042D"/>
    <w:rsid w:val="00197936"/>
    <w:rsid w:val="001A4902"/>
    <w:rsid w:val="001A55B8"/>
    <w:rsid w:val="001D3ADA"/>
    <w:rsid w:val="001D4D0C"/>
    <w:rsid w:val="002021D1"/>
    <w:rsid w:val="002164A7"/>
    <w:rsid w:val="00225547"/>
    <w:rsid w:val="00226E90"/>
    <w:rsid w:val="00232B75"/>
    <w:rsid w:val="00237594"/>
    <w:rsid w:val="00245EA7"/>
    <w:rsid w:val="00262099"/>
    <w:rsid w:val="002628E5"/>
    <w:rsid w:val="00262C02"/>
    <w:rsid w:val="00271897"/>
    <w:rsid w:val="002744A6"/>
    <w:rsid w:val="00277E3D"/>
    <w:rsid w:val="00280014"/>
    <w:rsid w:val="0029158B"/>
    <w:rsid w:val="002958A7"/>
    <w:rsid w:val="002A1BD4"/>
    <w:rsid w:val="002A5A65"/>
    <w:rsid w:val="002C2E91"/>
    <w:rsid w:val="002D5091"/>
    <w:rsid w:val="002F782F"/>
    <w:rsid w:val="00302521"/>
    <w:rsid w:val="00305253"/>
    <w:rsid w:val="00306C86"/>
    <w:rsid w:val="00312DDA"/>
    <w:rsid w:val="00323AF4"/>
    <w:rsid w:val="00327556"/>
    <w:rsid w:val="00327FB6"/>
    <w:rsid w:val="00335933"/>
    <w:rsid w:val="00336130"/>
    <w:rsid w:val="003407C0"/>
    <w:rsid w:val="00345CCA"/>
    <w:rsid w:val="00360BDE"/>
    <w:rsid w:val="00362B33"/>
    <w:rsid w:val="00363196"/>
    <w:rsid w:val="003644FA"/>
    <w:rsid w:val="00365BE8"/>
    <w:rsid w:val="003713AE"/>
    <w:rsid w:val="003901E9"/>
    <w:rsid w:val="003A7C34"/>
    <w:rsid w:val="003D76DE"/>
    <w:rsid w:val="003E3F17"/>
    <w:rsid w:val="003E61B7"/>
    <w:rsid w:val="003F26B2"/>
    <w:rsid w:val="004030AB"/>
    <w:rsid w:val="004122D5"/>
    <w:rsid w:val="00414471"/>
    <w:rsid w:val="004601ED"/>
    <w:rsid w:val="0047556B"/>
    <w:rsid w:val="00477967"/>
    <w:rsid w:val="004832E3"/>
    <w:rsid w:val="004932BD"/>
    <w:rsid w:val="0049402A"/>
    <w:rsid w:val="00496DF0"/>
    <w:rsid w:val="004B6EFF"/>
    <w:rsid w:val="004D0430"/>
    <w:rsid w:val="004D16B9"/>
    <w:rsid w:val="004D5FB5"/>
    <w:rsid w:val="004F4F07"/>
    <w:rsid w:val="0050774B"/>
    <w:rsid w:val="005169F4"/>
    <w:rsid w:val="00517F94"/>
    <w:rsid w:val="00522F63"/>
    <w:rsid w:val="00525A93"/>
    <w:rsid w:val="005305C2"/>
    <w:rsid w:val="005376D1"/>
    <w:rsid w:val="00542021"/>
    <w:rsid w:val="00567A46"/>
    <w:rsid w:val="00577FED"/>
    <w:rsid w:val="005925EE"/>
    <w:rsid w:val="00592F7C"/>
    <w:rsid w:val="005A55B5"/>
    <w:rsid w:val="005B0977"/>
    <w:rsid w:val="005C0CB3"/>
    <w:rsid w:val="005C44BD"/>
    <w:rsid w:val="005C44E4"/>
    <w:rsid w:val="005D73D9"/>
    <w:rsid w:val="00605446"/>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A2770"/>
    <w:rsid w:val="006B7A76"/>
    <w:rsid w:val="006C4EC1"/>
    <w:rsid w:val="006D356B"/>
    <w:rsid w:val="006E01E3"/>
    <w:rsid w:val="006F700B"/>
    <w:rsid w:val="007025CB"/>
    <w:rsid w:val="007107A5"/>
    <w:rsid w:val="00721DAF"/>
    <w:rsid w:val="0072732F"/>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5C6E"/>
    <w:rsid w:val="007C6BE8"/>
    <w:rsid w:val="007D71D2"/>
    <w:rsid w:val="007E4699"/>
    <w:rsid w:val="007E69D6"/>
    <w:rsid w:val="007E6AD2"/>
    <w:rsid w:val="007F5289"/>
    <w:rsid w:val="00821273"/>
    <w:rsid w:val="008312E7"/>
    <w:rsid w:val="00835401"/>
    <w:rsid w:val="00836B62"/>
    <w:rsid w:val="00837D66"/>
    <w:rsid w:val="00841941"/>
    <w:rsid w:val="00843051"/>
    <w:rsid w:val="008575F9"/>
    <w:rsid w:val="00867398"/>
    <w:rsid w:val="008912B7"/>
    <w:rsid w:val="008923C4"/>
    <w:rsid w:val="00892568"/>
    <w:rsid w:val="008A6FA4"/>
    <w:rsid w:val="008B34D3"/>
    <w:rsid w:val="008B691C"/>
    <w:rsid w:val="008C6F0D"/>
    <w:rsid w:val="008D4E7F"/>
    <w:rsid w:val="008E3133"/>
    <w:rsid w:val="008F4280"/>
    <w:rsid w:val="009024BA"/>
    <w:rsid w:val="00902584"/>
    <w:rsid w:val="00902FD8"/>
    <w:rsid w:val="00907F1E"/>
    <w:rsid w:val="00912CDF"/>
    <w:rsid w:val="00916584"/>
    <w:rsid w:val="00916DD5"/>
    <w:rsid w:val="009355D7"/>
    <w:rsid w:val="00935EB0"/>
    <w:rsid w:val="00935ECC"/>
    <w:rsid w:val="009505CE"/>
    <w:rsid w:val="00964234"/>
    <w:rsid w:val="00967E3F"/>
    <w:rsid w:val="00971B8E"/>
    <w:rsid w:val="009837ED"/>
    <w:rsid w:val="009B0FA1"/>
    <w:rsid w:val="009E4C8D"/>
    <w:rsid w:val="00A00B78"/>
    <w:rsid w:val="00A0131D"/>
    <w:rsid w:val="00A143ED"/>
    <w:rsid w:val="00A32ADA"/>
    <w:rsid w:val="00A37060"/>
    <w:rsid w:val="00A5315E"/>
    <w:rsid w:val="00A634E8"/>
    <w:rsid w:val="00A84875"/>
    <w:rsid w:val="00A922E1"/>
    <w:rsid w:val="00A956ED"/>
    <w:rsid w:val="00AA367F"/>
    <w:rsid w:val="00AA4633"/>
    <w:rsid w:val="00AA7801"/>
    <w:rsid w:val="00AB15D9"/>
    <w:rsid w:val="00AB2BCA"/>
    <w:rsid w:val="00AB4692"/>
    <w:rsid w:val="00AD5240"/>
    <w:rsid w:val="00AD6676"/>
    <w:rsid w:val="00AD694F"/>
    <w:rsid w:val="00B00F28"/>
    <w:rsid w:val="00B056D4"/>
    <w:rsid w:val="00B3089E"/>
    <w:rsid w:val="00B31170"/>
    <w:rsid w:val="00B6125A"/>
    <w:rsid w:val="00B7017C"/>
    <w:rsid w:val="00B81512"/>
    <w:rsid w:val="00B81B4D"/>
    <w:rsid w:val="00B91BD6"/>
    <w:rsid w:val="00B91ED0"/>
    <w:rsid w:val="00BB39B8"/>
    <w:rsid w:val="00BB7564"/>
    <w:rsid w:val="00BC0D96"/>
    <w:rsid w:val="00BC227E"/>
    <w:rsid w:val="00BC7BF0"/>
    <w:rsid w:val="00BD5F10"/>
    <w:rsid w:val="00BD68F4"/>
    <w:rsid w:val="00BD7510"/>
    <w:rsid w:val="00BD796D"/>
    <w:rsid w:val="00BF1478"/>
    <w:rsid w:val="00BF1E93"/>
    <w:rsid w:val="00C260E2"/>
    <w:rsid w:val="00C322E3"/>
    <w:rsid w:val="00C560DD"/>
    <w:rsid w:val="00C64845"/>
    <w:rsid w:val="00C96063"/>
    <w:rsid w:val="00C96167"/>
    <w:rsid w:val="00CA1F5D"/>
    <w:rsid w:val="00CA5D0F"/>
    <w:rsid w:val="00CA7692"/>
    <w:rsid w:val="00CB2B52"/>
    <w:rsid w:val="00CB2C2E"/>
    <w:rsid w:val="00CB6D9A"/>
    <w:rsid w:val="00CC35B7"/>
    <w:rsid w:val="00CC42F9"/>
    <w:rsid w:val="00CC5826"/>
    <w:rsid w:val="00CC5C55"/>
    <w:rsid w:val="00CD1278"/>
    <w:rsid w:val="00CE2F22"/>
    <w:rsid w:val="00CF0E12"/>
    <w:rsid w:val="00CF2FCB"/>
    <w:rsid w:val="00CF32F2"/>
    <w:rsid w:val="00CF404F"/>
    <w:rsid w:val="00CF7222"/>
    <w:rsid w:val="00D1251F"/>
    <w:rsid w:val="00D23AB5"/>
    <w:rsid w:val="00D327C7"/>
    <w:rsid w:val="00D50C8D"/>
    <w:rsid w:val="00D65A1A"/>
    <w:rsid w:val="00D91B51"/>
    <w:rsid w:val="00DA3372"/>
    <w:rsid w:val="00DA6613"/>
    <w:rsid w:val="00DB48C5"/>
    <w:rsid w:val="00DB725F"/>
    <w:rsid w:val="00DC3466"/>
    <w:rsid w:val="00DD1E8F"/>
    <w:rsid w:val="00DE2996"/>
    <w:rsid w:val="00DE53C9"/>
    <w:rsid w:val="00DF6DBC"/>
    <w:rsid w:val="00E07686"/>
    <w:rsid w:val="00E21ED7"/>
    <w:rsid w:val="00E222AC"/>
    <w:rsid w:val="00E25C2B"/>
    <w:rsid w:val="00E304D3"/>
    <w:rsid w:val="00E32CFB"/>
    <w:rsid w:val="00E507C9"/>
    <w:rsid w:val="00E72F2B"/>
    <w:rsid w:val="00E76175"/>
    <w:rsid w:val="00E825E1"/>
    <w:rsid w:val="00E86CF4"/>
    <w:rsid w:val="00E97AF6"/>
    <w:rsid w:val="00EA5217"/>
    <w:rsid w:val="00EB2878"/>
    <w:rsid w:val="00EC13A6"/>
    <w:rsid w:val="00ED180C"/>
    <w:rsid w:val="00ED61CD"/>
    <w:rsid w:val="00EE4204"/>
    <w:rsid w:val="00EF12DD"/>
    <w:rsid w:val="00F0779E"/>
    <w:rsid w:val="00F128A9"/>
    <w:rsid w:val="00F32479"/>
    <w:rsid w:val="00F32AA9"/>
    <w:rsid w:val="00F5482B"/>
    <w:rsid w:val="00F54F53"/>
    <w:rsid w:val="00F57063"/>
    <w:rsid w:val="00F90927"/>
    <w:rsid w:val="00F92138"/>
    <w:rsid w:val="00FA1FA7"/>
    <w:rsid w:val="00FB246D"/>
    <w:rsid w:val="00FC3D2D"/>
    <w:rsid w:val="00FC4883"/>
    <w:rsid w:val="00FC6D75"/>
    <w:rsid w:val="00FE1684"/>
    <w:rsid w:val="00FE5839"/>
    <w:rsid w:val="00FE5CCD"/>
    <w:rsid w:val="00FF12FB"/>
    <w:rsid w:val="00FF78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BD68F4"/>
    <w:pPr>
      <w:numPr>
        <w:ilvl w:val="1"/>
        <w:numId w:val="3"/>
      </w:numPr>
      <w:spacing w:line="264" w:lineRule="auto"/>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967E3F"/>
    <w:pPr>
      <w:spacing w:before="60" w:after="0"/>
      <w:ind w:left="1134" w:right="0" w:hanging="567"/>
    </w:pPr>
    <w:rPr>
      <w:rFonts w:ascii="Calibri" w:hAnsi="Calibri"/>
      <w:b w:val="0"/>
      <w:color w:val="auto"/>
      <w:sz w:val="24"/>
      <w:u w:val="single"/>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styleId="FollowedHyperlink">
    <w:name w:val="FollowedHyperlink"/>
    <w:basedOn w:val="DefaultParagraphFont"/>
    <w:uiPriority w:val="99"/>
    <w:semiHidden/>
    <w:unhideWhenUsed/>
    <w:rsid w:val="00135D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3">
    <w:name w:val="heading 3"/>
    <w:basedOn w:val="Normal"/>
    <w:next w:val="Normal"/>
    <w:link w:val="Heading3Char"/>
    <w:uiPriority w:val="9"/>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qFormat/>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qFormat/>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__data/assets/pdf_file/0008/483479/Registration-of-Home-Education-in-the-ACT-Manu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det.act.gov.au/contact_us" TargetMode="External"/><Relationship Id="rId4" Type="http://schemas.openxmlformats.org/officeDocument/2006/relationships/settings" Target="settings.xml"/><Relationship Id="rId9" Type="http://schemas.openxmlformats.org/officeDocument/2006/relationships/hyperlink" Target="mailto:det.legal.liaison@act.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4744D-2B63-4F54-9EB0-EF0E1C34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ACT Education and Training</dc:creator>
  <cp:lastModifiedBy>Leeanne Honeyball</cp:lastModifiedBy>
  <cp:revision>17</cp:revision>
  <cp:lastPrinted>2015-10-07T00:22:00Z</cp:lastPrinted>
  <dcterms:created xsi:type="dcterms:W3CDTF">2015-10-01T01:33:00Z</dcterms:created>
  <dcterms:modified xsi:type="dcterms:W3CDTF">2015-10-26T22:21:00Z</dcterms:modified>
</cp:coreProperties>
</file>