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47" w:rsidRDefault="00190247" w:rsidP="00F55287">
      <w:pPr>
        <w:pStyle w:val="BodyText3"/>
        <w:spacing w:after="0"/>
        <w:rPr>
          <w:rFonts w:ascii="Calibri" w:hAnsi="Calibri" w:cs="Calibri"/>
          <w:b/>
          <w:color w:val="FFFFFF" w:themeColor="background1"/>
          <w:sz w:val="24"/>
          <w:szCs w:val="24"/>
        </w:rPr>
      </w:pPr>
    </w:p>
    <w:p w:rsidR="00190247" w:rsidRDefault="00190247" w:rsidP="00F55287">
      <w:pPr>
        <w:pStyle w:val="BodyText3"/>
        <w:spacing w:after="0"/>
        <w:rPr>
          <w:rFonts w:ascii="Calibri" w:hAnsi="Calibri" w:cs="Calibri"/>
          <w:b/>
          <w:color w:val="FFFFFF" w:themeColor="background1"/>
          <w:sz w:val="24"/>
          <w:szCs w:val="24"/>
        </w:rPr>
      </w:pPr>
    </w:p>
    <w:p w:rsidR="00FA01C1" w:rsidRPr="00FA01C1" w:rsidRDefault="00FA01C1" w:rsidP="00FA01C1">
      <w:pPr>
        <w:pStyle w:val="Heading1"/>
        <w:ind w:left="709"/>
        <w:rPr>
          <w:rFonts w:asciiTheme="minorHAnsi" w:hAnsiTheme="minorHAnsi"/>
          <w:b w:val="0"/>
          <w:caps w:val="0"/>
          <w:color w:val="FFFFFF" w:themeColor="background1"/>
          <w:sz w:val="44"/>
          <w:szCs w:val="44"/>
        </w:rPr>
      </w:pPr>
      <w:r w:rsidRPr="00FA01C1">
        <w:rPr>
          <w:rFonts w:asciiTheme="minorHAnsi" w:hAnsiTheme="minorHAnsi"/>
          <w:b w:val="0"/>
          <w:caps w:val="0"/>
          <w:color w:val="FFFFFF" w:themeColor="background1"/>
          <w:sz w:val="44"/>
          <w:szCs w:val="44"/>
        </w:rPr>
        <w:t xml:space="preserve">Safe and Supportive Schools policy </w:t>
      </w:r>
    </w:p>
    <w:p w:rsidR="00190247" w:rsidRPr="00F25B11" w:rsidRDefault="00190247" w:rsidP="00FA01C1">
      <w:pPr>
        <w:pStyle w:val="Heading1"/>
        <w:ind w:left="709"/>
        <w:rPr>
          <w:rFonts w:asciiTheme="minorHAnsi" w:hAnsiTheme="minorHAnsi"/>
          <w:b w:val="0"/>
          <w:color w:val="FFFFFF" w:themeColor="background1"/>
          <w:sz w:val="36"/>
          <w:szCs w:val="36"/>
        </w:rPr>
      </w:pPr>
      <w:r w:rsidRPr="00F25B11">
        <w:rPr>
          <w:rFonts w:asciiTheme="minorHAnsi" w:hAnsiTheme="minorHAnsi"/>
          <w:b w:val="0"/>
          <w:caps w:val="0"/>
          <w:color w:val="FFFFFF" w:themeColor="background1"/>
          <w:sz w:val="36"/>
          <w:szCs w:val="36"/>
        </w:rPr>
        <w:t xml:space="preserve">Fact Sheet </w:t>
      </w:r>
      <w:r w:rsidR="00D977D1">
        <w:rPr>
          <w:rFonts w:asciiTheme="minorHAnsi" w:hAnsiTheme="minorHAnsi"/>
          <w:b w:val="0"/>
          <w:caps w:val="0"/>
          <w:color w:val="FFFFFF" w:themeColor="background1"/>
          <w:sz w:val="36"/>
          <w:szCs w:val="36"/>
        </w:rPr>
        <w:t>f</w:t>
      </w:r>
      <w:r w:rsidR="00B75143">
        <w:rPr>
          <w:rFonts w:asciiTheme="minorHAnsi" w:hAnsiTheme="minorHAnsi"/>
          <w:b w:val="0"/>
          <w:caps w:val="0"/>
          <w:color w:val="FFFFFF" w:themeColor="background1"/>
          <w:sz w:val="36"/>
          <w:szCs w:val="36"/>
        </w:rPr>
        <w:t>or Parents and Carers</w:t>
      </w:r>
      <w:r w:rsidR="00FA01C1" w:rsidRPr="00F25B11">
        <w:rPr>
          <w:rFonts w:asciiTheme="minorHAnsi" w:hAnsiTheme="minorHAnsi"/>
          <w:b w:val="0"/>
          <w:caps w:val="0"/>
          <w:color w:val="FFFFFF" w:themeColor="background1"/>
          <w:sz w:val="36"/>
          <w:szCs w:val="36"/>
        </w:rPr>
        <w:t xml:space="preserve"> </w:t>
      </w:r>
    </w:p>
    <w:p w:rsidR="00190247" w:rsidRDefault="00190247" w:rsidP="00F55287">
      <w:pPr>
        <w:pStyle w:val="Header"/>
        <w:tabs>
          <w:tab w:val="clear" w:pos="4513"/>
        </w:tabs>
        <w:rPr>
          <w:rFonts w:asciiTheme="minorHAnsi" w:hAnsiTheme="minorHAnsi"/>
          <w:b w:val="0"/>
          <w:color w:val="auto"/>
          <w:sz w:val="22"/>
        </w:rPr>
      </w:pPr>
    </w:p>
    <w:p w:rsidR="00BB26E4" w:rsidRDefault="00BB26E4">
      <w:pPr>
        <w:pStyle w:val="Header"/>
        <w:tabs>
          <w:tab w:val="clear" w:pos="4513"/>
        </w:tabs>
        <w:ind w:left="-993"/>
        <w:rPr>
          <w:rFonts w:asciiTheme="minorHAnsi" w:hAnsiTheme="minorHAnsi"/>
          <w:b w:val="0"/>
          <w:color w:val="auto"/>
          <w:sz w:val="22"/>
        </w:rPr>
      </w:pPr>
    </w:p>
    <w:p w:rsidR="00645A85" w:rsidRPr="000216A8" w:rsidRDefault="00B75143" w:rsidP="00645A85">
      <w:pPr>
        <w:pStyle w:val="BulletListL1"/>
        <w:tabs>
          <w:tab w:val="clear" w:pos="1117"/>
        </w:tabs>
        <w:spacing w:before="0"/>
        <w:ind w:left="794" w:firstLine="0"/>
        <w:rPr>
          <w:rFonts w:asciiTheme="minorHAnsi" w:hAnsiTheme="minorHAnsi"/>
          <w:szCs w:val="22"/>
        </w:rPr>
      </w:pPr>
      <w:r>
        <w:rPr>
          <w:rFonts w:asciiTheme="minorHAnsi" w:hAnsiTheme="minorHAnsi"/>
          <w:szCs w:val="22"/>
        </w:rPr>
        <w:t xml:space="preserve">Canberra </w:t>
      </w:r>
      <w:r w:rsidR="00645A85" w:rsidRPr="000216A8">
        <w:rPr>
          <w:rFonts w:asciiTheme="minorHAnsi" w:hAnsiTheme="minorHAnsi"/>
          <w:szCs w:val="22"/>
        </w:rPr>
        <w:t>public schools are committed to providing positive and engaging environments where young people feel connected, respected, achieve success and are fully engaged in education. To achieve this</w:t>
      </w:r>
      <w:r w:rsidR="00AC7C60">
        <w:rPr>
          <w:rFonts w:asciiTheme="minorHAnsi" w:hAnsiTheme="minorHAnsi"/>
          <w:szCs w:val="22"/>
        </w:rPr>
        <w:t>, the policy requires the school with the support of the</w:t>
      </w:r>
      <w:r w:rsidR="00645A85" w:rsidRPr="000216A8">
        <w:rPr>
          <w:rFonts w:asciiTheme="minorHAnsi" w:hAnsiTheme="minorHAnsi"/>
          <w:szCs w:val="22"/>
        </w:rPr>
        <w:t xml:space="preserve"> whole school community have a responsibility to:</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build the self awareness, self management, social awareness and social management capabilities of students to engage in respectful relationships as well as applying restorative and disciplinary measures</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support teachers to meet the social and emotional needs of students in the school environment</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foster an engaging school environment</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consult the school community in the development of school processes and procedures</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ensure schools are organised in ways that provide a duty of care</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value diversity and promote positive social behaviour</w:t>
      </w:r>
    </w:p>
    <w:p w:rsidR="00645A85" w:rsidRPr="000216A8" w:rsidRDefault="00645A85" w:rsidP="00645A85">
      <w:pPr>
        <w:pStyle w:val="BulletListL1"/>
        <w:numPr>
          <w:ilvl w:val="0"/>
          <w:numId w:val="16"/>
        </w:numPr>
        <w:spacing w:before="0"/>
        <w:rPr>
          <w:rFonts w:asciiTheme="minorHAnsi" w:hAnsiTheme="minorHAnsi"/>
          <w:b/>
          <w:szCs w:val="22"/>
        </w:rPr>
      </w:pPr>
      <w:r w:rsidRPr="000216A8">
        <w:rPr>
          <w:rFonts w:asciiTheme="minorHAnsi" w:hAnsiTheme="minorHAnsi"/>
          <w:szCs w:val="22"/>
        </w:rPr>
        <w:t>support students requiring intensive, individualised behavioural support in an appropriate and timely manner.</w:t>
      </w:r>
    </w:p>
    <w:p w:rsidR="00645A85" w:rsidRPr="000216A8" w:rsidRDefault="00645A85" w:rsidP="00645A85">
      <w:pPr>
        <w:pStyle w:val="BulletListL1"/>
        <w:tabs>
          <w:tab w:val="clear" w:pos="1117"/>
        </w:tabs>
        <w:ind w:left="0" w:firstLine="720"/>
        <w:rPr>
          <w:rFonts w:asciiTheme="minorHAnsi" w:hAnsiTheme="minorHAnsi"/>
          <w:b/>
          <w:szCs w:val="22"/>
        </w:rPr>
      </w:pPr>
    </w:p>
    <w:p w:rsidR="00645A85" w:rsidRPr="000216A8" w:rsidRDefault="00645A85" w:rsidP="00645A85">
      <w:pPr>
        <w:pStyle w:val="BulletListL1"/>
        <w:tabs>
          <w:tab w:val="clear" w:pos="1117"/>
        </w:tabs>
        <w:ind w:left="0" w:firstLine="720"/>
        <w:rPr>
          <w:rFonts w:asciiTheme="minorHAnsi" w:hAnsiTheme="minorHAnsi"/>
          <w:b/>
          <w:szCs w:val="22"/>
        </w:rPr>
      </w:pPr>
      <w:r w:rsidRPr="000216A8">
        <w:rPr>
          <w:rFonts w:asciiTheme="minorHAnsi" w:hAnsiTheme="minorHAnsi"/>
          <w:b/>
          <w:szCs w:val="22"/>
        </w:rPr>
        <w:t xml:space="preserve">The policy at a glance </w:t>
      </w:r>
    </w:p>
    <w:p w:rsidR="00645A85" w:rsidRPr="000216A8" w:rsidRDefault="00645A85" w:rsidP="00645A85">
      <w:pPr>
        <w:pStyle w:val="BulletListL1"/>
        <w:tabs>
          <w:tab w:val="clear" w:pos="1117"/>
        </w:tabs>
        <w:spacing w:before="0"/>
        <w:ind w:left="794" w:firstLine="0"/>
        <w:rPr>
          <w:rFonts w:asciiTheme="minorHAnsi" w:hAnsiTheme="minorHAnsi"/>
          <w:szCs w:val="22"/>
        </w:rPr>
      </w:pPr>
      <w:r w:rsidRPr="000216A8">
        <w:rPr>
          <w:rFonts w:asciiTheme="minorHAnsi" w:hAnsiTheme="minorHAnsi"/>
          <w:szCs w:val="22"/>
        </w:rPr>
        <w:t>School communities will create a safe and supportive environment by:</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developing processes and procedures to address bullying and other forms of harassment and violence</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applying restorative and disciplinary measures</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developing processes for the use of protective action when a significant danger is present that may cause injury or harm to individuals</w:t>
      </w:r>
    </w:p>
    <w:p w:rsidR="00645A85" w:rsidRPr="000216A8" w:rsidRDefault="00645A85" w:rsidP="00645A85">
      <w:pPr>
        <w:pStyle w:val="BulletListL1"/>
        <w:numPr>
          <w:ilvl w:val="0"/>
          <w:numId w:val="16"/>
        </w:numPr>
        <w:spacing w:before="0"/>
        <w:rPr>
          <w:rFonts w:asciiTheme="minorHAnsi" w:hAnsiTheme="minorHAnsi"/>
          <w:szCs w:val="22"/>
        </w:rPr>
      </w:pPr>
      <w:r w:rsidRPr="000216A8">
        <w:rPr>
          <w:rFonts w:asciiTheme="minorHAnsi" w:hAnsiTheme="minorHAnsi"/>
          <w:szCs w:val="22"/>
        </w:rPr>
        <w:t xml:space="preserve">developing Positive Behaviour Support Plans for students with complex and challenging behaviour, including behaviour which may result in injury to themselves or others.  </w:t>
      </w:r>
    </w:p>
    <w:p w:rsidR="00645A85" w:rsidRPr="000216A8" w:rsidRDefault="00645A85" w:rsidP="00645A85">
      <w:pPr>
        <w:pStyle w:val="BulletListL1"/>
        <w:tabs>
          <w:tab w:val="clear" w:pos="1117"/>
        </w:tabs>
        <w:ind w:left="794" w:firstLine="0"/>
        <w:rPr>
          <w:rFonts w:asciiTheme="minorHAnsi" w:hAnsiTheme="minorHAnsi"/>
          <w:szCs w:val="22"/>
        </w:rPr>
      </w:pPr>
    </w:p>
    <w:p w:rsidR="00645A85" w:rsidRPr="000216A8" w:rsidRDefault="00645A85" w:rsidP="00645A85">
      <w:pPr>
        <w:pStyle w:val="BulletListL1"/>
        <w:tabs>
          <w:tab w:val="clear" w:pos="1117"/>
        </w:tabs>
        <w:spacing w:before="0"/>
        <w:ind w:left="794" w:firstLine="0"/>
        <w:rPr>
          <w:rFonts w:asciiTheme="minorHAnsi" w:hAnsiTheme="minorHAnsi"/>
          <w:szCs w:val="22"/>
        </w:rPr>
      </w:pPr>
      <w:r w:rsidRPr="000216A8">
        <w:rPr>
          <w:rFonts w:asciiTheme="minorHAnsi" w:hAnsiTheme="minorHAnsi"/>
          <w:szCs w:val="22"/>
        </w:rPr>
        <w:t xml:space="preserve">The </w:t>
      </w:r>
      <w:r w:rsidRPr="000216A8">
        <w:rPr>
          <w:rFonts w:asciiTheme="minorHAnsi" w:hAnsiTheme="minorHAnsi"/>
          <w:i/>
          <w:szCs w:val="22"/>
        </w:rPr>
        <w:t>National Safe Schools Framework</w:t>
      </w:r>
      <w:r w:rsidRPr="000216A8">
        <w:rPr>
          <w:rFonts w:asciiTheme="minorHAnsi" w:hAnsiTheme="minorHAnsi"/>
          <w:szCs w:val="22"/>
        </w:rPr>
        <w:t xml:space="preserve"> (NSSF) and the </w:t>
      </w:r>
      <w:r w:rsidRPr="000216A8">
        <w:rPr>
          <w:rFonts w:asciiTheme="minorHAnsi" w:hAnsiTheme="minorHAnsi"/>
          <w:i/>
          <w:szCs w:val="22"/>
        </w:rPr>
        <w:t>Safe and Supportive Schools</w:t>
      </w:r>
      <w:r w:rsidRPr="000216A8">
        <w:rPr>
          <w:rFonts w:asciiTheme="minorHAnsi" w:hAnsiTheme="minorHAnsi"/>
          <w:szCs w:val="22"/>
        </w:rPr>
        <w:t xml:space="preserve"> policy and procedures provide specific guidance to schools. This guidance includes the need for school developed processes and procedures to address bullying, harassment and violence, designating specific staff to address issues of bullying, harassment and violence, directions on the use of physical handling of students and professional learning requirements for staff. Parents and carers can access further information about the NSSF at the Student Wellbeing Hub (</w:t>
      </w:r>
      <w:hyperlink r:id="rId9" w:history="1">
        <w:r w:rsidRPr="000216A8">
          <w:rPr>
            <w:rStyle w:val="Hyperlink"/>
            <w:rFonts w:asciiTheme="minorHAnsi" w:hAnsiTheme="minorHAnsi"/>
            <w:szCs w:val="22"/>
          </w:rPr>
          <w:t>https://studentwellbeinghub.edu.au/</w:t>
        </w:r>
      </w:hyperlink>
      <w:r w:rsidRPr="000216A8">
        <w:rPr>
          <w:rFonts w:asciiTheme="minorHAnsi" w:hAnsiTheme="minorHAnsi"/>
          <w:szCs w:val="22"/>
        </w:rPr>
        <w:t xml:space="preserve"> ).</w:t>
      </w:r>
    </w:p>
    <w:p w:rsidR="00645A85" w:rsidRPr="000216A8" w:rsidRDefault="00645A85" w:rsidP="00645A85">
      <w:pPr>
        <w:pStyle w:val="BulletListL1"/>
        <w:tabs>
          <w:tab w:val="clear" w:pos="1117"/>
        </w:tabs>
        <w:ind w:left="794" w:firstLine="0"/>
        <w:rPr>
          <w:rFonts w:asciiTheme="minorHAnsi" w:hAnsiTheme="minorHAnsi"/>
          <w:szCs w:val="22"/>
        </w:rPr>
      </w:pPr>
    </w:p>
    <w:p w:rsidR="00645A85" w:rsidRPr="000216A8" w:rsidRDefault="00645A85" w:rsidP="00645A85">
      <w:pPr>
        <w:pStyle w:val="BulletListL1"/>
        <w:tabs>
          <w:tab w:val="clear" w:pos="1117"/>
        </w:tabs>
        <w:ind w:left="794" w:firstLine="0"/>
        <w:rPr>
          <w:rFonts w:asciiTheme="minorHAnsi" w:hAnsiTheme="minorHAnsi"/>
          <w:szCs w:val="22"/>
        </w:rPr>
      </w:pPr>
      <w:r w:rsidRPr="000216A8">
        <w:rPr>
          <w:rFonts w:asciiTheme="minorHAnsi" w:hAnsiTheme="minorHAnsi"/>
          <w:szCs w:val="22"/>
        </w:rPr>
        <w:t>Social and Emotional Learning programs develop social skills and resiliency in students to enable them to thrive and lead fulfilling, productive and responsible lives. They allow explicit teaching of interpersonal and emotional regulation skills that underpin successful engagement in schooling.</w:t>
      </w:r>
    </w:p>
    <w:p w:rsidR="00645A85" w:rsidRPr="000216A8" w:rsidRDefault="00645A85" w:rsidP="00645A85">
      <w:pPr>
        <w:pStyle w:val="BulletListL1"/>
        <w:tabs>
          <w:tab w:val="clear" w:pos="1117"/>
        </w:tabs>
        <w:ind w:left="794" w:firstLine="0"/>
        <w:rPr>
          <w:rFonts w:asciiTheme="minorHAnsi" w:hAnsiTheme="minorHAnsi"/>
          <w:szCs w:val="22"/>
        </w:rPr>
      </w:pPr>
    </w:p>
    <w:p w:rsidR="00FA01C1" w:rsidRPr="000216A8" w:rsidRDefault="00645A85" w:rsidP="00645A85">
      <w:pPr>
        <w:pStyle w:val="BulletListL1"/>
        <w:tabs>
          <w:tab w:val="clear" w:pos="1117"/>
        </w:tabs>
        <w:ind w:left="794" w:firstLine="0"/>
        <w:rPr>
          <w:rFonts w:asciiTheme="minorHAnsi" w:hAnsiTheme="minorHAnsi"/>
          <w:szCs w:val="22"/>
        </w:rPr>
      </w:pPr>
      <w:r w:rsidRPr="000216A8">
        <w:rPr>
          <w:rFonts w:asciiTheme="minorHAnsi" w:hAnsiTheme="minorHAnsi"/>
          <w:szCs w:val="22"/>
        </w:rPr>
        <w:t xml:space="preserve">Evaluation of the school’s safe, respectful and supportive environment is linked to the following domains in the National School Improvement Tool: School-Community Partnerships, Analysing and Discussing Data, Systematic Curriculum Delivery, Differentiated Teaching and Learning, </w:t>
      </w:r>
    </w:p>
    <w:p w:rsidR="00645A85" w:rsidRPr="000216A8" w:rsidRDefault="00645A85" w:rsidP="00FA01C1">
      <w:pPr>
        <w:pStyle w:val="BulletListL1"/>
        <w:tabs>
          <w:tab w:val="clear" w:pos="1117"/>
        </w:tabs>
        <w:ind w:left="720" w:firstLine="0"/>
        <w:rPr>
          <w:rFonts w:asciiTheme="minorHAnsi" w:hAnsiTheme="minorHAnsi"/>
          <w:szCs w:val="22"/>
        </w:rPr>
      </w:pPr>
      <w:r w:rsidRPr="000216A8">
        <w:rPr>
          <w:rFonts w:asciiTheme="minorHAnsi" w:hAnsiTheme="minorHAnsi"/>
          <w:szCs w:val="22"/>
        </w:rPr>
        <w:lastRenderedPageBreak/>
        <w:t xml:space="preserve">Targeted Use of School Resources, An Expert Team and A Culture That Promotes Learning. Schools can also use the Safe Schools Audit Tool to monitor the progress of their implementation of the </w:t>
      </w:r>
      <w:r w:rsidRPr="000216A8">
        <w:rPr>
          <w:rFonts w:asciiTheme="minorHAnsi" w:hAnsiTheme="minorHAnsi"/>
          <w:i/>
          <w:szCs w:val="22"/>
        </w:rPr>
        <w:t>National Safe Schools Framework</w:t>
      </w:r>
      <w:r w:rsidRPr="000216A8">
        <w:rPr>
          <w:rFonts w:asciiTheme="minorHAnsi" w:hAnsiTheme="minorHAnsi"/>
          <w:szCs w:val="22"/>
        </w:rPr>
        <w:t xml:space="preserve"> domains. These two documents form a part of the school review process which schools participate in during a five year cycle.</w:t>
      </w:r>
    </w:p>
    <w:p w:rsidR="00645A85" w:rsidRPr="000216A8" w:rsidRDefault="00645A85" w:rsidP="00645A85">
      <w:pPr>
        <w:pStyle w:val="BulletListL1"/>
        <w:tabs>
          <w:tab w:val="clear" w:pos="1117"/>
        </w:tabs>
        <w:ind w:left="794" w:firstLine="0"/>
        <w:rPr>
          <w:rFonts w:asciiTheme="minorHAnsi" w:hAnsiTheme="minorHAnsi"/>
          <w:szCs w:val="22"/>
        </w:rPr>
      </w:pPr>
    </w:p>
    <w:p w:rsidR="00645A85" w:rsidRPr="000216A8" w:rsidRDefault="00645A85" w:rsidP="00645A85">
      <w:pPr>
        <w:pStyle w:val="BulletListL1"/>
        <w:tabs>
          <w:tab w:val="clear" w:pos="1117"/>
        </w:tabs>
        <w:ind w:left="794" w:firstLine="0"/>
        <w:rPr>
          <w:rFonts w:asciiTheme="minorHAnsi" w:hAnsiTheme="minorHAnsi"/>
          <w:szCs w:val="22"/>
        </w:rPr>
      </w:pPr>
      <w:r w:rsidRPr="000216A8">
        <w:rPr>
          <w:rFonts w:asciiTheme="minorHAnsi" w:hAnsiTheme="minorHAnsi"/>
          <w:szCs w:val="22"/>
        </w:rPr>
        <w:t xml:space="preserve">An important theme both in the </w:t>
      </w:r>
      <w:r w:rsidRPr="000216A8">
        <w:rPr>
          <w:rFonts w:asciiTheme="minorHAnsi" w:hAnsiTheme="minorHAnsi"/>
          <w:i/>
          <w:szCs w:val="22"/>
        </w:rPr>
        <w:t>National Safe Schools Framework</w:t>
      </w:r>
      <w:r w:rsidRPr="000216A8">
        <w:rPr>
          <w:rFonts w:asciiTheme="minorHAnsi" w:hAnsiTheme="minorHAnsi"/>
          <w:szCs w:val="22"/>
        </w:rPr>
        <w:t xml:space="preserve"> and the </w:t>
      </w:r>
      <w:r w:rsidRPr="000216A8">
        <w:rPr>
          <w:rFonts w:asciiTheme="minorHAnsi" w:hAnsiTheme="minorHAnsi"/>
          <w:i/>
          <w:szCs w:val="22"/>
        </w:rPr>
        <w:t>Safe and Supportive Schools</w:t>
      </w:r>
      <w:r w:rsidRPr="000216A8">
        <w:rPr>
          <w:rFonts w:asciiTheme="minorHAnsi" w:hAnsiTheme="minorHAnsi"/>
          <w:szCs w:val="22"/>
        </w:rPr>
        <w:t xml:space="preserve"> policy and procedures is involvement of the whole school community. Involving parents, students and other organisations will increase innovative strategies and procedures, as well as promote communication and ownership of processes and procedures for all school community members. </w:t>
      </w:r>
    </w:p>
    <w:p w:rsidR="00645A85" w:rsidRPr="000216A8" w:rsidRDefault="00645A85" w:rsidP="00645A85">
      <w:pPr>
        <w:pStyle w:val="BulletListL1"/>
        <w:tabs>
          <w:tab w:val="clear" w:pos="1117"/>
        </w:tabs>
        <w:ind w:left="794" w:hanging="74"/>
        <w:rPr>
          <w:rFonts w:asciiTheme="minorHAnsi" w:hAnsiTheme="minorHAnsi"/>
          <w:szCs w:val="22"/>
        </w:rPr>
      </w:pPr>
    </w:p>
    <w:p w:rsidR="00BB26E4" w:rsidRPr="000216A8" w:rsidRDefault="00BB26E4">
      <w:pPr>
        <w:rPr>
          <w:rFonts w:asciiTheme="minorHAnsi" w:hAnsiTheme="minorHAnsi"/>
        </w:rPr>
      </w:pPr>
    </w:p>
    <w:p w:rsidR="00BB26E4" w:rsidRPr="000216A8" w:rsidRDefault="0047185A" w:rsidP="00FA01C1">
      <w:pPr>
        <w:pStyle w:val="Heading1"/>
        <w:ind w:left="709"/>
        <w:rPr>
          <w:rFonts w:asciiTheme="minorHAnsi" w:hAnsiTheme="minorHAnsi"/>
          <w:sz w:val="22"/>
          <w:szCs w:val="22"/>
        </w:rPr>
      </w:pPr>
      <w:r w:rsidRPr="000216A8">
        <w:rPr>
          <w:rFonts w:asciiTheme="minorHAnsi" w:hAnsiTheme="minorHAnsi"/>
          <w:sz w:val="22"/>
          <w:szCs w:val="22"/>
        </w:rPr>
        <w:t>More Information</w:t>
      </w:r>
    </w:p>
    <w:p w:rsidR="00BB26E4" w:rsidRPr="000216A8" w:rsidRDefault="00190247" w:rsidP="00FA01C1">
      <w:pPr>
        <w:ind w:left="709"/>
        <w:rPr>
          <w:rFonts w:asciiTheme="minorHAnsi" w:hAnsiTheme="minorHAnsi"/>
        </w:rPr>
      </w:pPr>
      <w:r w:rsidRPr="000216A8">
        <w:rPr>
          <w:rFonts w:asciiTheme="minorHAnsi" w:hAnsiTheme="minorHAnsi"/>
        </w:rPr>
        <w:t xml:space="preserve">Refer to the Safe and Supportive Schools Policy and Procedures </w:t>
      </w:r>
      <w:hyperlink w:history="1">
        <w:r w:rsidRPr="000216A8">
          <w:rPr>
            <w:rStyle w:val="Hyperlink"/>
            <w:rFonts w:asciiTheme="minorHAnsi" w:hAnsiTheme="minorHAnsi"/>
          </w:rPr>
          <w:t xml:space="preserve"> www.education.act.gov.au</w:t>
        </w:r>
      </w:hyperlink>
      <w:r w:rsidRPr="000216A8">
        <w:rPr>
          <w:rFonts w:asciiTheme="minorHAnsi" w:hAnsiTheme="minorHAnsi"/>
        </w:rPr>
        <w:t xml:space="preserve"> </w:t>
      </w:r>
    </w:p>
    <w:p w:rsidR="00BB26E4" w:rsidRPr="000216A8" w:rsidRDefault="0047185A" w:rsidP="00FA01C1">
      <w:pPr>
        <w:ind w:left="709"/>
        <w:rPr>
          <w:rFonts w:asciiTheme="minorHAnsi" w:hAnsiTheme="minorHAnsi"/>
        </w:rPr>
      </w:pPr>
      <w:r w:rsidRPr="000216A8">
        <w:rPr>
          <w:rFonts w:asciiTheme="minorHAnsi" w:hAnsiTheme="minorHAnsi"/>
        </w:rPr>
        <w:t xml:space="preserve">For more information contact the Safe and Supportive Schools </w:t>
      </w:r>
      <w:r w:rsidR="00D43C70">
        <w:rPr>
          <w:rFonts w:asciiTheme="minorHAnsi" w:hAnsiTheme="minorHAnsi"/>
        </w:rPr>
        <w:t>Executive Officer</w:t>
      </w:r>
      <w:r w:rsidRPr="000216A8">
        <w:rPr>
          <w:rFonts w:asciiTheme="minorHAnsi" w:hAnsiTheme="minorHAnsi"/>
        </w:rPr>
        <w:t xml:space="preserve"> 6</w:t>
      </w:r>
      <w:r w:rsidR="002160F8" w:rsidRPr="000216A8">
        <w:rPr>
          <w:rFonts w:asciiTheme="minorHAnsi" w:hAnsiTheme="minorHAnsi"/>
        </w:rPr>
        <w:t>207 0457 or ETDStudentWellbeing</w:t>
      </w:r>
      <w:r w:rsidRPr="000216A8">
        <w:rPr>
          <w:rFonts w:asciiTheme="minorHAnsi" w:hAnsiTheme="minorHAnsi"/>
        </w:rPr>
        <w:t>@act.gov.au</w:t>
      </w:r>
    </w:p>
    <w:sectPr w:rsidR="00BB26E4" w:rsidRPr="000216A8" w:rsidSect="00FA01C1">
      <w:headerReference w:type="even" r:id="rId10"/>
      <w:headerReference w:type="default" r:id="rId11"/>
      <w:footerReference w:type="even" r:id="rId12"/>
      <w:footerReference w:type="default" r:id="rId13"/>
      <w:headerReference w:type="first" r:id="rId14"/>
      <w:footerReference w:type="first" r:id="rId15"/>
      <w:pgSz w:w="11906" w:h="16838"/>
      <w:pgMar w:top="1276" w:right="1416" w:bottom="993" w:left="28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E9" w:rsidRDefault="00AB5AE9" w:rsidP="0047185A">
      <w:pPr>
        <w:spacing w:before="0" w:after="0"/>
      </w:pPr>
      <w:r>
        <w:separator/>
      </w:r>
    </w:p>
  </w:endnote>
  <w:endnote w:type="continuationSeparator" w:id="0">
    <w:p w:rsidR="00AB5AE9" w:rsidRDefault="00AB5AE9" w:rsidP="0047185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08" w:rsidRDefault="00EF2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E9" w:rsidRDefault="00AB5AE9">
    <w:pPr>
      <w:pStyle w:val="Footer"/>
    </w:pPr>
    <w:r w:rsidRPr="00FA01C1">
      <w:rPr>
        <w:noProof/>
        <w:lang w:eastAsia="en-AU"/>
      </w:rPr>
      <w:drawing>
        <wp:anchor distT="0" distB="0" distL="114300" distR="114300" simplePos="0" relativeHeight="251657728" behindDoc="1" locked="0" layoutInCell="1" allowOverlap="1">
          <wp:simplePos x="0" y="0"/>
          <wp:positionH relativeFrom="column">
            <wp:posOffset>-193040</wp:posOffset>
          </wp:positionH>
          <wp:positionV relativeFrom="paragraph">
            <wp:posOffset>-297815</wp:posOffset>
          </wp:positionV>
          <wp:extent cx="7613650" cy="622300"/>
          <wp:effectExtent l="1905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2 EDU factsheet.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1" t="-537" r="-511" b="12513"/>
                  <a:stretch/>
                </pic:blipFill>
                <pic:spPr bwMode="auto">
                  <a:xfrm>
                    <a:off x="0" y="0"/>
                    <a:ext cx="7613650" cy="622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736"/>
      <w:docPartObj>
        <w:docPartGallery w:val="Page Numbers (Bottom of Page)"/>
        <w:docPartUnique/>
      </w:docPartObj>
    </w:sdtPr>
    <w:sdtContent>
      <w:sdt>
        <w:sdtPr>
          <w:id w:val="565050523"/>
          <w:docPartObj>
            <w:docPartGallery w:val="Page Numbers (Top of Page)"/>
            <w:docPartUnique/>
          </w:docPartObj>
        </w:sdtPr>
        <w:sdtContent>
          <w:p w:rsidR="00AB5AE9" w:rsidRDefault="00AB5AE9">
            <w:pPr>
              <w:pStyle w:val="BodyText3"/>
              <w:spacing w:after="0"/>
              <w:ind w:hanging="993"/>
            </w:pPr>
            <w:r w:rsidRPr="00B643AD">
              <w:rPr>
                <w:rFonts w:ascii="Calibri" w:hAnsi="Calibri" w:cs="Calibri"/>
                <w:sz w:val="18"/>
                <w:szCs w:val="18"/>
              </w:rPr>
              <w:t>Use</w:t>
            </w:r>
            <w:r>
              <w:rPr>
                <w:rFonts w:asciiTheme="minorHAnsi" w:hAnsiTheme="minorHAnsi"/>
                <w:b/>
                <w:caps/>
                <w:sz w:val="18"/>
                <w:szCs w:val="18"/>
              </w:rPr>
              <w:tab/>
            </w:r>
            <w:r>
              <w:rPr>
                <w:rFonts w:asciiTheme="minorHAnsi" w:hAnsiTheme="minorHAnsi"/>
                <w:b/>
                <w:caps/>
                <w:sz w:val="18"/>
                <w:szCs w:val="18"/>
              </w:rPr>
              <w:tab/>
            </w:r>
            <w:r w:rsidRPr="00B643AD">
              <w:rPr>
                <w:rFonts w:asciiTheme="minorHAnsi" w:hAnsiTheme="minorHAnsi"/>
                <w:sz w:val="18"/>
                <w:szCs w:val="18"/>
              </w:rPr>
              <w:t xml:space="preserve">Page </w:t>
            </w:r>
            <w:r w:rsidR="006E1BCE" w:rsidRPr="00B643AD">
              <w:rPr>
                <w:rFonts w:asciiTheme="minorHAnsi" w:hAnsiTheme="minorHAnsi"/>
                <w:b/>
                <w:sz w:val="18"/>
                <w:szCs w:val="18"/>
              </w:rPr>
              <w:fldChar w:fldCharType="begin"/>
            </w:r>
            <w:r w:rsidRPr="00B643AD">
              <w:rPr>
                <w:rFonts w:asciiTheme="minorHAnsi" w:hAnsiTheme="minorHAnsi"/>
                <w:b/>
                <w:sz w:val="18"/>
                <w:szCs w:val="18"/>
              </w:rPr>
              <w:instrText xml:space="preserve"> PAGE </w:instrText>
            </w:r>
            <w:r w:rsidR="006E1BCE" w:rsidRPr="00B643AD">
              <w:rPr>
                <w:rFonts w:asciiTheme="minorHAnsi" w:hAnsiTheme="minorHAnsi"/>
                <w:b/>
                <w:sz w:val="18"/>
                <w:szCs w:val="18"/>
              </w:rPr>
              <w:fldChar w:fldCharType="separate"/>
            </w:r>
            <w:r w:rsidR="00EF2A08">
              <w:rPr>
                <w:rFonts w:asciiTheme="minorHAnsi" w:hAnsiTheme="minorHAnsi"/>
                <w:b/>
                <w:noProof/>
                <w:sz w:val="18"/>
                <w:szCs w:val="18"/>
              </w:rPr>
              <w:t>1</w:t>
            </w:r>
            <w:r w:rsidR="006E1BCE" w:rsidRPr="00B643AD">
              <w:rPr>
                <w:rFonts w:asciiTheme="minorHAnsi" w:hAnsiTheme="minorHAnsi"/>
                <w:b/>
                <w:sz w:val="18"/>
                <w:szCs w:val="18"/>
              </w:rPr>
              <w:fldChar w:fldCharType="end"/>
            </w:r>
            <w:r w:rsidRPr="00B643AD">
              <w:rPr>
                <w:rFonts w:asciiTheme="minorHAnsi" w:hAnsiTheme="minorHAnsi"/>
                <w:sz w:val="18"/>
                <w:szCs w:val="18"/>
              </w:rPr>
              <w:t xml:space="preserve"> of </w:t>
            </w:r>
            <w:r w:rsidR="006E1BCE" w:rsidRPr="00B643AD">
              <w:rPr>
                <w:rFonts w:asciiTheme="minorHAnsi" w:hAnsiTheme="minorHAnsi"/>
                <w:b/>
                <w:sz w:val="18"/>
                <w:szCs w:val="18"/>
              </w:rPr>
              <w:fldChar w:fldCharType="begin"/>
            </w:r>
            <w:r w:rsidRPr="00B643AD">
              <w:rPr>
                <w:rFonts w:asciiTheme="minorHAnsi" w:hAnsiTheme="minorHAnsi"/>
                <w:b/>
                <w:sz w:val="18"/>
                <w:szCs w:val="18"/>
              </w:rPr>
              <w:instrText xml:space="preserve"> NUMPAGES  </w:instrText>
            </w:r>
            <w:r w:rsidR="006E1BCE" w:rsidRPr="00B643AD">
              <w:rPr>
                <w:rFonts w:asciiTheme="minorHAnsi" w:hAnsiTheme="minorHAnsi"/>
                <w:b/>
                <w:sz w:val="18"/>
                <w:szCs w:val="18"/>
              </w:rPr>
              <w:fldChar w:fldCharType="separate"/>
            </w:r>
            <w:r w:rsidR="00EF2A08">
              <w:rPr>
                <w:rFonts w:asciiTheme="minorHAnsi" w:hAnsiTheme="minorHAnsi"/>
                <w:b/>
                <w:noProof/>
                <w:sz w:val="18"/>
                <w:szCs w:val="18"/>
              </w:rPr>
              <w:t>2</w:t>
            </w:r>
            <w:r w:rsidR="006E1BCE" w:rsidRPr="00B643AD">
              <w:rPr>
                <w:rFonts w:asciiTheme="minorHAnsi" w:hAnsiTheme="minorHAnsi"/>
                <w:b/>
                <w:sz w:val="18"/>
                <w:szCs w:val="18"/>
              </w:rPr>
              <w:fldChar w:fldCharType="end"/>
            </w:r>
          </w:p>
        </w:sdtContent>
      </w:sdt>
    </w:sdtContent>
  </w:sdt>
  <w:p w:rsidR="00AB5AE9" w:rsidRDefault="00AB5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E9" w:rsidRDefault="00AB5AE9" w:rsidP="0047185A">
      <w:pPr>
        <w:spacing w:before="0" w:after="0"/>
      </w:pPr>
      <w:r>
        <w:separator/>
      </w:r>
    </w:p>
  </w:footnote>
  <w:footnote w:type="continuationSeparator" w:id="0">
    <w:p w:rsidR="00AB5AE9" w:rsidRDefault="00AB5AE9" w:rsidP="0047185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E9" w:rsidRDefault="006E1BCE">
    <w:pPr>
      <w:pStyle w:val="Header"/>
    </w:pPr>
    <w:r w:rsidRPr="006E1BC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80.65pt;height:538.45pt;z-index:-251657728;mso-wrap-edited:f;mso-position-horizontal:center;mso-position-horizontal-relative:margin;mso-position-vertical:center;mso-position-vertical-relative:margin" wrapcoords="-42 0 -42 21539 21600 21539 21600 0 -42 0">
          <v:imagedata r:id="rId1" o:title="150948 ETD Factsheet secondar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08" w:rsidRDefault="00EF2A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E9" w:rsidRDefault="00AB5AE9">
    <w:pPr>
      <w:pStyle w:val="Header"/>
    </w:pPr>
    <w:r w:rsidRPr="00190247">
      <w:rPr>
        <w:noProof/>
        <w:lang w:eastAsia="en-AU"/>
      </w:rPr>
      <w:drawing>
        <wp:anchor distT="0" distB="0" distL="114300" distR="114300" simplePos="0" relativeHeight="251656704" behindDoc="1" locked="0" layoutInCell="1" allowOverlap="1">
          <wp:simplePos x="0" y="0"/>
          <wp:positionH relativeFrom="column">
            <wp:posOffset>-269240</wp:posOffset>
          </wp:positionH>
          <wp:positionV relativeFrom="paragraph">
            <wp:posOffset>-6350</wp:posOffset>
          </wp:positionV>
          <wp:extent cx="7648575" cy="2247900"/>
          <wp:effectExtent l="19050" t="0" r="9525"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1 EDU factsheet.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492"/>
                  <a:stretch/>
                </pic:blipFill>
                <pic:spPr bwMode="auto">
                  <a:xfrm>
                    <a:off x="0" y="0"/>
                    <a:ext cx="7648575" cy="22479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C61"/>
    <w:multiLevelType w:val="hybridMultilevel"/>
    <w:tmpl w:val="D57C977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5316B06"/>
    <w:multiLevelType w:val="hybridMultilevel"/>
    <w:tmpl w:val="10DC39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8A1B43"/>
    <w:multiLevelType w:val="hybridMultilevel"/>
    <w:tmpl w:val="4E08F66E"/>
    <w:lvl w:ilvl="0" w:tplc="0C09000F">
      <w:start w:val="1"/>
      <w:numFmt w:val="decimal"/>
      <w:lvlText w:val="%1."/>
      <w:lvlJc w:val="left"/>
      <w:pPr>
        <w:ind w:left="9291" w:hanging="360"/>
      </w:pPr>
      <w:rPr>
        <w:rFonts w:hint="default"/>
      </w:rPr>
    </w:lvl>
    <w:lvl w:ilvl="1" w:tplc="0C090003">
      <w:start w:val="1"/>
      <w:numFmt w:val="bullet"/>
      <w:lvlText w:val="o"/>
      <w:lvlJc w:val="left"/>
      <w:pPr>
        <w:ind w:left="10011" w:hanging="360"/>
      </w:pPr>
      <w:rPr>
        <w:rFonts w:ascii="Courier New" w:hAnsi="Courier New" w:cs="Courier New" w:hint="default"/>
      </w:rPr>
    </w:lvl>
    <w:lvl w:ilvl="2" w:tplc="0C090005" w:tentative="1">
      <w:start w:val="1"/>
      <w:numFmt w:val="bullet"/>
      <w:lvlText w:val=""/>
      <w:lvlJc w:val="left"/>
      <w:pPr>
        <w:ind w:left="10731" w:hanging="360"/>
      </w:pPr>
      <w:rPr>
        <w:rFonts w:ascii="Wingdings" w:hAnsi="Wingdings" w:hint="default"/>
      </w:rPr>
    </w:lvl>
    <w:lvl w:ilvl="3" w:tplc="0C090001" w:tentative="1">
      <w:start w:val="1"/>
      <w:numFmt w:val="bullet"/>
      <w:lvlText w:val=""/>
      <w:lvlJc w:val="left"/>
      <w:pPr>
        <w:ind w:left="11451" w:hanging="360"/>
      </w:pPr>
      <w:rPr>
        <w:rFonts w:ascii="Symbol" w:hAnsi="Symbol" w:hint="default"/>
      </w:rPr>
    </w:lvl>
    <w:lvl w:ilvl="4" w:tplc="0C090003" w:tentative="1">
      <w:start w:val="1"/>
      <w:numFmt w:val="bullet"/>
      <w:lvlText w:val="o"/>
      <w:lvlJc w:val="left"/>
      <w:pPr>
        <w:ind w:left="12171" w:hanging="360"/>
      </w:pPr>
      <w:rPr>
        <w:rFonts w:ascii="Courier New" w:hAnsi="Courier New" w:cs="Courier New" w:hint="default"/>
      </w:rPr>
    </w:lvl>
    <w:lvl w:ilvl="5" w:tplc="0C090005" w:tentative="1">
      <w:start w:val="1"/>
      <w:numFmt w:val="bullet"/>
      <w:lvlText w:val=""/>
      <w:lvlJc w:val="left"/>
      <w:pPr>
        <w:ind w:left="12891" w:hanging="360"/>
      </w:pPr>
      <w:rPr>
        <w:rFonts w:ascii="Wingdings" w:hAnsi="Wingdings" w:hint="default"/>
      </w:rPr>
    </w:lvl>
    <w:lvl w:ilvl="6" w:tplc="0C090001" w:tentative="1">
      <w:start w:val="1"/>
      <w:numFmt w:val="bullet"/>
      <w:lvlText w:val=""/>
      <w:lvlJc w:val="left"/>
      <w:pPr>
        <w:ind w:left="13611" w:hanging="360"/>
      </w:pPr>
      <w:rPr>
        <w:rFonts w:ascii="Symbol" w:hAnsi="Symbol" w:hint="default"/>
      </w:rPr>
    </w:lvl>
    <w:lvl w:ilvl="7" w:tplc="0C090003" w:tentative="1">
      <w:start w:val="1"/>
      <w:numFmt w:val="bullet"/>
      <w:lvlText w:val="o"/>
      <w:lvlJc w:val="left"/>
      <w:pPr>
        <w:ind w:left="14331" w:hanging="360"/>
      </w:pPr>
      <w:rPr>
        <w:rFonts w:ascii="Courier New" w:hAnsi="Courier New" w:cs="Courier New" w:hint="default"/>
      </w:rPr>
    </w:lvl>
    <w:lvl w:ilvl="8" w:tplc="0C090005" w:tentative="1">
      <w:start w:val="1"/>
      <w:numFmt w:val="bullet"/>
      <w:lvlText w:val=""/>
      <w:lvlJc w:val="left"/>
      <w:pPr>
        <w:ind w:left="15051" w:hanging="360"/>
      </w:pPr>
      <w:rPr>
        <w:rFonts w:ascii="Wingdings" w:hAnsi="Wingdings" w:hint="default"/>
      </w:rPr>
    </w:lvl>
  </w:abstractNum>
  <w:abstractNum w:abstractNumId="3">
    <w:nsid w:val="1B164A99"/>
    <w:multiLevelType w:val="hybridMultilevel"/>
    <w:tmpl w:val="6F9A0560"/>
    <w:lvl w:ilvl="0" w:tplc="8C2E60E0">
      <w:start w:val="1"/>
      <w:numFmt w:val="bullet"/>
      <w:lvlText w:val="-"/>
      <w:lvlJc w:val="left"/>
      <w:pPr>
        <w:ind w:left="720" w:hanging="360"/>
      </w:pPr>
      <w:rPr>
        <w:rFonts w:ascii="Calibri" w:eastAsia="Times New Roman"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ED550D"/>
    <w:multiLevelType w:val="hybridMultilevel"/>
    <w:tmpl w:val="1CDEB0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42471"/>
    <w:multiLevelType w:val="hybridMultilevel"/>
    <w:tmpl w:val="648E26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A065CE6"/>
    <w:multiLevelType w:val="hybridMultilevel"/>
    <w:tmpl w:val="72D4A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262AF"/>
    <w:multiLevelType w:val="hybridMultilevel"/>
    <w:tmpl w:val="50F42DE2"/>
    <w:lvl w:ilvl="0" w:tplc="1CAEB5AE">
      <w:start w:val="1"/>
      <w:numFmt w:val="bullet"/>
      <w:lvlText w:val=""/>
      <w:lvlJc w:val="left"/>
      <w:pPr>
        <w:tabs>
          <w:tab w:val="num" w:pos="1117"/>
        </w:tabs>
        <w:ind w:left="1117" w:hanging="397"/>
      </w:pPr>
      <w:rPr>
        <w:rFonts w:ascii="Wingdings" w:hAnsi="Wingdings" w:hint="default"/>
        <w:color w:val="00009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0F29A8"/>
    <w:multiLevelType w:val="hybridMultilevel"/>
    <w:tmpl w:val="2116A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497AA5"/>
    <w:multiLevelType w:val="hybridMultilevel"/>
    <w:tmpl w:val="A9CECC3A"/>
    <w:lvl w:ilvl="0" w:tplc="0C09000D">
      <w:start w:val="1"/>
      <w:numFmt w:val="bullet"/>
      <w:lvlText w:val=""/>
      <w:lvlJc w:val="left"/>
      <w:pPr>
        <w:tabs>
          <w:tab w:val="num" w:pos="720"/>
        </w:tabs>
        <w:ind w:left="720" w:hanging="360"/>
      </w:pPr>
      <w:rPr>
        <w:rFonts w:ascii="Wingdings" w:hAnsi="Wingdings" w:hint="default"/>
      </w:rPr>
    </w:lvl>
    <w:lvl w:ilvl="1" w:tplc="30B6287C">
      <w:start w:val="1"/>
      <w:numFmt w:val="bullet"/>
      <w:lvlText w:val="•"/>
      <w:lvlJc w:val="left"/>
      <w:pPr>
        <w:tabs>
          <w:tab w:val="num" w:pos="1440"/>
        </w:tabs>
        <w:ind w:left="1440" w:hanging="360"/>
      </w:pPr>
      <w:rPr>
        <w:rFonts w:ascii="Arial" w:hAnsi="Arial" w:hint="default"/>
      </w:rPr>
    </w:lvl>
    <w:lvl w:ilvl="2" w:tplc="78DC0DE0" w:tentative="1">
      <w:start w:val="1"/>
      <w:numFmt w:val="bullet"/>
      <w:lvlText w:val="•"/>
      <w:lvlJc w:val="left"/>
      <w:pPr>
        <w:tabs>
          <w:tab w:val="num" w:pos="2160"/>
        </w:tabs>
        <w:ind w:left="2160" w:hanging="360"/>
      </w:pPr>
      <w:rPr>
        <w:rFonts w:ascii="Arial" w:hAnsi="Arial" w:hint="default"/>
      </w:rPr>
    </w:lvl>
    <w:lvl w:ilvl="3" w:tplc="B9662F28" w:tentative="1">
      <w:start w:val="1"/>
      <w:numFmt w:val="bullet"/>
      <w:lvlText w:val="•"/>
      <w:lvlJc w:val="left"/>
      <w:pPr>
        <w:tabs>
          <w:tab w:val="num" w:pos="2880"/>
        </w:tabs>
        <w:ind w:left="2880" w:hanging="360"/>
      </w:pPr>
      <w:rPr>
        <w:rFonts w:ascii="Arial" w:hAnsi="Arial" w:hint="default"/>
      </w:rPr>
    </w:lvl>
    <w:lvl w:ilvl="4" w:tplc="9D78B654" w:tentative="1">
      <w:start w:val="1"/>
      <w:numFmt w:val="bullet"/>
      <w:lvlText w:val="•"/>
      <w:lvlJc w:val="left"/>
      <w:pPr>
        <w:tabs>
          <w:tab w:val="num" w:pos="3600"/>
        </w:tabs>
        <w:ind w:left="3600" w:hanging="360"/>
      </w:pPr>
      <w:rPr>
        <w:rFonts w:ascii="Arial" w:hAnsi="Arial" w:hint="default"/>
      </w:rPr>
    </w:lvl>
    <w:lvl w:ilvl="5" w:tplc="33327CCC" w:tentative="1">
      <w:start w:val="1"/>
      <w:numFmt w:val="bullet"/>
      <w:lvlText w:val="•"/>
      <w:lvlJc w:val="left"/>
      <w:pPr>
        <w:tabs>
          <w:tab w:val="num" w:pos="4320"/>
        </w:tabs>
        <w:ind w:left="4320" w:hanging="360"/>
      </w:pPr>
      <w:rPr>
        <w:rFonts w:ascii="Arial" w:hAnsi="Arial" w:hint="default"/>
      </w:rPr>
    </w:lvl>
    <w:lvl w:ilvl="6" w:tplc="223E1100" w:tentative="1">
      <w:start w:val="1"/>
      <w:numFmt w:val="bullet"/>
      <w:lvlText w:val="•"/>
      <w:lvlJc w:val="left"/>
      <w:pPr>
        <w:tabs>
          <w:tab w:val="num" w:pos="5040"/>
        </w:tabs>
        <w:ind w:left="5040" w:hanging="360"/>
      </w:pPr>
      <w:rPr>
        <w:rFonts w:ascii="Arial" w:hAnsi="Arial" w:hint="default"/>
      </w:rPr>
    </w:lvl>
    <w:lvl w:ilvl="7" w:tplc="7812F0EC" w:tentative="1">
      <w:start w:val="1"/>
      <w:numFmt w:val="bullet"/>
      <w:lvlText w:val="•"/>
      <w:lvlJc w:val="left"/>
      <w:pPr>
        <w:tabs>
          <w:tab w:val="num" w:pos="5760"/>
        </w:tabs>
        <w:ind w:left="5760" w:hanging="360"/>
      </w:pPr>
      <w:rPr>
        <w:rFonts w:ascii="Arial" w:hAnsi="Arial" w:hint="default"/>
      </w:rPr>
    </w:lvl>
    <w:lvl w:ilvl="8" w:tplc="2E84C408" w:tentative="1">
      <w:start w:val="1"/>
      <w:numFmt w:val="bullet"/>
      <w:lvlText w:val="•"/>
      <w:lvlJc w:val="left"/>
      <w:pPr>
        <w:tabs>
          <w:tab w:val="num" w:pos="6480"/>
        </w:tabs>
        <w:ind w:left="6480" w:hanging="360"/>
      </w:pPr>
      <w:rPr>
        <w:rFonts w:ascii="Arial" w:hAnsi="Arial" w:hint="default"/>
      </w:rPr>
    </w:lvl>
  </w:abstractNum>
  <w:abstractNum w:abstractNumId="10">
    <w:nsid w:val="31264D33"/>
    <w:multiLevelType w:val="hybridMultilevel"/>
    <w:tmpl w:val="0D667C18"/>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9B5782"/>
    <w:multiLevelType w:val="hybridMultilevel"/>
    <w:tmpl w:val="7C4AA48C"/>
    <w:lvl w:ilvl="0" w:tplc="9516E8D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2A823EE"/>
    <w:multiLevelType w:val="hybridMultilevel"/>
    <w:tmpl w:val="FFB0ADF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410915"/>
    <w:multiLevelType w:val="hybridMultilevel"/>
    <w:tmpl w:val="5CBE4B38"/>
    <w:lvl w:ilvl="0" w:tplc="1020DDA8">
      <w:start w:val="1"/>
      <w:numFmt w:val="bullet"/>
      <w:lvlText w:val="•"/>
      <w:lvlJc w:val="left"/>
      <w:pPr>
        <w:tabs>
          <w:tab w:val="num" w:pos="720"/>
        </w:tabs>
        <w:ind w:left="720" w:hanging="360"/>
      </w:pPr>
      <w:rPr>
        <w:rFonts w:ascii="Arial" w:hAnsi="Arial" w:hint="default"/>
      </w:rPr>
    </w:lvl>
    <w:lvl w:ilvl="1" w:tplc="30B6287C">
      <w:start w:val="1"/>
      <w:numFmt w:val="bullet"/>
      <w:lvlText w:val="•"/>
      <w:lvlJc w:val="left"/>
      <w:pPr>
        <w:tabs>
          <w:tab w:val="num" w:pos="1440"/>
        </w:tabs>
        <w:ind w:left="1440" w:hanging="360"/>
      </w:pPr>
      <w:rPr>
        <w:rFonts w:ascii="Arial" w:hAnsi="Arial" w:hint="default"/>
      </w:rPr>
    </w:lvl>
    <w:lvl w:ilvl="2" w:tplc="78DC0DE0" w:tentative="1">
      <w:start w:val="1"/>
      <w:numFmt w:val="bullet"/>
      <w:lvlText w:val="•"/>
      <w:lvlJc w:val="left"/>
      <w:pPr>
        <w:tabs>
          <w:tab w:val="num" w:pos="2160"/>
        </w:tabs>
        <w:ind w:left="2160" w:hanging="360"/>
      </w:pPr>
      <w:rPr>
        <w:rFonts w:ascii="Arial" w:hAnsi="Arial" w:hint="default"/>
      </w:rPr>
    </w:lvl>
    <w:lvl w:ilvl="3" w:tplc="B9662F28" w:tentative="1">
      <w:start w:val="1"/>
      <w:numFmt w:val="bullet"/>
      <w:lvlText w:val="•"/>
      <w:lvlJc w:val="left"/>
      <w:pPr>
        <w:tabs>
          <w:tab w:val="num" w:pos="2880"/>
        </w:tabs>
        <w:ind w:left="2880" w:hanging="360"/>
      </w:pPr>
      <w:rPr>
        <w:rFonts w:ascii="Arial" w:hAnsi="Arial" w:hint="default"/>
      </w:rPr>
    </w:lvl>
    <w:lvl w:ilvl="4" w:tplc="9D78B654" w:tentative="1">
      <w:start w:val="1"/>
      <w:numFmt w:val="bullet"/>
      <w:lvlText w:val="•"/>
      <w:lvlJc w:val="left"/>
      <w:pPr>
        <w:tabs>
          <w:tab w:val="num" w:pos="3600"/>
        </w:tabs>
        <w:ind w:left="3600" w:hanging="360"/>
      </w:pPr>
      <w:rPr>
        <w:rFonts w:ascii="Arial" w:hAnsi="Arial" w:hint="default"/>
      </w:rPr>
    </w:lvl>
    <w:lvl w:ilvl="5" w:tplc="33327CCC" w:tentative="1">
      <w:start w:val="1"/>
      <w:numFmt w:val="bullet"/>
      <w:lvlText w:val="•"/>
      <w:lvlJc w:val="left"/>
      <w:pPr>
        <w:tabs>
          <w:tab w:val="num" w:pos="4320"/>
        </w:tabs>
        <w:ind w:left="4320" w:hanging="360"/>
      </w:pPr>
      <w:rPr>
        <w:rFonts w:ascii="Arial" w:hAnsi="Arial" w:hint="default"/>
      </w:rPr>
    </w:lvl>
    <w:lvl w:ilvl="6" w:tplc="223E1100" w:tentative="1">
      <w:start w:val="1"/>
      <w:numFmt w:val="bullet"/>
      <w:lvlText w:val="•"/>
      <w:lvlJc w:val="left"/>
      <w:pPr>
        <w:tabs>
          <w:tab w:val="num" w:pos="5040"/>
        </w:tabs>
        <w:ind w:left="5040" w:hanging="360"/>
      </w:pPr>
      <w:rPr>
        <w:rFonts w:ascii="Arial" w:hAnsi="Arial" w:hint="default"/>
      </w:rPr>
    </w:lvl>
    <w:lvl w:ilvl="7" w:tplc="7812F0EC" w:tentative="1">
      <w:start w:val="1"/>
      <w:numFmt w:val="bullet"/>
      <w:lvlText w:val="•"/>
      <w:lvlJc w:val="left"/>
      <w:pPr>
        <w:tabs>
          <w:tab w:val="num" w:pos="5760"/>
        </w:tabs>
        <w:ind w:left="5760" w:hanging="360"/>
      </w:pPr>
      <w:rPr>
        <w:rFonts w:ascii="Arial" w:hAnsi="Arial" w:hint="default"/>
      </w:rPr>
    </w:lvl>
    <w:lvl w:ilvl="8" w:tplc="2E84C408" w:tentative="1">
      <w:start w:val="1"/>
      <w:numFmt w:val="bullet"/>
      <w:lvlText w:val="•"/>
      <w:lvlJc w:val="left"/>
      <w:pPr>
        <w:tabs>
          <w:tab w:val="num" w:pos="6480"/>
        </w:tabs>
        <w:ind w:left="6480" w:hanging="360"/>
      </w:pPr>
      <w:rPr>
        <w:rFonts w:ascii="Arial" w:hAnsi="Arial" w:hint="default"/>
      </w:rPr>
    </w:lvl>
  </w:abstractNum>
  <w:abstractNum w:abstractNumId="14">
    <w:nsid w:val="6AB73752"/>
    <w:multiLevelType w:val="hybridMultilevel"/>
    <w:tmpl w:val="25989AAA"/>
    <w:lvl w:ilvl="0" w:tplc="0C09000D">
      <w:start w:val="1"/>
      <w:numFmt w:val="bullet"/>
      <w:lvlText w:val=""/>
      <w:lvlJc w:val="left"/>
      <w:pPr>
        <w:tabs>
          <w:tab w:val="num" w:pos="720"/>
        </w:tabs>
        <w:ind w:left="720" w:hanging="360"/>
      </w:pPr>
      <w:rPr>
        <w:rFonts w:ascii="Wingdings" w:hAnsi="Wingdings" w:hint="default"/>
      </w:rPr>
    </w:lvl>
    <w:lvl w:ilvl="1" w:tplc="30B6287C">
      <w:start w:val="1"/>
      <w:numFmt w:val="bullet"/>
      <w:lvlText w:val="•"/>
      <w:lvlJc w:val="left"/>
      <w:pPr>
        <w:tabs>
          <w:tab w:val="num" w:pos="1440"/>
        </w:tabs>
        <w:ind w:left="1440" w:hanging="360"/>
      </w:pPr>
      <w:rPr>
        <w:rFonts w:ascii="Arial" w:hAnsi="Arial" w:hint="default"/>
      </w:rPr>
    </w:lvl>
    <w:lvl w:ilvl="2" w:tplc="78DC0DE0" w:tentative="1">
      <w:start w:val="1"/>
      <w:numFmt w:val="bullet"/>
      <w:lvlText w:val="•"/>
      <w:lvlJc w:val="left"/>
      <w:pPr>
        <w:tabs>
          <w:tab w:val="num" w:pos="2160"/>
        </w:tabs>
        <w:ind w:left="2160" w:hanging="360"/>
      </w:pPr>
      <w:rPr>
        <w:rFonts w:ascii="Arial" w:hAnsi="Arial" w:hint="default"/>
      </w:rPr>
    </w:lvl>
    <w:lvl w:ilvl="3" w:tplc="B9662F28" w:tentative="1">
      <w:start w:val="1"/>
      <w:numFmt w:val="bullet"/>
      <w:lvlText w:val="•"/>
      <w:lvlJc w:val="left"/>
      <w:pPr>
        <w:tabs>
          <w:tab w:val="num" w:pos="2880"/>
        </w:tabs>
        <w:ind w:left="2880" w:hanging="360"/>
      </w:pPr>
      <w:rPr>
        <w:rFonts w:ascii="Arial" w:hAnsi="Arial" w:hint="default"/>
      </w:rPr>
    </w:lvl>
    <w:lvl w:ilvl="4" w:tplc="9D78B654" w:tentative="1">
      <w:start w:val="1"/>
      <w:numFmt w:val="bullet"/>
      <w:lvlText w:val="•"/>
      <w:lvlJc w:val="left"/>
      <w:pPr>
        <w:tabs>
          <w:tab w:val="num" w:pos="3600"/>
        </w:tabs>
        <w:ind w:left="3600" w:hanging="360"/>
      </w:pPr>
      <w:rPr>
        <w:rFonts w:ascii="Arial" w:hAnsi="Arial" w:hint="default"/>
      </w:rPr>
    </w:lvl>
    <w:lvl w:ilvl="5" w:tplc="33327CCC" w:tentative="1">
      <w:start w:val="1"/>
      <w:numFmt w:val="bullet"/>
      <w:lvlText w:val="•"/>
      <w:lvlJc w:val="left"/>
      <w:pPr>
        <w:tabs>
          <w:tab w:val="num" w:pos="4320"/>
        </w:tabs>
        <w:ind w:left="4320" w:hanging="360"/>
      </w:pPr>
      <w:rPr>
        <w:rFonts w:ascii="Arial" w:hAnsi="Arial" w:hint="default"/>
      </w:rPr>
    </w:lvl>
    <w:lvl w:ilvl="6" w:tplc="223E1100" w:tentative="1">
      <w:start w:val="1"/>
      <w:numFmt w:val="bullet"/>
      <w:lvlText w:val="•"/>
      <w:lvlJc w:val="left"/>
      <w:pPr>
        <w:tabs>
          <w:tab w:val="num" w:pos="5040"/>
        </w:tabs>
        <w:ind w:left="5040" w:hanging="360"/>
      </w:pPr>
      <w:rPr>
        <w:rFonts w:ascii="Arial" w:hAnsi="Arial" w:hint="default"/>
      </w:rPr>
    </w:lvl>
    <w:lvl w:ilvl="7" w:tplc="7812F0EC" w:tentative="1">
      <w:start w:val="1"/>
      <w:numFmt w:val="bullet"/>
      <w:lvlText w:val="•"/>
      <w:lvlJc w:val="left"/>
      <w:pPr>
        <w:tabs>
          <w:tab w:val="num" w:pos="5760"/>
        </w:tabs>
        <w:ind w:left="5760" w:hanging="360"/>
      </w:pPr>
      <w:rPr>
        <w:rFonts w:ascii="Arial" w:hAnsi="Arial" w:hint="default"/>
      </w:rPr>
    </w:lvl>
    <w:lvl w:ilvl="8" w:tplc="2E84C408" w:tentative="1">
      <w:start w:val="1"/>
      <w:numFmt w:val="bullet"/>
      <w:lvlText w:val="•"/>
      <w:lvlJc w:val="left"/>
      <w:pPr>
        <w:tabs>
          <w:tab w:val="num" w:pos="6480"/>
        </w:tabs>
        <w:ind w:left="6480" w:hanging="360"/>
      </w:pPr>
      <w:rPr>
        <w:rFonts w:ascii="Arial" w:hAnsi="Arial" w:hint="default"/>
      </w:rPr>
    </w:lvl>
  </w:abstractNum>
  <w:abstractNum w:abstractNumId="15">
    <w:nsid w:val="7828723B"/>
    <w:multiLevelType w:val="hybridMultilevel"/>
    <w:tmpl w:val="29B8DC4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
  </w:num>
  <w:num w:numId="6">
    <w:abstractNumId w:val="13"/>
  </w:num>
  <w:num w:numId="7">
    <w:abstractNumId w:val="14"/>
  </w:num>
  <w:num w:numId="8">
    <w:abstractNumId w:val="9"/>
  </w:num>
  <w:num w:numId="9">
    <w:abstractNumId w:val="5"/>
  </w:num>
  <w:num w:numId="10">
    <w:abstractNumId w:val="2"/>
  </w:num>
  <w:num w:numId="11">
    <w:abstractNumId w:val="12"/>
  </w:num>
  <w:num w:numId="12">
    <w:abstractNumId w:val="6"/>
  </w:num>
  <w:num w:numId="13">
    <w:abstractNumId w:val="15"/>
  </w:num>
  <w:num w:numId="14">
    <w:abstractNumId w:val="11"/>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7185A"/>
    <w:rsid w:val="000216A8"/>
    <w:rsid w:val="00073624"/>
    <w:rsid w:val="00083657"/>
    <w:rsid w:val="000F72F8"/>
    <w:rsid w:val="00127DC6"/>
    <w:rsid w:val="00184848"/>
    <w:rsid w:val="00190247"/>
    <w:rsid w:val="001C1D0F"/>
    <w:rsid w:val="002160F8"/>
    <w:rsid w:val="00244736"/>
    <w:rsid w:val="00275810"/>
    <w:rsid w:val="0028774D"/>
    <w:rsid w:val="002A1AA4"/>
    <w:rsid w:val="002C1B80"/>
    <w:rsid w:val="00346889"/>
    <w:rsid w:val="00370B51"/>
    <w:rsid w:val="003824E1"/>
    <w:rsid w:val="003943B8"/>
    <w:rsid w:val="0047185A"/>
    <w:rsid w:val="004D1717"/>
    <w:rsid w:val="00512E33"/>
    <w:rsid w:val="005245C2"/>
    <w:rsid w:val="005B3503"/>
    <w:rsid w:val="005C065D"/>
    <w:rsid w:val="005E76D6"/>
    <w:rsid w:val="00617BEB"/>
    <w:rsid w:val="00643C19"/>
    <w:rsid w:val="00645A85"/>
    <w:rsid w:val="00681C36"/>
    <w:rsid w:val="00694F2D"/>
    <w:rsid w:val="006E1BCE"/>
    <w:rsid w:val="00715BC8"/>
    <w:rsid w:val="00730032"/>
    <w:rsid w:val="0075646B"/>
    <w:rsid w:val="007666DA"/>
    <w:rsid w:val="00770D1B"/>
    <w:rsid w:val="007C6C8B"/>
    <w:rsid w:val="00830C96"/>
    <w:rsid w:val="00874612"/>
    <w:rsid w:val="00877121"/>
    <w:rsid w:val="008E035F"/>
    <w:rsid w:val="00930085"/>
    <w:rsid w:val="00937C60"/>
    <w:rsid w:val="00941015"/>
    <w:rsid w:val="00951F1E"/>
    <w:rsid w:val="009614C3"/>
    <w:rsid w:val="009754AE"/>
    <w:rsid w:val="0098288C"/>
    <w:rsid w:val="00A30A5A"/>
    <w:rsid w:val="00AB5AE9"/>
    <w:rsid w:val="00AC7C60"/>
    <w:rsid w:val="00B643AD"/>
    <w:rsid w:val="00B75143"/>
    <w:rsid w:val="00BB26E4"/>
    <w:rsid w:val="00BD539A"/>
    <w:rsid w:val="00D054EC"/>
    <w:rsid w:val="00D21FF4"/>
    <w:rsid w:val="00D3081D"/>
    <w:rsid w:val="00D43C70"/>
    <w:rsid w:val="00D47268"/>
    <w:rsid w:val="00D977D1"/>
    <w:rsid w:val="00EA42E3"/>
    <w:rsid w:val="00EF2A08"/>
    <w:rsid w:val="00F40FC1"/>
    <w:rsid w:val="00F55287"/>
    <w:rsid w:val="00F94E08"/>
    <w:rsid w:val="00FA01C1"/>
    <w:rsid w:val="00FC032F"/>
    <w:rsid w:val="00FE40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5A"/>
    <w:pPr>
      <w:spacing w:before="120" w:after="120"/>
    </w:pPr>
    <w:rPr>
      <w:sz w:val="22"/>
      <w:szCs w:val="22"/>
      <w:lang w:eastAsia="en-US"/>
    </w:rPr>
  </w:style>
  <w:style w:type="paragraph" w:styleId="Heading1">
    <w:name w:val="heading 1"/>
    <w:basedOn w:val="Normal"/>
    <w:next w:val="Normal"/>
    <w:link w:val="Heading1Char"/>
    <w:uiPriority w:val="9"/>
    <w:qFormat/>
    <w:rsid w:val="0047185A"/>
    <w:pPr>
      <w:keepNext/>
      <w:keepLines/>
      <w:spacing w:before="240"/>
      <w:outlineLvl w:val="0"/>
    </w:pPr>
    <w:rPr>
      <w:rFonts w:ascii="Arial" w:eastAsiaTheme="majorEastAsia" w:hAnsi="Arial" w:cstheme="majorBidi"/>
      <w:b/>
      <w:caps/>
      <w:color w:val="5824A4"/>
      <w:sz w:val="40"/>
      <w:szCs w:val="32"/>
    </w:rPr>
  </w:style>
  <w:style w:type="paragraph" w:styleId="Heading2">
    <w:name w:val="heading 2"/>
    <w:basedOn w:val="Normal"/>
    <w:next w:val="Normal"/>
    <w:link w:val="Heading2Char"/>
    <w:uiPriority w:val="9"/>
    <w:semiHidden/>
    <w:unhideWhenUsed/>
    <w:qFormat/>
    <w:rsid w:val="00471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3657"/>
    <w:pPr>
      <w:widowControl w:val="0"/>
      <w:spacing w:after="0"/>
      <w:ind w:left="1522"/>
    </w:pPr>
    <w:rPr>
      <w:rFonts w:ascii="Gill Sans MT" w:eastAsia="Gill Sans MT" w:hAnsi="Gill Sans MT"/>
      <w:sz w:val="20"/>
      <w:szCs w:val="20"/>
      <w:lang w:val="en-US" w:eastAsia="en-AU"/>
    </w:rPr>
  </w:style>
  <w:style w:type="character" w:customStyle="1" w:styleId="BodyTextChar">
    <w:name w:val="Body Text Char"/>
    <w:basedOn w:val="DefaultParagraphFont"/>
    <w:link w:val="BodyText"/>
    <w:uiPriority w:val="1"/>
    <w:rsid w:val="00083657"/>
    <w:rPr>
      <w:rFonts w:ascii="Gill Sans MT" w:eastAsia="Gill Sans MT" w:hAnsi="Gill Sans MT"/>
      <w:sz w:val="20"/>
      <w:szCs w:val="20"/>
      <w:lang w:val="en-US"/>
    </w:rPr>
  </w:style>
  <w:style w:type="paragraph" w:styleId="NoSpacing">
    <w:name w:val="No Spacing"/>
    <w:uiPriority w:val="1"/>
    <w:qFormat/>
    <w:rsid w:val="00083657"/>
    <w:rPr>
      <w:sz w:val="22"/>
      <w:szCs w:val="22"/>
      <w:lang w:eastAsia="en-US"/>
    </w:rPr>
  </w:style>
  <w:style w:type="paragraph" w:styleId="ListParagraph">
    <w:name w:val="List Paragraph"/>
    <w:basedOn w:val="Normal"/>
    <w:uiPriority w:val="34"/>
    <w:qFormat/>
    <w:rsid w:val="00083657"/>
    <w:pPr>
      <w:ind w:left="720"/>
      <w:contextualSpacing/>
    </w:pPr>
  </w:style>
  <w:style w:type="character" w:customStyle="1" w:styleId="Heading1Char">
    <w:name w:val="Heading 1 Char"/>
    <w:basedOn w:val="DefaultParagraphFont"/>
    <w:link w:val="Heading1"/>
    <w:uiPriority w:val="9"/>
    <w:rsid w:val="0047185A"/>
    <w:rPr>
      <w:rFonts w:ascii="Arial" w:eastAsiaTheme="majorEastAsia" w:hAnsi="Arial" w:cstheme="majorBidi"/>
      <w:b/>
      <w:caps/>
      <w:color w:val="5824A4"/>
      <w:sz w:val="40"/>
      <w:szCs w:val="32"/>
      <w:lang w:eastAsia="en-US"/>
    </w:rPr>
  </w:style>
  <w:style w:type="paragraph" w:styleId="Header">
    <w:name w:val="header"/>
    <w:basedOn w:val="Normal"/>
    <w:link w:val="HeaderChar"/>
    <w:uiPriority w:val="99"/>
    <w:unhideWhenUsed/>
    <w:rsid w:val="0047185A"/>
    <w:pPr>
      <w:tabs>
        <w:tab w:val="center" w:pos="4513"/>
        <w:tab w:val="right" w:pos="9026"/>
      </w:tabs>
    </w:pPr>
    <w:rPr>
      <w:b/>
      <w:color w:val="000090"/>
      <w:sz w:val="60"/>
    </w:rPr>
  </w:style>
  <w:style w:type="character" w:customStyle="1" w:styleId="HeaderChar">
    <w:name w:val="Header Char"/>
    <w:basedOn w:val="DefaultParagraphFont"/>
    <w:link w:val="Header"/>
    <w:uiPriority w:val="99"/>
    <w:rsid w:val="0047185A"/>
    <w:rPr>
      <w:b/>
      <w:color w:val="000090"/>
      <w:sz w:val="60"/>
      <w:szCs w:val="22"/>
      <w:lang w:eastAsia="en-US"/>
    </w:rPr>
  </w:style>
  <w:style w:type="paragraph" w:styleId="Footer">
    <w:name w:val="footer"/>
    <w:basedOn w:val="Normal"/>
    <w:link w:val="FooterChar"/>
    <w:uiPriority w:val="99"/>
    <w:unhideWhenUsed/>
    <w:rsid w:val="0047185A"/>
    <w:pPr>
      <w:tabs>
        <w:tab w:val="center" w:pos="4513"/>
        <w:tab w:val="right" w:pos="9026"/>
      </w:tabs>
    </w:pPr>
  </w:style>
  <w:style w:type="character" w:customStyle="1" w:styleId="FooterChar">
    <w:name w:val="Footer Char"/>
    <w:basedOn w:val="DefaultParagraphFont"/>
    <w:link w:val="Footer"/>
    <w:uiPriority w:val="99"/>
    <w:rsid w:val="0047185A"/>
    <w:rPr>
      <w:sz w:val="22"/>
      <w:szCs w:val="22"/>
      <w:lang w:eastAsia="en-US"/>
    </w:rPr>
  </w:style>
  <w:style w:type="character" w:styleId="Hyperlink">
    <w:name w:val="Hyperlink"/>
    <w:uiPriority w:val="99"/>
    <w:unhideWhenUsed/>
    <w:rsid w:val="0047185A"/>
    <w:rPr>
      <w:color w:val="0000FF"/>
      <w:u w:val="single"/>
    </w:rPr>
  </w:style>
  <w:style w:type="character" w:customStyle="1" w:styleId="Heading2Char">
    <w:name w:val="Heading 2 Char"/>
    <w:basedOn w:val="DefaultParagraphFont"/>
    <w:link w:val="Heading2"/>
    <w:uiPriority w:val="9"/>
    <w:rsid w:val="0047185A"/>
    <w:rPr>
      <w:rFonts w:asciiTheme="majorHAnsi" w:eastAsiaTheme="majorEastAsia" w:hAnsiTheme="majorHAnsi" w:cstheme="majorBidi"/>
      <w:b/>
      <w:bCs/>
      <w:color w:val="4F81BD" w:themeColor="accent1"/>
      <w:sz w:val="26"/>
      <w:szCs w:val="26"/>
      <w:lang w:eastAsia="en-US"/>
    </w:rPr>
  </w:style>
  <w:style w:type="paragraph" w:customStyle="1" w:styleId="BulletListL1">
    <w:name w:val="Bullet List L1"/>
    <w:basedOn w:val="ListBullet"/>
    <w:qFormat/>
    <w:rsid w:val="0047185A"/>
    <w:pPr>
      <w:spacing w:before="60" w:after="30"/>
      <w:contextualSpacing w:val="0"/>
    </w:pPr>
    <w:rPr>
      <w:rFonts w:ascii="Helvetica" w:eastAsia="Times New Roman" w:hAnsi="Helvetica"/>
      <w:bCs/>
      <w:szCs w:val="20"/>
    </w:rPr>
  </w:style>
  <w:style w:type="paragraph" w:styleId="ListBullet">
    <w:name w:val="List Bullet"/>
    <w:basedOn w:val="Normal"/>
    <w:uiPriority w:val="99"/>
    <w:semiHidden/>
    <w:unhideWhenUsed/>
    <w:rsid w:val="0047185A"/>
    <w:pPr>
      <w:tabs>
        <w:tab w:val="num" w:pos="1117"/>
      </w:tabs>
      <w:ind w:left="1117" w:hanging="397"/>
      <w:contextualSpacing/>
    </w:pPr>
  </w:style>
  <w:style w:type="character" w:styleId="CommentReference">
    <w:name w:val="annotation reference"/>
    <w:basedOn w:val="DefaultParagraphFont"/>
    <w:uiPriority w:val="99"/>
    <w:semiHidden/>
    <w:unhideWhenUsed/>
    <w:rsid w:val="00FE4055"/>
    <w:rPr>
      <w:sz w:val="16"/>
      <w:szCs w:val="16"/>
    </w:rPr>
  </w:style>
  <w:style w:type="paragraph" w:styleId="CommentText">
    <w:name w:val="annotation text"/>
    <w:basedOn w:val="Normal"/>
    <w:link w:val="CommentTextChar"/>
    <w:uiPriority w:val="99"/>
    <w:semiHidden/>
    <w:unhideWhenUsed/>
    <w:rsid w:val="00FE4055"/>
    <w:rPr>
      <w:sz w:val="20"/>
      <w:szCs w:val="20"/>
    </w:rPr>
  </w:style>
  <w:style w:type="character" w:customStyle="1" w:styleId="CommentTextChar">
    <w:name w:val="Comment Text Char"/>
    <w:basedOn w:val="DefaultParagraphFont"/>
    <w:link w:val="CommentText"/>
    <w:uiPriority w:val="99"/>
    <w:semiHidden/>
    <w:rsid w:val="00FE4055"/>
    <w:rPr>
      <w:lang w:eastAsia="en-US"/>
    </w:rPr>
  </w:style>
  <w:style w:type="paragraph" w:styleId="CommentSubject">
    <w:name w:val="annotation subject"/>
    <w:basedOn w:val="CommentText"/>
    <w:next w:val="CommentText"/>
    <w:link w:val="CommentSubjectChar"/>
    <w:uiPriority w:val="99"/>
    <w:semiHidden/>
    <w:unhideWhenUsed/>
    <w:rsid w:val="00FE4055"/>
    <w:rPr>
      <w:b/>
      <w:bCs/>
    </w:rPr>
  </w:style>
  <w:style w:type="character" w:customStyle="1" w:styleId="CommentSubjectChar">
    <w:name w:val="Comment Subject Char"/>
    <w:basedOn w:val="CommentTextChar"/>
    <w:link w:val="CommentSubject"/>
    <w:uiPriority w:val="99"/>
    <w:semiHidden/>
    <w:rsid w:val="00FE4055"/>
    <w:rPr>
      <w:b/>
      <w:bCs/>
    </w:rPr>
  </w:style>
  <w:style w:type="paragraph" w:styleId="BalloonText">
    <w:name w:val="Balloon Text"/>
    <w:basedOn w:val="Normal"/>
    <w:link w:val="BalloonTextChar"/>
    <w:uiPriority w:val="99"/>
    <w:semiHidden/>
    <w:unhideWhenUsed/>
    <w:rsid w:val="00FE40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5"/>
    <w:rPr>
      <w:rFonts w:ascii="Tahoma" w:hAnsi="Tahoma" w:cs="Tahoma"/>
      <w:sz w:val="16"/>
      <w:szCs w:val="16"/>
      <w:lang w:eastAsia="en-US"/>
    </w:rPr>
  </w:style>
  <w:style w:type="paragraph" w:styleId="BodyText3">
    <w:name w:val="Body Text 3"/>
    <w:basedOn w:val="Normal"/>
    <w:link w:val="BodyText3Char"/>
    <w:rsid w:val="00F55287"/>
    <w:pPr>
      <w:spacing w:before="0"/>
    </w:pPr>
    <w:rPr>
      <w:rFonts w:ascii="Arial" w:eastAsia="Times New Roman" w:hAnsi="Arial"/>
      <w:sz w:val="16"/>
      <w:szCs w:val="16"/>
    </w:rPr>
  </w:style>
  <w:style w:type="character" w:customStyle="1" w:styleId="BodyText3Char">
    <w:name w:val="Body Text 3 Char"/>
    <w:basedOn w:val="DefaultParagraphFont"/>
    <w:link w:val="BodyText3"/>
    <w:rsid w:val="00F55287"/>
    <w:rPr>
      <w:rFonts w:ascii="Arial" w:eastAsia="Times New Roman" w:hAnsi="Arial"/>
      <w:sz w:val="16"/>
      <w:szCs w:val="16"/>
      <w:lang w:eastAsia="en-US"/>
    </w:rPr>
  </w:style>
  <w:style w:type="paragraph" w:customStyle="1" w:styleId="Header3">
    <w:name w:val="Header 3"/>
    <w:basedOn w:val="Normal"/>
    <w:link w:val="Header3Char"/>
    <w:qFormat/>
    <w:rsid w:val="00645A85"/>
    <w:pPr>
      <w:tabs>
        <w:tab w:val="center" w:pos="4513"/>
        <w:tab w:val="right" w:pos="9026"/>
      </w:tabs>
      <w:spacing w:before="160"/>
    </w:pPr>
    <w:rPr>
      <w:rFonts w:ascii="Helvetica" w:hAnsi="Helvetica"/>
      <w:b/>
      <w:color w:val="000090"/>
      <w:sz w:val="30"/>
      <w:szCs w:val="28"/>
    </w:rPr>
  </w:style>
  <w:style w:type="character" w:customStyle="1" w:styleId="Header3Char">
    <w:name w:val="Header 3 Char"/>
    <w:link w:val="Header3"/>
    <w:rsid w:val="00645A85"/>
    <w:rPr>
      <w:rFonts w:ascii="Helvetica" w:hAnsi="Helvetica"/>
      <w:b/>
      <w:color w:val="000090"/>
      <w:sz w:val="30"/>
      <w:szCs w:val="28"/>
      <w:lang w:eastAsia="en-US"/>
    </w:rPr>
  </w:style>
  <w:style w:type="character" w:styleId="FollowedHyperlink">
    <w:name w:val="FollowedHyperlink"/>
    <w:basedOn w:val="DefaultParagraphFont"/>
    <w:uiPriority w:val="99"/>
    <w:semiHidden/>
    <w:unhideWhenUsed/>
    <w:rsid w:val="00AC7C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tudentwellbeinghub.edu.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11A0-90CD-4E14-8DE3-248FD448AE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04120A-D389-41AC-A231-86141689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3224</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Parfitt</dc:creator>
  <cp:lastModifiedBy>Leeanne Honeyball</cp:lastModifiedBy>
  <cp:revision>2</cp:revision>
  <cp:lastPrinted>2016-11-14T23:57:00Z</cp:lastPrinted>
  <dcterms:created xsi:type="dcterms:W3CDTF">2016-12-02T01:01:00Z</dcterms:created>
  <dcterms:modified xsi:type="dcterms:W3CDTF">2016-12-02T01:01:00Z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b8af9d98-272e-4552-9d2a-faafb6f7231f</vt:lpwstr>
  </property>
  <property fmtid="{D5CDD505-2E9C-101B-9397-08002B2CF9AE}" pid="3" name="bjSaver">
    <vt:lpwstr>sQBMHoV3h5QM4Qkf+Ehw4mcDxuB/EMvZ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