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A5" w:rsidRPr="007334A5" w:rsidRDefault="00746BDC" w:rsidP="009C770A">
      <w:pPr>
        <w:pStyle w:val="Heading3"/>
      </w:pPr>
      <w:r w:rsidRPr="007334A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213360</wp:posOffset>
            </wp:positionV>
            <wp:extent cx="1762125" cy="638175"/>
            <wp:effectExtent l="19050" t="0" r="9525" b="0"/>
            <wp:wrapSquare wrapText="bothSides"/>
            <wp:docPr id="1" name="Picture 1" descr="Logo: ACT Education and Training Direct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Gov_EaT_i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4A5" w:rsidRPr="007334A5">
        <w:t>201</w:t>
      </w:r>
      <w:r w:rsidR="00344814">
        <w:t>4</w:t>
      </w:r>
    </w:p>
    <w:p w:rsidR="00D26141" w:rsidRPr="003D00BA" w:rsidRDefault="00D26141" w:rsidP="009C770A">
      <w:pPr>
        <w:pStyle w:val="Title"/>
      </w:pPr>
      <w:r w:rsidRPr="003D00BA">
        <w:t>What do people think about public schools</w:t>
      </w:r>
      <w:r w:rsidR="00F13537">
        <w:t xml:space="preserve"> in the ACT</w:t>
      </w:r>
      <w:r w:rsidRPr="003D00BA">
        <w:t>?</w:t>
      </w:r>
    </w:p>
    <w:p w:rsidR="00DE030E" w:rsidRPr="00D26141" w:rsidRDefault="00746BDC" w:rsidP="009C770A">
      <w:pPr>
        <w:pStyle w:val="Normalpara"/>
      </w:pPr>
      <w:r w:rsidRPr="00D26141">
        <w:t xml:space="preserve">Each year, the Education and Training Directorate surveys parents, carers, staff and students from years 5 to 12 to gauge their satisfaction with the education provided across all ACT public schools. </w:t>
      </w:r>
      <w:r w:rsidR="00DE030E">
        <w:t>T</w:t>
      </w:r>
      <w:r w:rsidR="00DE030E" w:rsidRPr="00D26141">
        <w:t>he online survey</w:t>
      </w:r>
      <w:r w:rsidR="00DE030E">
        <w:t>s</w:t>
      </w:r>
      <w:r w:rsidR="00DE030E" w:rsidRPr="00D26141">
        <w:t xml:space="preserve"> ask individuals what they th</w:t>
      </w:r>
      <w:r w:rsidR="00DE030E">
        <w:t>ink</w:t>
      </w:r>
      <w:r w:rsidR="00DE030E" w:rsidRPr="00D26141">
        <w:t xml:space="preserve"> about their school’s performance. </w:t>
      </w:r>
    </w:p>
    <w:p w:rsidR="00746BDC" w:rsidRPr="00265AE1" w:rsidRDefault="00746BDC" w:rsidP="009C770A">
      <w:pPr>
        <w:pStyle w:val="Heading1"/>
      </w:pPr>
      <w:r w:rsidRPr="00265AE1">
        <w:t>Results from the 201</w:t>
      </w:r>
      <w:r w:rsidR="00344814">
        <w:t>4</w:t>
      </w:r>
      <w:r w:rsidRPr="00265AE1">
        <w:t xml:space="preserve"> Satisfaction Survey</w:t>
      </w:r>
    </w:p>
    <w:p w:rsidR="00746BDC" w:rsidRPr="00D26141" w:rsidRDefault="00746BDC" w:rsidP="009C770A">
      <w:pPr>
        <w:pStyle w:val="Normalpara"/>
      </w:pPr>
      <w:r w:rsidRPr="00D26141">
        <w:t>In 201</w:t>
      </w:r>
      <w:r w:rsidR="00344814">
        <w:t>4</w:t>
      </w:r>
      <w:r w:rsidRPr="00D26141">
        <w:t>, parents and carers (</w:t>
      </w:r>
      <w:r w:rsidR="00BB6186">
        <w:t>7,</w:t>
      </w:r>
      <w:r w:rsidR="00344814">
        <w:t>444</w:t>
      </w:r>
      <w:r w:rsidR="00BB6186">
        <w:t>), students (</w:t>
      </w:r>
      <w:r w:rsidR="00344814">
        <w:t>13,748</w:t>
      </w:r>
      <w:r w:rsidRPr="00D26141">
        <w:t>) and staff (3,</w:t>
      </w:r>
      <w:r w:rsidR="00344814">
        <w:t>060</w:t>
      </w:r>
      <w:r w:rsidRPr="00D26141">
        <w:t>) across a range of year levels completed the survey.</w:t>
      </w:r>
    </w:p>
    <w:p w:rsidR="00746BDC" w:rsidRPr="00D26141" w:rsidRDefault="00746BDC" w:rsidP="009C770A">
      <w:pPr>
        <w:pStyle w:val="Normalpara"/>
      </w:pPr>
      <w:r w:rsidRPr="00D26141">
        <w:t xml:space="preserve">The results for overall satisfaction with education in ACT public schools (Table 1) were positive across all school sectors. </w:t>
      </w:r>
    </w:p>
    <w:p w:rsidR="00746BDC" w:rsidRPr="00270831" w:rsidRDefault="00746BDC" w:rsidP="009C770A">
      <w:pPr>
        <w:pStyle w:val="Heading2"/>
      </w:pPr>
      <w:r w:rsidRPr="00270831">
        <w:t>Table 1: Overall satisfaction with public school education, 201</w:t>
      </w:r>
      <w:r w:rsidR="00344814">
        <w:t>4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027"/>
        <w:gridCol w:w="940"/>
        <w:gridCol w:w="940"/>
        <w:gridCol w:w="978"/>
        <w:gridCol w:w="1186"/>
        <w:gridCol w:w="1128"/>
        <w:gridCol w:w="1134"/>
      </w:tblGrid>
      <w:tr w:rsidR="00746BDC" w:rsidRPr="003415CD" w:rsidTr="00EB7520">
        <w:trPr>
          <w:trHeight w:val="330"/>
        </w:trPr>
        <w:tc>
          <w:tcPr>
            <w:tcW w:w="1553" w:type="dxa"/>
            <w:shd w:val="clear" w:color="auto" w:fill="7FB1D1"/>
            <w:vAlign w:val="center"/>
            <w:hideMark/>
          </w:tcPr>
          <w:p w:rsidR="00746BDC" w:rsidRPr="002E6519" w:rsidRDefault="00746BDC" w:rsidP="009C770A">
            <w:r w:rsidRPr="002E6519">
              <w:t> </w:t>
            </w:r>
          </w:p>
        </w:tc>
        <w:tc>
          <w:tcPr>
            <w:tcW w:w="987" w:type="dxa"/>
            <w:shd w:val="clear" w:color="auto" w:fill="7FB1D1"/>
            <w:hideMark/>
          </w:tcPr>
          <w:p w:rsidR="00746BDC" w:rsidRPr="002E6519" w:rsidRDefault="00746BDC" w:rsidP="009C770A">
            <w:r w:rsidRPr="002E6519">
              <w:t>Colleges</w:t>
            </w:r>
          </w:p>
        </w:tc>
        <w:tc>
          <w:tcPr>
            <w:tcW w:w="968" w:type="dxa"/>
            <w:shd w:val="clear" w:color="auto" w:fill="7FB1D1"/>
            <w:hideMark/>
          </w:tcPr>
          <w:p w:rsidR="00746BDC" w:rsidRPr="002E6519" w:rsidRDefault="00746BDC" w:rsidP="009C770A">
            <w:r w:rsidRPr="002E6519">
              <w:t>High schools</w:t>
            </w:r>
          </w:p>
        </w:tc>
        <w:tc>
          <w:tcPr>
            <w:tcW w:w="968" w:type="dxa"/>
            <w:shd w:val="clear" w:color="auto" w:fill="7FB1D1"/>
            <w:hideMark/>
          </w:tcPr>
          <w:p w:rsidR="00746BDC" w:rsidRPr="002E6519" w:rsidRDefault="00746BDC" w:rsidP="009C770A">
            <w:r w:rsidRPr="002E6519">
              <w:t>P -10 schools</w:t>
            </w:r>
          </w:p>
        </w:tc>
        <w:tc>
          <w:tcPr>
            <w:tcW w:w="979" w:type="dxa"/>
            <w:shd w:val="clear" w:color="auto" w:fill="7FB1D1"/>
            <w:hideMark/>
          </w:tcPr>
          <w:p w:rsidR="00746BDC" w:rsidRPr="002E6519" w:rsidRDefault="00746BDC" w:rsidP="009C770A">
            <w:r w:rsidRPr="002E6519">
              <w:t>Primary schools</w:t>
            </w:r>
          </w:p>
        </w:tc>
        <w:tc>
          <w:tcPr>
            <w:tcW w:w="1125" w:type="dxa"/>
            <w:shd w:val="clear" w:color="auto" w:fill="7FB1D1"/>
            <w:hideMark/>
          </w:tcPr>
          <w:p w:rsidR="00746BDC" w:rsidRPr="002E6519" w:rsidRDefault="00746BDC" w:rsidP="009C770A">
            <w:r w:rsidRPr="002E6519">
              <w:t>Early childhood schools</w:t>
            </w:r>
          </w:p>
        </w:tc>
        <w:tc>
          <w:tcPr>
            <w:tcW w:w="1075" w:type="dxa"/>
            <w:shd w:val="clear" w:color="auto" w:fill="7FB1D1"/>
            <w:hideMark/>
          </w:tcPr>
          <w:p w:rsidR="00746BDC" w:rsidRPr="002E6519" w:rsidRDefault="00746BDC" w:rsidP="009C770A">
            <w:r w:rsidRPr="002E6519">
              <w:t>Special</w:t>
            </w:r>
            <w:r w:rsidR="007958E9">
              <w:t>ist</w:t>
            </w:r>
            <w:r w:rsidRPr="002E6519">
              <w:t xml:space="preserve"> schools</w:t>
            </w:r>
          </w:p>
        </w:tc>
        <w:tc>
          <w:tcPr>
            <w:tcW w:w="1134" w:type="dxa"/>
            <w:shd w:val="clear" w:color="auto" w:fill="7FB1D1"/>
            <w:noWrap/>
            <w:hideMark/>
          </w:tcPr>
          <w:p w:rsidR="00746BDC" w:rsidRPr="002E6519" w:rsidRDefault="00746BDC" w:rsidP="009C770A">
            <w:r w:rsidRPr="002E6519">
              <w:t>All schools</w:t>
            </w:r>
          </w:p>
        </w:tc>
      </w:tr>
      <w:tr w:rsidR="002E6519" w:rsidRPr="003415CD" w:rsidTr="00EB7520">
        <w:trPr>
          <w:trHeight w:val="330"/>
        </w:trPr>
        <w:tc>
          <w:tcPr>
            <w:tcW w:w="1553" w:type="dxa"/>
            <w:vAlign w:val="center"/>
            <w:hideMark/>
          </w:tcPr>
          <w:p w:rsidR="002E6519" w:rsidRPr="002E6519" w:rsidRDefault="002E6519" w:rsidP="009C770A">
            <w:r w:rsidRPr="002E6519">
              <w:t>Parents/carers</w:t>
            </w:r>
          </w:p>
        </w:tc>
        <w:tc>
          <w:tcPr>
            <w:tcW w:w="987" w:type="dxa"/>
            <w:vAlign w:val="center"/>
            <w:hideMark/>
          </w:tcPr>
          <w:p w:rsidR="002E6519" w:rsidRPr="002E6519" w:rsidRDefault="00344814" w:rsidP="009C770A">
            <w:r>
              <w:t>80</w:t>
            </w:r>
            <w:r w:rsidR="002E6519" w:rsidRPr="002E6519">
              <w:t>%</w:t>
            </w:r>
          </w:p>
        </w:tc>
        <w:tc>
          <w:tcPr>
            <w:tcW w:w="968" w:type="dxa"/>
            <w:vAlign w:val="center"/>
            <w:hideMark/>
          </w:tcPr>
          <w:p w:rsidR="002E6519" w:rsidRPr="002E6519" w:rsidRDefault="00344814" w:rsidP="009C770A">
            <w:r>
              <w:t>84</w:t>
            </w:r>
            <w:r w:rsidR="002E6519" w:rsidRPr="002E6519">
              <w:t>%</w:t>
            </w:r>
          </w:p>
        </w:tc>
        <w:tc>
          <w:tcPr>
            <w:tcW w:w="968" w:type="dxa"/>
            <w:vAlign w:val="center"/>
            <w:hideMark/>
          </w:tcPr>
          <w:p w:rsidR="002E6519" w:rsidRPr="002E6519" w:rsidRDefault="00344814" w:rsidP="009C770A">
            <w:r>
              <w:t>80</w:t>
            </w:r>
            <w:r w:rsidR="002E6519" w:rsidRPr="002E6519">
              <w:t>%</w:t>
            </w:r>
          </w:p>
        </w:tc>
        <w:tc>
          <w:tcPr>
            <w:tcW w:w="979" w:type="dxa"/>
            <w:vAlign w:val="center"/>
            <w:hideMark/>
          </w:tcPr>
          <w:p w:rsidR="002E6519" w:rsidRPr="002E6519" w:rsidRDefault="002E6519" w:rsidP="00344814">
            <w:r w:rsidRPr="002E6519">
              <w:t>8</w:t>
            </w:r>
            <w:r w:rsidR="00344814">
              <w:t>7</w:t>
            </w:r>
            <w:r w:rsidRPr="002E6519">
              <w:t>%</w:t>
            </w:r>
          </w:p>
        </w:tc>
        <w:tc>
          <w:tcPr>
            <w:tcW w:w="1125" w:type="dxa"/>
            <w:vAlign w:val="center"/>
            <w:hideMark/>
          </w:tcPr>
          <w:p w:rsidR="002E6519" w:rsidRPr="002E6519" w:rsidRDefault="002E6519" w:rsidP="00344814">
            <w:r w:rsidRPr="002E6519">
              <w:t>9</w:t>
            </w:r>
            <w:r w:rsidR="00344814">
              <w:t>3</w:t>
            </w:r>
            <w:r w:rsidRPr="002E6519">
              <w:t>%</w:t>
            </w:r>
          </w:p>
        </w:tc>
        <w:tc>
          <w:tcPr>
            <w:tcW w:w="1075" w:type="dxa"/>
            <w:vAlign w:val="center"/>
            <w:hideMark/>
          </w:tcPr>
          <w:p w:rsidR="002E6519" w:rsidRPr="002E6519" w:rsidRDefault="002E6519" w:rsidP="00344814">
            <w:r w:rsidRPr="002E6519">
              <w:t>9</w:t>
            </w:r>
            <w:r w:rsidR="00344814">
              <w:t>5</w:t>
            </w:r>
            <w:r w:rsidRPr="002E6519"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2E6519" w:rsidRPr="00DE030E" w:rsidRDefault="002E6519" w:rsidP="00344814">
            <w:r w:rsidRPr="00DE030E">
              <w:t>8</w:t>
            </w:r>
            <w:r w:rsidR="00344814">
              <w:t>5</w:t>
            </w:r>
            <w:r w:rsidRPr="00DE030E">
              <w:t>%</w:t>
            </w:r>
          </w:p>
        </w:tc>
      </w:tr>
      <w:tr w:rsidR="002E6519" w:rsidRPr="003415CD" w:rsidTr="00EB7520">
        <w:trPr>
          <w:trHeight w:val="330"/>
        </w:trPr>
        <w:tc>
          <w:tcPr>
            <w:tcW w:w="1553" w:type="dxa"/>
            <w:vAlign w:val="center"/>
            <w:hideMark/>
          </w:tcPr>
          <w:p w:rsidR="002E6519" w:rsidRPr="002E6519" w:rsidRDefault="002E6519" w:rsidP="009C770A">
            <w:r w:rsidRPr="002E6519">
              <w:t>Students</w:t>
            </w:r>
          </w:p>
        </w:tc>
        <w:tc>
          <w:tcPr>
            <w:tcW w:w="987" w:type="dxa"/>
            <w:vAlign w:val="center"/>
            <w:hideMark/>
          </w:tcPr>
          <w:p w:rsidR="002E6519" w:rsidRPr="002E6519" w:rsidRDefault="002E6519" w:rsidP="00344814">
            <w:r w:rsidRPr="002E6519">
              <w:t>8</w:t>
            </w:r>
            <w:r w:rsidR="00344814">
              <w:t>3</w:t>
            </w:r>
            <w:r w:rsidRPr="002E6519">
              <w:t>%</w:t>
            </w:r>
          </w:p>
        </w:tc>
        <w:tc>
          <w:tcPr>
            <w:tcW w:w="968" w:type="dxa"/>
            <w:vAlign w:val="center"/>
            <w:hideMark/>
          </w:tcPr>
          <w:p w:rsidR="002E6519" w:rsidRPr="002E6519" w:rsidRDefault="002E6519" w:rsidP="00344814">
            <w:r w:rsidRPr="002E6519">
              <w:t>7</w:t>
            </w:r>
            <w:r w:rsidR="00344814">
              <w:t>1</w:t>
            </w:r>
            <w:r w:rsidRPr="002E6519">
              <w:t>%</w:t>
            </w:r>
          </w:p>
        </w:tc>
        <w:tc>
          <w:tcPr>
            <w:tcW w:w="968" w:type="dxa"/>
            <w:vAlign w:val="center"/>
            <w:hideMark/>
          </w:tcPr>
          <w:p w:rsidR="002E6519" w:rsidRPr="002E6519" w:rsidRDefault="00344814" w:rsidP="009C770A">
            <w:r>
              <w:t>71</w:t>
            </w:r>
            <w:r w:rsidR="002E6519" w:rsidRPr="002E6519">
              <w:t>%</w:t>
            </w:r>
          </w:p>
        </w:tc>
        <w:tc>
          <w:tcPr>
            <w:tcW w:w="979" w:type="dxa"/>
            <w:vAlign w:val="center"/>
            <w:hideMark/>
          </w:tcPr>
          <w:p w:rsidR="002E6519" w:rsidRPr="002E6519" w:rsidRDefault="002E6519" w:rsidP="00344814">
            <w:r w:rsidRPr="002E6519">
              <w:t>8</w:t>
            </w:r>
            <w:r w:rsidR="00344814">
              <w:t>3</w:t>
            </w:r>
            <w:r w:rsidRPr="002E6519">
              <w:t>%</w:t>
            </w:r>
          </w:p>
        </w:tc>
        <w:tc>
          <w:tcPr>
            <w:tcW w:w="1125" w:type="dxa"/>
            <w:vAlign w:val="center"/>
            <w:hideMark/>
          </w:tcPr>
          <w:p w:rsidR="002E6519" w:rsidRPr="002E6519" w:rsidRDefault="002E6519" w:rsidP="009C770A">
            <w:proofErr w:type="spellStart"/>
            <w:r w:rsidRPr="002E6519">
              <w:t>na</w:t>
            </w:r>
            <w:proofErr w:type="spellEnd"/>
          </w:p>
        </w:tc>
        <w:tc>
          <w:tcPr>
            <w:tcW w:w="1075" w:type="dxa"/>
            <w:vAlign w:val="center"/>
            <w:hideMark/>
          </w:tcPr>
          <w:p w:rsidR="002E6519" w:rsidRPr="002E6519" w:rsidRDefault="002E6519" w:rsidP="009C770A">
            <w:proofErr w:type="spellStart"/>
            <w:r w:rsidRPr="002E6519">
              <w:t>na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2E6519" w:rsidRPr="00DE030E" w:rsidRDefault="002E6519" w:rsidP="00344814">
            <w:r w:rsidRPr="00DE030E">
              <w:t>7</w:t>
            </w:r>
            <w:r w:rsidR="00344814">
              <w:t>6</w:t>
            </w:r>
            <w:r w:rsidRPr="00DE030E">
              <w:t>%</w:t>
            </w:r>
          </w:p>
        </w:tc>
      </w:tr>
      <w:tr w:rsidR="002E6519" w:rsidRPr="003415CD" w:rsidTr="00EB7520">
        <w:trPr>
          <w:trHeight w:val="330"/>
        </w:trPr>
        <w:tc>
          <w:tcPr>
            <w:tcW w:w="1553" w:type="dxa"/>
            <w:vAlign w:val="center"/>
            <w:hideMark/>
          </w:tcPr>
          <w:p w:rsidR="002E6519" w:rsidRPr="002E6519" w:rsidRDefault="002E6519" w:rsidP="009C770A">
            <w:r w:rsidRPr="002E6519">
              <w:t>Staff</w:t>
            </w:r>
          </w:p>
        </w:tc>
        <w:tc>
          <w:tcPr>
            <w:tcW w:w="987" w:type="dxa"/>
            <w:vAlign w:val="center"/>
            <w:hideMark/>
          </w:tcPr>
          <w:p w:rsidR="002E6519" w:rsidRPr="002E6519" w:rsidRDefault="00344814" w:rsidP="009C770A">
            <w:r>
              <w:t>90</w:t>
            </w:r>
            <w:r w:rsidR="002E6519" w:rsidRPr="002E6519">
              <w:t>%</w:t>
            </w:r>
          </w:p>
        </w:tc>
        <w:tc>
          <w:tcPr>
            <w:tcW w:w="968" w:type="dxa"/>
            <w:vAlign w:val="center"/>
            <w:hideMark/>
          </w:tcPr>
          <w:p w:rsidR="002E6519" w:rsidRPr="002E6519" w:rsidRDefault="002E6519" w:rsidP="00344814">
            <w:r w:rsidRPr="002E6519">
              <w:t>8</w:t>
            </w:r>
            <w:r w:rsidR="00344814">
              <w:t>8</w:t>
            </w:r>
            <w:r w:rsidRPr="002E6519">
              <w:t>%</w:t>
            </w:r>
          </w:p>
        </w:tc>
        <w:tc>
          <w:tcPr>
            <w:tcW w:w="968" w:type="dxa"/>
            <w:vAlign w:val="center"/>
            <w:hideMark/>
          </w:tcPr>
          <w:p w:rsidR="002E6519" w:rsidRPr="002E6519" w:rsidRDefault="002E6519" w:rsidP="00344814">
            <w:r w:rsidRPr="002E6519">
              <w:t>8</w:t>
            </w:r>
            <w:r w:rsidR="00344814">
              <w:t>6</w:t>
            </w:r>
            <w:r w:rsidRPr="002E6519">
              <w:t>%</w:t>
            </w:r>
          </w:p>
        </w:tc>
        <w:tc>
          <w:tcPr>
            <w:tcW w:w="979" w:type="dxa"/>
            <w:vAlign w:val="center"/>
            <w:hideMark/>
          </w:tcPr>
          <w:p w:rsidR="002E6519" w:rsidRPr="002E6519" w:rsidRDefault="002E6519" w:rsidP="00344814">
            <w:r w:rsidRPr="002E6519">
              <w:t>9</w:t>
            </w:r>
            <w:r w:rsidR="00344814">
              <w:t>5</w:t>
            </w:r>
            <w:r w:rsidRPr="002E6519">
              <w:t>%</w:t>
            </w:r>
          </w:p>
        </w:tc>
        <w:tc>
          <w:tcPr>
            <w:tcW w:w="1125" w:type="dxa"/>
            <w:vAlign w:val="center"/>
            <w:hideMark/>
          </w:tcPr>
          <w:p w:rsidR="002E6519" w:rsidRPr="002E6519" w:rsidRDefault="002E6519" w:rsidP="00344814">
            <w:r w:rsidRPr="002E6519">
              <w:t>9</w:t>
            </w:r>
            <w:r w:rsidR="00344814">
              <w:t>5</w:t>
            </w:r>
            <w:r w:rsidRPr="002E6519">
              <w:t>%</w:t>
            </w:r>
          </w:p>
        </w:tc>
        <w:tc>
          <w:tcPr>
            <w:tcW w:w="1075" w:type="dxa"/>
            <w:vAlign w:val="center"/>
            <w:hideMark/>
          </w:tcPr>
          <w:p w:rsidR="002E6519" w:rsidRPr="002E6519" w:rsidRDefault="002E6519" w:rsidP="00344814">
            <w:r w:rsidRPr="002E6519">
              <w:t>9</w:t>
            </w:r>
            <w:r w:rsidR="00344814">
              <w:t>2</w:t>
            </w:r>
            <w:r w:rsidRPr="002E6519"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2E6519" w:rsidRPr="00DE030E" w:rsidRDefault="00344814" w:rsidP="009C770A">
            <w:r>
              <w:t>92</w:t>
            </w:r>
            <w:r w:rsidR="002E6519" w:rsidRPr="00DE030E">
              <w:t>%</w:t>
            </w:r>
          </w:p>
        </w:tc>
      </w:tr>
    </w:tbl>
    <w:p w:rsidR="00EB7520" w:rsidRDefault="00EB7520" w:rsidP="009C770A">
      <w:pPr>
        <w:rPr>
          <w:rStyle w:val="QuoteChar"/>
        </w:rPr>
      </w:pPr>
      <w:proofErr w:type="spellStart"/>
      <w:proofErr w:type="gramStart"/>
      <w:r w:rsidRPr="00EB7520">
        <w:rPr>
          <w:rStyle w:val="QuoteChar"/>
        </w:rPr>
        <w:t>na</w:t>
      </w:r>
      <w:proofErr w:type="spellEnd"/>
      <w:proofErr w:type="gramEnd"/>
      <w:r w:rsidRPr="00EB7520">
        <w:rPr>
          <w:rStyle w:val="QuoteChar"/>
        </w:rPr>
        <w:t xml:space="preserve"> – not applicable</w:t>
      </w:r>
    </w:p>
    <w:p w:rsidR="00746BDC" w:rsidRDefault="00746BDC" w:rsidP="009C770A">
      <w:r w:rsidRPr="007D0F43">
        <w:tab/>
      </w:r>
    </w:p>
    <w:p w:rsidR="00DE030E" w:rsidRPr="00270831" w:rsidRDefault="00DE030E" w:rsidP="009C770A">
      <w:pPr>
        <w:pStyle w:val="Heading2"/>
      </w:pPr>
      <w:r w:rsidRPr="00270831">
        <w:t>Table 2: Overall satisfaction with the high level of expectations at school, 201</w:t>
      </w:r>
      <w:r w:rsidR="00344814">
        <w:t>4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027"/>
        <w:gridCol w:w="940"/>
        <w:gridCol w:w="940"/>
        <w:gridCol w:w="978"/>
        <w:gridCol w:w="1186"/>
        <w:gridCol w:w="1128"/>
        <w:gridCol w:w="1134"/>
      </w:tblGrid>
      <w:tr w:rsidR="00DE030E" w:rsidRPr="003415CD" w:rsidTr="00DE030E">
        <w:trPr>
          <w:trHeight w:val="330"/>
        </w:trPr>
        <w:tc>
          <w:tcPr>
            <w:tcW w:w="1553" w:type="dxa"/>
            <w:shd w:val="clear" w:color="auto" w:fill="7FB1D1"/>
            <w:vAlign w:val="center"/>
            <w:hideMark/>
          </w:tcPr>
          <w:p w:rsidR="00DE030E" w:rsidRPr="00DE030E" w:rsidRDefault="00DE030E" w:rsidP="009C770A">
            <w:r w:rsidRPr="00DE030E">
              <w:t> </w:t>
            </w:r>
          </w:p>
        </w:tc>
        <w:tc>
          <w:tcPr>
            <w:tcW w:w="987" w:type="dxa"/>
            <w:shd w:val="clear" w:color="auto" w:fill="7FB1D1"/>
            <w:hideMark/>
          </w:tcPr>
          <w:p w:rsidR="00DE030E" w:rsidRPr="00DE030E" w:rsidRDefault="00DE030E" w:rsidP="009C770A">
            <w:r w:rsidRPr="00DE030E">
              <w:t>Colleges</w:t>
            </w:r>
          </w:p>
        </w:tc>
        <w:tc>
          <w:tcPr>
            <w:tcW w:w="968" w:type="dxa"/>
            <w:shd w:val="clear" w:color="auto" w:fill="7FB1D1"/>
            <w:hideMark/>
          </w:tcPr>
          <w:p w:rsidR="00DE030E" w:rsidRPr="00DE030E" w:rsidRDefault="00DE030E" w:rsidP="009C770A">
            <w:r w:rsidRPr="00DE030E">
              <w:t>High schools</w:t>
            </w:r>
          </w:p>
        </w:tc>
        <w:tc>
          <w:tcPr>
            <w:tcW w:w="968" w:type="dxa"/>
            <w:shd w:val="clear" w:color="auto" w:fill="7FB1D1"/>
            <w:hideMark/>
          </w:tcPr>
          <w:p w:rsidR="00DE030E" w:rsidRPr="00DE030E" w:rsidRDefault="00DE030E" w:rsidP="009C770A">
            <w:r w:rsidRPr="00DE030E">
              <w:t>P -10 schools</w:t>
            </w:r>
          </w:p>
        </w:tc>
        <w:tc>
          <w:tcPr>
            <w:tcW w:w="979" w:type="dxa"/>
            <w:shd w:val="clear" w:color="auto" w:fill="7FB1D1"/>
            <w:hideMark/>
          </w:tcPr>
          <w:p w:rsidR="00DE030E" w:rsidRPr="00DE030E" w:rsidRDefault="00DE030E" w:rsidP="009C770A">
            <w:r w:rsidRPr="00DE030E">
              <w:t>Primary schools</w:t>
            </w:r>
          </w:p>
        </w:tc>
        <w:tc>
          <w:tcPr>
            <w:tcW w:w="1125" w:type="dxa"/>
            <w:shd w:val="clear" w:color="auto" w:fill="7FB1D1"/>
            <w:hideMark/>
          </w:tcPr>
          <w:p w:rsidR="00DE030E" w:rsidRPr="00DE030E" w:rsidRDefault="00DE030E" w:rsidP="009C770A">
            <w:r w:rsidRPr="00DE030E">
              <w:t>Early childhood schools</w:t>
            </w:r>
          </w:p>
        </w:tc>
        <w:tc>
          <w:tcPr>
            <w:tcW w:w="1075" w:type="dxa"/>
            <w:shd w:val="clear" w:color="auto" w:fill="7FB1D1"/>
            <w:hideMark/>
          </w:tcPr>
          <w:p w:rsidR="00DE030E" w:rsidRPr="00DE030E" w:rsidRDefault="00DE030E" w:rsidP="009C770A">
            <w:r w:rsidRPr="00DE030E">
              <w:t>Special</w:t>
            </w:r>
            <w:r w:rsidR="007958E9">
              <w:t>ist</w:t>
            </w:r>
            <w:r w:rsidRPr="00DE030E">
              <w:t xml:space="preserve"> schools</w:t>
            </w:r>
          </w:p>
        </w:tc>
        <w:tc>
          <w:tcPr>
            <w:tcW w:w="1134" w:type="dxa"/>
            <w:shd w:val="clear" w:color="auto" w:fill="7FB1D1"/>
            <w:noWrap/>
            <w:hideMark/>
          </w:tcPr>
          <w:p w:rsidR="00DE030E" w:rsidRPr="00DE030E" w:rsidRDefault="00DE030E" w:rsidP="009C770A">
            <w:r w:rsidRPr="00DE030E">
              <w:t>All schools</w:t>
            </w:r>
          </w:p>
        </w:tc>
      </w:tr>
      <w:tr w:rsidR="00DE030E" w:rsidRPr="003415CD" w:rsidTr="00DE030E">
        <w:trPr>
          <w:trHeight w:val="330"/>
        </w:trPr>
        <w:tc>
          <w:tcPr>
            <w:tcW w:w="1553" w:type="dxa"/>
            <w:vAlign w:val="center"/>
            <w:hideMark/>
          </w:tcPr>
          <w:p w:rsidR="00DE030E" w:rsidRPr="00DE030E" w:rsidRDefault="00DE030E" w:rsidP="009C770A">
            <w:r w:rsidRPr="00DE030E">
              <w:t>Parents/carers</w:t>
            </w:r>
          </w:p>
        </w:tc>
        <w:tc>
          <w:tcPr>
            <w:tcW w:w="987" w:type="dxa"/>
            <w:vAlign w:val="center"/>
            <w:hideMark/>
          </w:tcPr>
          <w:p w:rsidR="00DE030E" w:rsidRPr="00DE030E" w:rsidRDefault="00344814" w:rsidP="009C770A">
            <w:r>
              <w:t>78</w:t>
            </w:r>
            <w:r w:rsidR="00DE030E" w:rsidRPr="00DE030E">
              <w:t>%</w:t>
            </w:r>
          </w:p>
        </w:tc>
        <w:tc>
          <w:tcPr>
            <w:tcW w:w="968" w:type="dxa"/>
            <w:vAlign w:val="center"/>
            <w:hideMark/>
          </w:tcPr>
          <w:p w:rsidR="00DE030E" w:rsidRPr="00DE030E" w:rsidRDefault="00344814" w:rsidP="009C770A">
            <w:r>
              <w:t>80</w:t>
            </w:r>
            <w:r w:rsidR="00DE030E" w:rsidRPr="00DE030E">
              <w:t>%</w:t>
            </w:r>
          </w:p>
        </w:tc>
        <w:tc>
          <w:tcPr>
            <w:tcW w:w="968" w:type="dxa"/>
            <w:vAlign w:val="center"/>
            <w:hideMark/>
          </w:tcPr>
          <w:p w:rsidR="00DE030E" w:rsidRPr="00DE030E" w:rsidRDefault="00344814" w:rsidP="009C770A">
            <w:r>
              <w:t>76</w:t>
            </w:r>
            <w:r w:rsidR="00DE030E" w:rsidRPr="00DE030E">
              <w:t>%</w:t>
            </w:r>
          </w:p>
        </w:tc>
        <w:tc>
          <w:tcPr>
            <w:tcW w:w="979" w:type="dxa"/>
            <w:vAlign w:val="center"/>
            <w:hideMark/>
          </w:tcPr>
          <w:p w:rsidR="00DE030E" w:rsidRPr="00DE030E" w:rsidRDefault="00DE030E" w:rsidP="009C770A">
            <w:r w:rsidRPr="00DE030E">
              <w:t>83%</w:t>
            </w:r>
          </w:p>
        </w:tc>
        <w:tc>
          <w:tcPr>
            <w:tcW w:w="1125" w:type="dxa"/>
            <w:vAlign w:val="center"/>
            <w:hideMark/>
          </w:tcPr>
          <w:p w:rsidR="00DE030E" w:rsidRPr="00DE030E" w:rsidRDefault="00DE030E" w:rsidP="00344814">
            <w:r w:rsidRPr="00DE030E">
              <w:t>9</w:t>
            </w:r>
            <w:r w:rsidR="00344814">
              <w:t>2</w:t>
            </w:r>
            <w:r w:rsidRPr="00DE030E">
              <w:t>%</w:t>
            </w:r>
          </w:p>
        </w:tc>
        <w:tc>
          <w:tcPr>
            <w:tcW w:w="1075" w:type="dxa"/>
            <w:vAlign w:val="center"/>
            <w:hideMark/>
          </w:tcPr>
          <w:p w:rsidR="00DE030E" w:rsidRPr="00DE030E" w:rsidRDefault="00DE030E" w:rsidP="00344814">
            <w:r w:rsidRPr="00DE030E">
              <w:t>9</w:t>
            </w:r>
            <w:r w:rsidR="00344814">
              <w:t>6</w:t>
            </w:r>
            <w:r w:rsidRPr="00DE030E"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DE030E" w:rsidRPr="00836FF3" w:rsidRDefault="00DE030E" w:rsidP="00344814">
            <w:r w:rsidRPr="00836FF3">
              <w:t>8</w:t>
            </w:r>
            <w:r w:rsidR="00344814">
              <w:t>1</w:t>
            </w:r>
            <w:r w:rsidRPr="00836FF3">
              <w:t>%</w:t>
            </w:r>
          </w:p>
        </w:tc>
      </w:tr>
      <w:tr w:rsidR="00DE030E" w:rsidRPr="003415CD" w:rsidTr="00DE030E">
        <w:trPr>
          <w:trHeight w:val="330"/>
        </w:trPr>
        <w:tc>
          <w:tcPr>
            <w:tcW w:w="1553" w:type="dxa"/>
            <w:vAlign w:val="center"/>
            <w:hideMark/>
          </w:tcPr>
          <w:p w:rsidR="00DE030E" w:rsidRPr="00DE030E" w:rsidRDefault="00DE030E" w:rsidP="009C770A">
            <w:r w:rsidRPr="00DE030E">
              <w:t>Students</w:t>
            </w:r>
          </w:p>
        </w:tc>
        <w:tc>
          <w:tcPr>
            <w:tcW w:w="987" w:type="dxa"/>
            <w:vAlign w:val="center"/>
            <w:hideMark/>
          </w:tcPr>
          <w:p w:rsidR="00DE030E" w:rsidRPr="00DE030E" w:rsidRDefault="00DE030E" w:rsidP="00344814">
            <w:r w:rsidRPr="00DE030E">
              <w:t>7</w:t>
            </w:r>
            <w:r w:rsidR="00344814">
              <w:t>8</w:t>
            </w:r>
            <w:r w:rsidRPr="00DE030E">
              <w:t>%</w:t>
            </w:r>
          </w:p>
        </w:tc>
        <w:tc>
          <w:tcPr>
            <w:tcW w:w="968" w:type="dxa"/>
            <w:vAlign w:val="center"/>
            <w:hideMark/>
          </w:tcPr>
          <w:p w:rsidR="00DE030E" w:rsidRPr="00DE030E" w:rsidRDefault="00DE030E" w:rsidP="009C770A">
            <w:r w:rsidRPr="00DE030E">
              <w:t>64%</w:t>
            </w:r>
          </w:p>
        </w:tc>
        <w:tc>
          <w:tcPr>
            <w:tcW w:w="968" w:type="dxa"/>
            <w:vAlign w:val="center"/>
            <w:hideMark/>
          </w:tcPr>
          <w:p w:rsidR="00DE030E" w:rsidRPr="00DE030E" w:rsidRDefault="00DE030E" w:rsidP="00344814">
            <w:r w:rsidRPr="00DE030E">
              <w:t>6</w:t>
            </w:r>
            <w:r w:rsidR="00344814">
              <w:t>4</w:t>
            </w:r>
            <w:r w:rsidRPr="00DE030E">
              <w:t>%</w:t>
            </w:r>
          </w:p>
        </w:tc>
        <w:tc>
          <w:tcPr>
            <w:tcW w:w="979" w:type="dxa"/>
            <w:vAlign w:val="center"/>
            <w:hideMark/>
          </w:tcPr>
          <w:p w:rsidR="00DE030E" w:rsidRPr="00DE030E" w:rsidRDefault="00DE030E" w:rsidP="00344814">
            <w:r w:rsidRPr="00DE030E">
              <w:t>7</w:t>
            </w:r>
            <w:r w:rsidR="00344814">
              <w:t>8</w:t>
            </w:r>
            <w:r w:rsidRPr="00DE030E">
              <w:t>%</w:t>
            </w:r>
          </w:p>
        </w:tc>
        <w:tc>
          <w:tcPr>
            <w:tcW w:w="1125" w:type="dxa"/>
            <w:vAlign w:val="center"/>
            <w:hideMark/>
          </w:tcPr>
          <w:p w:rsidR="00DE030E" w:rsidRPr="00DE030E" w:rsidRDefault="00DE030E" w:rsidP="009C770A">
            <w:proofErr w:type="spellStart"/>
            <w:r w:rsidRPr="00DE030E">
              <w:t>na</w:t>
            </w:r>
            <w:proofErr w:type="spellEnd"/>
          </w:p>
        </w:tc>
        <w:tc>
          <w:tcPr>
            <w:tcW w:w="1075" w:type="dxa"/>
            <w:vAlign w:val="center"/>
            <w:hideMark/>
          </w:tcPr>
          <w:p w:rsidR="00DE030E" w:rsidRPr="00DE030E" w:rsidRDefault="00DE030E" w:rsidP="009C770A">
            <w:proofErr w:type="spellStart"/>
            <w:r w:rsidRPr="00DE030E">
              <w:t>na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E030E" w:rsidRPr="00836FF3" w:rsidRDefault="00344814" w:rsidP="009C770A">
            <w:r>
              <w:t>71</w:t>
            </w:r>
            <w:r w:rsidR="00DE030E" w:rsidRPr="00836FF3">
              <w:t>%</w:t>
            </w:r>
          </w:p>
        </w:tc>
      </w:tr>
      <w:tr w:rsidR="00DE030E" w:rsidRPr="003415CD" w:rsidTr="00DE030E">
        <w:trPr>
          <w:trHeight w:val="330"/>
        </w:trPr>
        <w:tc>
          <w:tcPr>
            <w:tcW w:w="1553" w:type="dxa"/>
            <w:vAlign w:val="center"/>
            <w:hideMark/>
          </w:tcPr>
          <w:p w:rsidR="00DE030E" w:rsidRPr="00DE030E" w:rsidRDefault="00DE030E" w:rsidP="009C770A">
            <w:r w:rsidRPr="00DE030E">
              <w:t>Staff</w:t>
            </w:r>
          </w:p>
        </w:tc>
        <w:tc>
          <w:tcPr>
            <w:tcW w:w="987" w:type="dxa"/>
            <w:vAlign w:val="center"/>
            <w:hideMark/>
          </w:tcPr>
          <w:p w:rsidR="00DE030E" w:rsidRPr="00DE030E" w:rsidRDefault="00DE030E" w:rsidP="00344814">
            <w:r w:rsidRPr="00DE030E">
              <w:t>8</w:t>
            </w:r>
            <w:r w:rsidR="00344814">
              <w:t>2</w:t>
            </w:r>
            <w:r w:rsidRPr="00DE030E">
              <w:t>%</w:t>
            </w:r>
          </w:p>
        </w:tc>
        <w:tc>
          <w:tcPr>
            <w:tcW w:w="968" w:type="dxa"/>
            <w:vAlign w:val="center"/>
            <w:hideMark/>
          </w:tcPr>
          <w:p w:rsidR="00DE030E" w:rsidRPr="00DE030E" w:rsidRDefault="00DE030E" w:rsidP="00344814">
            <w:r w:rsidRPr="00DE030E">
              <w:t>8</w:t>
            </w:r>
            <w:r w:rsidR="00344814">
              <w:t>4</w:t>
            </w:r>
            <w:r w:rsidRPr="00DE030E">
              <w:t>%</w:t>
            </w:r>
          </w:p>
        </w:tc>
        <w:tc>
          <w:tcPr>
            <w:tcW w:w="968" w:type="dxa"/>
            <w:vAlign w:val="center"/>
            <w:hideMark/>
          </w:tcPr>
          <w:p w:rsidR="00DE030E" w:rsidRPr="00DE030E" w:rsidRDefault="00344814" w:rsidP="009C770A">
            <w:r>
              <w:t>83</w:t>
            </w:r>
            <w:r w:rsidR="00DE030E" w:rsidRPr="00DE030E">
              <w:t>%</w:t>
            </w:r>
          </w:p>
        </w:tc>
        <w:tc>
          <w:tcPr>
            <w:tcW w:w="979" w:type="dxa"/>
            <w:vAlign w:val="center"/>
            <w:hideMark/>
          </w:tcPr>
          <w:p w:rsidR="00DE030E" w:rsidRPr="00DE030E" w:rsidRDefault="00DE030E" w:rsidP="00344814">
            <w:r w:rsidRPr="00DE030E">
              <w:t>9</w:t>
            </w:r>
            <w:r w:rsidR="00344814">
              <w:t>2</w:t>
            </w:r>
            <w:r w:rsidRPr="00DE030E">
              <w:t>%</w:t>
            </w:r>
          </w:p>
        </w:tc>
        <w:tc>
          <w:tcPr>
            <w:tcW w:w="1125" w:type="dxa"/>
            <w:vAlign w:val="center"/>
            <w:hideMark/>
          </w:tcPr>
          <w:p w:rsidR="00DE030E" w:rsidRPr="00DE030E" w:rsidRDefault="00DE030E" w:rsidP="00344814">
            <w:r w:rsidRPr="00DE030E">
              <w:t>9</w:t>
            </w:r>
            <w:r w:rsidR="00344814">
              <w:t>4</w:t>
            </w:r>
            <w:r w:rsidRPr="00DE030E">
              <w:t>%</w:t>
            </w:r>
          </w:p>
        </w:tc>
        <w:tc>
          <w:tcPr>
            <w:tcW w:w="1075" w:type="dxa"/>
            <w:vAlign w:val="center"/>
            <w:hideMark/>
          </w:tcPr>
          <w:p w:rsidR="00DE030E" w:rsidRPr="00DE030E" w:rsidRDefault="00DE030E" w:rsidP="00344814">
            <w:r w:rsidRPr="00DE030E">
              <w:t>9</w:t>
            </w:r>
            <w:r w:rsidR="00344814">
              <w:t>2</w:t>
            </w:r>
            <w:r w:rsidRPr="00DE030E"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DE030E" w:rsidRPr="00836FF3" w:rsidRDefault="00DE030E" w:rsidP="00344814">
            <w:r w:rsidRPr="00836FF3">
              <w:t>8</w:t>
            </w:r>
            <w:r w:rsidR="00344814">
              <w:t>8</w:t>
            </w:r>
            <w:r w:rsidRPr="00836FF3">
              <w:t>%</w:t>
            </w:r>
          </w:p>
        </w:tc>
      </w:tr>
    </w:tbl>
    <w:p w:rsidR="00DE030E" w:rsidRDefault="00DE030E" w:rsidP="009C770A">
      <w:pPr>
        <w:rPr>
          <w:rStyle w:val="QuoteChar"/>
        </w:rPr>
      </w:pPr>
      <w:proofErr w:type="spellStart"/>
      <w:proofErr w:type="gramStart"/>
      <w:r w:rsidRPr="00EB7520">
        <w:rPr>
          <w:rStyle w:val="QuoteChar"/>
        </w:rPr>
        <w:t>na</w:t>
      </w:r>
      <w:proofErr w:type="spellEnd"/>
      <w:proofErr w:type="gramEnd"/>
      <w:r w:rsidRPr="00EB7520">
        <w:rPr>
          <w:rStyle w:val="QuoteChar"/>
        </w:rPr>
        <w:t xml:space="preserve"> – not applicable</w:t>
      </w:r>
    </w:p>
    <w:p w:rsidR="007D5028" w:rsidRPr="00265AE1" w:rsidRDefault="0084356D" w:rsidP="009C770A">
      <w:pPr>
        <w:pStyle w:val="Heading1"/>
      </w:pPr>
      <w:r>
        <w:t>How do we use</w:t>
      </w:r>
      <w:r w:rsidR="007D5028" w:rsidRPr="00265AE1">
        <w:t xml:space="preserve"> the survey results?</w:t>
      </w:r>
    </w:p>
    <w:p w:rsidR="00DF3847" w:rsidRPr="00D26141" w:rsidRDefault="00170E26" w:rsidP="009C770A">
      <w:pPr>
        <w:pStyle w:val="Normalpara"/>
      </w:pPr>
      <w:r w:rsidRPr="00D26141">
        <w:t xml:space="preserve">Each year, survey results from all ACT public schools are collated to provide an indication of system-wide satisfaction levels.  Satisfaction is an important measure of </w:t>
      </w:r>
      <w:r w:rsidR="0084356D" w:rsidRPr="00D26141">
        <w:t xml:space="preserve">our </w:t>
      </w:r>
      <w:r w:rsidRPr="00D26141">
        <w:t>stakeholder</w:t>
      </w:r>
      <w:r w:rsidR="0084356D" w:rsidRPr="00D26141">
        <w:t>s’</w:t>
      </w:r>
      <w:r w:rsidRPr="00D26141">
        <w:t xml:space="preserve"> </w:t>
      </w:r>
      <w:r w:rsidR="00382AA8" w:rsidRPr="00D26141">
        <w:t xml:space="preserve">confidence, </w:t>
      </w:r>
      <w:r w:rsidRPr="00D26141">
        <w:t>engagement and participation.</w:t>
      </w:r>
      <w:r w:rsidR="00DF3847" w:rsidRPr="00D26141">
        <w:t xml:space="preserve">  </w:t>
      </w:r>
    </w:p>
    <w:p w:rsidR="007D5028" w:rsidRPr="00D26141" w:rsidRDefault="00DD77EC" w:rsidP="009C770A">
      <w:pPr>
        <w:pStyle w:val="Normalpara"/>
      </w:pPr>
      <w:r w:rsidRPr="00D26141">
        <w:t xml:space="preserve">The school level results contribute to the school improvement process </w:t>
      </w:r>
      <w:r w:rsidR="009C770A">
        <w:t xml:space="preserve">within each ACT public school. </w:t>
      </w:r>
      <w:r w:rsidRPr="00D26141">
        <w:t xml:space="preserve">Overall satisfaction results for each ACT public school are reported in their annual school board report.   </w:t>
      </w:r>
    </w:p>
    <w:p w:rsidR="007D5028" w:rsidRPr="00265AE1" w:rsidRDefault="007D5028" w:rsidP="009C770A">
      <w:pPr>
        <w:pStyle w:val="Heading1"/>
      </w:pPr>
      <w:r w:rsidRPr="00265AE1">
        <w:lastRenderedPageBreak/>
        <w:t>Further Information</w:t>
      </w:r>
    </w:p>
    <w:p w:rsidR="008B3947" w:rsidRPr="009C770A" w:rsidRDefault="008B3947" w:rsidP="008D2FE2">
      <w:r w:rsidRPr="009C770A">
        <w:t>Education and Training Directorate</w:t>
      </w:r>
      <w:r w:rsidR="0052799A" w:rsidRPr="009C770A">
        <w:br/>
      </w:r>
      <w:r w:rsidRPr="009C770A">
        <w:t>General Enquiries</w:t>
      </w:r>
    </w:p>
    <w:p w:rsidR="008B3947" w:rsidRPr="009C770A" w:rsidRDefault="008B3947" w:rsidP="008D2FE2">
      <w:r w:rsidRPr="009C770A">
        <w:t>T</w:t>
      </w:r>
      <w:r w:rsidR="0052799A" w:rsidRPr="009C770A">
        <w:t xml:space="preserve">elephone: </w:t>
      </w:r>
      <w:r w:rsidRPr="009C770A">
        <w:t>+61</w:t>
      </w:r>
      <w:r w:rsidR="0052799A" w:rsidRPr="009C770A">
        <w:t xml:space="preserve"> 620</w:t>
      </w:r>
      <w:r w:rsidRPr="009C770A">
        <w:t>7</w:t>
      </w:r>
      <w:r w:rsidR="0052799A" w:rsidRPr="009C770A">
        <w:t xml:space="preserve"> 5</w:t>
      </w:r>
      <w:r w:rsidRPr="009C770A">
        <w:t>111</w:t>
      </w:r>
    </w:p>
    <w:p w:rsidR="008B3947" w:rsidRPr="009C770A" w:rsidRDefault="008B3947" w:rsidP="008D2FE2">
      <w:r w:rsidRPr="009C770A">
        <w:t>Canberra Connect: 13 22 81</w:t>
      </w:r>
    </w:p>
    <w:p w:rsidR="0052799A" w:rsidRPr="009C770A" w:rsidRDefault="008B3947" w:rsidP="008D2FE2">
      <w:r w:rsidRPr="009C770A">
        <w:t>E</w:t>
      </w:r>
      <w:r w:rsidR="0052799A" w:rsidRPr="009C770A">
        <w:t xml:space="preserve">mail: </w:t>
      </w:r>
      <w:hyperlink r:id="rId9" w:history="1">
        <w:r w:rsidRPr="009C770A">
          <w:rPr>
            <w:rStyle w:val="Hyperlink"/>
            <w:color w:val="auto"/>
            <w:u w:val="none"/>
          </w:rPr>
          <w:t>DETFeedback@act.gov.au</w:t>
        </w:r>
      </w:hyperlink>
    </w:p>
    <w:p w:rsidR="007D5028" w:rsidRPr="00542064" w:rsidRDefault="007D5028" w:rsidP="009C770A">
      <w:pPr>
        <w:pStyle w:val="Heading1"/>
      </w:pPr>
      <w:r w:rsidRPr="00542064">
        <w:t>Accessibility</w:t>
      </w:r>
    </w:p>
    <w:p w:rsidR="007D5028" w:rsidRDefault="007D5028" w:rsidP="009C770A">
      <w:pPr>
        <w:pStyle w:val="Normalpara"/>
      </w:pPr>
      <w:r w:rsidRPr="00D26141">
        <w:t>The ACT Government is committed to making its information, services, events and venues accessible to as many people as possible. If you have difficult</w:t>
      </w:r>
      <w:r w:rsidR="00121CC7" w:rsidRPr="00D26141">
        <w:t>y</w:t>
      </w:r>
      <w:r w:rsidRPr="00D26141">
        <w:t xml:space="preserve"> reading a standard printed document please call (02) 6247 4580. If English is not your first language please call 13</w:t>
      </w:r>
      <w:r w:rsidR="00832030">
        <w:t> </w:t>
      </w:r>
      <w:r w:rsidRPr="00D26141">
        <w:t>14</w:t>
      </w:r>
      <w:r w:rsidR="00832030">
        <w:t> </w:t>
      </w:r>
      <w:r w:rsidRPr="00D26141">
        <w:t>50.</w:t>
      </w:r>
      <w:r w:rsidR="00FA7658">
        <w:t xml:space="preserve"> </w:t>
      </w:r>
      <w:r w:rsidRPr="00D26141">
        <w:t>If you are deaf or hearing impaired and require the National Relay Service please call 13</w:t>
      </w:r>
      <w:r w:rsidR="00FB49A3">
        <w:t> </w:t>
      </w:r>
      <w:r w:rsidRPr="00D26141">
        <w:t>36 77.</w:t>
      </w:r>
    </w:p>
    <w:p w:rsidR="00FB49A3" w:rsidRDefault="00FB49A3" w:rsidP="009C770A">
      <w:pPr>
        <w:pStyle w:val="Normalpara"/>
      </w:pPr>
    </w:p>
    <w:p w:rsidR="007D5028" w:rsidRPr="006B53AF" w:rsidRDefault="00DE7A26" w:rsidP="009C770A">
      <w:pPr>
        <w:pStyle w:val="Normalpara"/>
      </w:pPr>
      <w:r>
        <w:rPr>
          <w:rStyle w:val="unicode1"/>
          <w:rFonts w:hint="default"/>
        </w:rPr>
        <w:t xml:space="preserve">© </w:t>
      </w:r>
      <w:r w:rsidR="007D5028" w:rsidRPr="00DE7A26">
        <w:t>Australian Capital Territory, Canberra</w:t>
      </w:r>
      <w:r w:rsidRPr="00DE7A26">
        <w:t>,</w:t>
      </w:r>
      <w:r w:rsidR="009E505F">
        <w:t xml:space="preserve"> </w:t>
      </w:r>
      <w:r w:rsidR="00B8011A">
        <w:t>Dec</w:t>
      </w:r>
      <w:r w:rsidR="000A12E0">
        <w:t>emb</w:t>
      </w:r>
      <w:r w:rsidR="009E505F">
        <w:t>er</w:t>
      </w:r>
      <w:r w:rsidRPr="00265AE1">
        <w:t xml:space="preserve"> 201</w:t>
      </w:r>
      <w:r w:rsidR="00344814">
        <w:t>4</w:t>
      </w:r>
    </w:p>
    <w:sectPr w:rsidR="007D5028" w:rsidRPr="006B53AF" w:rsidSect="009C770A">
      <w:pgSz w:w="11906" w:h="16838"/>
      <w:pgMar w:top="1134" w:right="1440" w:bottom="1134" w:left="1440" w:header="709" w:footer="709" w:gutter="0"/>
      <w:cols w:space="8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E2" w:rsidRDefault="008D2FE2" w:rsidP="009C770A">
      <w:r>
        <w:separator/>
      </w:r>
    </w:p>
  </w:endnote>
  <w:endnote w:type="continuationSeparator" w:id="0">
    <w:p w:rsidR="008D2FE2" w:rsidRDefault="008D2FE2" w:rsidP="009C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er Medium">
    <w:altName w:val="Archer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E2" w:rsidRDefault="008D2FE2" w:rsidP="009C770A">
      <w:r>
        <w:separator/>
      </w:r>
    </w:p>
  </w:footnote>
  <w:footnote w:type="continuationSeparator" w:id="0">
    <w:p w:rsidR="008D2FE2" w:rsidRDefault="008D2FE2" w:rsidP="009C7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FED"/>
    <w:multiLevelType w:val="hybridMultilevel"/>
    <w:tmpl w:val="C44C2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7628B"/>
    <w:multiLevelType w:val="hybridMultilevel"/>
    <w:tmpl w:val="877C2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D64AB"/>
    <w:multiLevelType w:val="hybridMultilevel"/>
    <w:tmpl w:val="25A21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32B3A"/>
    <w:multiLevelType w:val="hybridMultilevel"/>
    <w:tmpl w:val="1126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30CE0"/>
    <w:multiLevelType w:val="hybridMultilevel"/>
    <w:tmpl w:val="1BD8B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0749"/>
    <w:multiLevelType w:val="multilevel"/>
    <w:tmpl w:val="049E97B6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6">
    <w:nsid w:val="5F8779B0"/>
    <w:multiLevelType w:val="hybridMultilevel"/>
    <w:tmpl w:val="915C1194"/>
    <w:lvl w:ilvl="0" w:tplc="DF846C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7260B"/>
    <w:multiLevelType w:val="hybridMultilevel"/>
    <w:tmpl w:val="6CD2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12EAF"/>
    <w:rsid w:val="000032BC"/>
    <w:rsid w:val="000057C3"/>
    <w:rsid w:val="0004513C"/>
    <w:rsid w:val="00047C8B"/>
    <w:rsid w:val="00047F57"/>
    <w:rsid w:val="000814F4"/>
    <w:rsid w:val="00081E4A"/>
    <w:rsid w:val="000A12E0"/>
    <w:rsid w:val="000A4DDA"/>
    <w:rsid w:val="000B1C0F"/>
    <w:rsid w:val="000B1DA7"/>
    <w:rsid w:val="000B6958"/>
    <w:rsid w:val="000C160C"/>
    <w:rsid w:val="000E3CA8"/>
    <w:rsid w:val="000E66CB"/>
    <w:rsid w:val="0010363F"/>
    <w:rsid w:val="00111484"/>
    <w:rsid w:val="00121CC7"/>
    <w:rsid w:val="00165D00"/>
    <w:rsid w:val="00170E26"/>
    <w:rsid w:val="00186CDD"/>
    <w:rsid w:val="001A4E0B"/>
    <w:rsid w:val="001E74B9"/>
    <w:rsid w:val="001F03B0"/>
    <w:rsid w:val="001F7B86"/>
    <w:rsid w:val="00215755"/>
    <w:rsid w:val="00227A2A"/>
    <w:rsid w:val="0023612B"/>
    <w:rsid w:val="00241302"/>
    <w:rsid w:val="00265AE1"/>
    <w:rsid w:val="00270831"/>
    <w:rsid w:val="00280D9B"/>
    <w:rsid w:val="00282362"/>
    <w:rsid w:val="002D06CC"/>
    <w:rsid w:val="002D2DDF"/>
    <w:rsid w:val="002E2A8D"/>
    <w:rsid w:val="002E6519"/>
    <w:rsid w:val="002E713C"/>
    <w:rsid w:val="002F73F0"/>
    <w:rsid w:val="00313629"/>
    <w:rsid w:val="00336A5E"/>
    <w:rsid w:val="00337BD3"/>
    <w:rsid w:val="003415CD"/>
    <w:rsid w:val="00344814"/>
    <w:rsid w:val="00353487"/>
    <w:rsid w:val="00381377"/>
    <w:rsid w:val="00382AA8"/>
    <w:rsid w:val="003837E0"/>
    <w:rsid w:val="003C2563"/>
    <w:rsid w:val="003C2B64"/>
    <w:rsid w:val="003C3F6E"/>
    <w:rsid w:val="003C40E7"/>
    <w:rsid w:val="003D00BA"/>
    <w:rsid w:val="004074CE"/>
    <w:rsid w:val="00412C64"/>
    <w:rsid w:val="004245B0"/>
    <w:rsid w:val="00445D23"/>
    <w:rsid w:val="00456488"/>
    <w:rsid w:val="004775E2"/>
    <w:rsid w:val="00492713"/>
    <w:rsid w:val="004D6D11"/>
    <w:rsid w:val="004E7E3E"/>
    <w:rsid w:val="004F3E12"/>
    <w:rsid w:val="00501022"/>
    <w:rsid w:val="00503A30"/>
    <w:rsid w:val="005058A5"/>
    <w:rsid w:val="00515384"/>
    <w:rsid w:val="00525D6E"/>
    <w:rsid w:val="0052799A"/>
    <w:rsid w:val="005279D0"/>
    <w:rsid w:val="0054016E"/>
    <w:rsid w:val="00542064"/>
    <w:rsid w:val="00557575"/>
    <w:rsid w:val="00565990"/>
    <w:rsid w:val="00566C59"/>
    <w:rsid w:val="00570411"/>
    <w:rsid w:val="005741C5"/>
    <w:rsid w:val="005945C2"/>
    <w:rsid w:val="005B1B39"/>
    <w:rsid w:val="005D38C9"/>
    <w:rsid w:val="005E155C"/>
    <w:rsid w:val="005E4B5F"/>
    <w:rsid w:val="00605C78"/>
    <w:rsid w:val="00610974"/>
    <w:rsid w:val="00611F87"/>
    <w:rsid w:val="0067530E"/>
    <w:rsid w:val="0067791D"/>
    <w:rsid w:val="006B53AF"/>
    <w:rsid w:val="006B5C6D"/>
    <w:rsid w:val="006E186E"/>
    <w:rsid w:val="006F5604"/>
    <w:rsid w:val="007334A5"/>
    <w:rsid w:val="00741719"/>
    <w:rsid w:val="00741C6E"/>
    <w:rsid w:val="00746620"/>
    <w:rsid w:val="00746BDC"/>
    <w:rsid w:val="007822CF"/>
    <w:rsid w:val="00784576"/>
    <w:rsid w:val="007958E9"/>
    <w:rsid w:val="007A7D0F"/>
    <w:rsid w:val="007D0F43"/>
    <w:rsid w:val="007D5028"/>
    <w:rsid w:val="007E5999"/>
    <w:rsid w:val="008001B6"/>
    <w:rsid w:val="0082088B"/>
    <w:rsid w:val="00822DE3"/>
    <w:rsid w:val="00832030"/>
    <w:rsid w:val="00836FF3"/>
    <w:rsid w:val="0084356D"/>
    <w:rsid w:val="008542E3"/>
    <w:rsid w:val="0085680E"/>
    <w:rsid w:val="00860403"/>
    <w:rsid w:val="008B3947"/>
    <w:rsid w:val="008D2FE2"/>
    <w:rsid w:val="008F68A8"/>
    <w:rsid w:val="0090765A"/>
    <w:rsid w:val="00914D13"/>
    <w:rsid w:val="00923301"/>
    <w:rsid w:val="00923B8D"/>
    <w:rsid w:val="009548D1"/>
    <w:rsid w:val="00957DC2"/>
    <w:rsid w:val="00976386"/>
    <w:rsid w:val="0098058D"/>
    <w:rsid w:val="00982970"/>
    <w:rsid w:val="00993EE0"/>
    <w:rsid w:val="009A5A62"/>
    <w:rsid w:val="009A6132"/>
    <w:rsid w:val="009B3143"/>
    <w:rsid w:val="009B6882"/>
    <w:rsid w:val="009C770A"/>
    <w:rsid w:val="009E505F"/>
    <w:rsid w:val="009F1BF8"/>
    <w:rsid w:val="00A14996"/>
    <w:rsid w:val="00A251A6"/>
    <w:rsid w:val="00A27C54"/>
    <w:rsid w:val="00A500D4"/>
    <w:rsid w:val="00A50446"/>
    <w:rsid w:val="00A632FE"/>
    <w:rsid w:val="00A75A92"/>
    <w:rsid w:val="00A830EB"/>
    <w:rsid w:val="00AA7E47"/>
    <w:rsid w:val="00AC4748"/>
    <w:rsid w:val="00AE07EA"/>
    <w:rsid w:val="00AE55F4"/>
    <w:rsid w:val="00B02072"/>
    <w:rsid w:val="00B12EAF"/>
    <w:rsid w:val="00B16A36"/>
    <w:rsid w:val="00B275B1"/>
    <w:rsid w:val="00B537AA"/>
    <w:rsid w:val="00B8011A"/>
    <w:rsid w:val="00B97420"/>
    <w:rsid w:val="00BB6186"/>
    <w:rsid w:val="00BC5804"/>
    <w:rsid w:val="00BD0FE8"/>
    <w:rsid w:val="00BD26AF"/>
    <w:rsid w:val="00BD3697"/>
    <w:rsid w:val="00BD40C4"/>
    <w:rsid w:val="00C1439D"/>
    <w:rsid w:val="00C40C82"/>
    <w:rsid w:val="00CA5845"/>
    <w:rsid w:val="00CB1E74"/>
    <w:rsid w:val="00D040C3"/>
    <w:rsid w:val="00D16E77"/>
    <w:rsid w:val="00D26141"/>
    <w:rsid w:val="00D264B7"/>
    <w:rsid w:val="00D30284"/>
    <w:rsid w:val="00D44EC3"/>
    <w:rsid w:val="00D81F75"/>
    <w:rsid w:val="00DB24BA"/>
    <w:rsid w:val="00DC1C38"/>
    <w:rsid w:val="00DD4360"/>
    <w:rsid w:val="00DD77EC"/>
    <w:rsid w:val="00DE030E"/>
    <w:rsid w:val="00DE7A26"/>
    <w:rsid w:val="00DF3847"/>
    <w:rsid w:val="00E231E2"/>
    <w:rsid w:val="00E3066D"/>
    <w:rsid w:val="00E3701A"/>
    <w:rsid w:val="00E5783B"/>
    <w:rsid w:val="00E60CEC"/>
    <w:rsid w:val="00E64255"/>
    <w:rsid w:val="00E66E21"/>
    <w:rsid w:val="00E818FE"/>
    <w:rsid w:val="00E85601"/>
    <w:rsid w:val="00EA1FB0"/>
    <w:rsid w:val="00EA3D4C"/>
    <w:rsid w:val="00EB4220"/>
    <w:rsid w:val="00EB7520"/>
    <w:rsid w:val="00EC1B56"/>
    <w:rsid w:val="00EC224B"/>
    <w:rsid w:val="00EC5967"/>
    <w:rsid w:val="00EE2D75"/>
    <w:rsid w:val="00F13537"/>
    <w:rsid w:val="00F26898"/>
    <w:rsid w:val="00F64468"/>
    <w:rsid w:val="00F67340"/>
    <w:rsid w:val="00FA5B6B"/>
    <w:rsid w:val="00FA7658"/>
    <w:rsid w:val="00FB49A3"/>
    <w:rsid w:val="00FD1BE2"/>
    <w:rsid w:val="00FD2AD8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0A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9A3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20"/>
    <w:pPr>
      <w:keepNext/>
      <w:keepLines/>
      <w:spacing w:after="6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4A5"/>
    <w:pPr>
      <w:keepNext/>
      <w:keepLines/>
      <w:jc w:val="center"/>
      <w:outlineLvl w:val="2"/>
    </w:pPr>
    <w:rPr>
      <w:rFonts w:eastAsiaTheme="majorEastAsia"/>
      <w:b/>
      <w:bCs/>
      <w:color w:val="365F9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20"/>
    <w:pPr>
      <w:numPr>
        <w:numId w:val="7"/>
      </w:numPr>
      <w:spacing w:line="276" w:lineRule="auto"/>
      <w:ind w:left="284" w:hanging="284"/>
    </w:pPr>
  </w:style>
  <w:style w:type="table" w:styleId="TableGrid">
    <w:name w:val="Table Grid"/>
    <w:basedOn w:val="TableNormal"/>
    <w:uiPriority w:val="59"/>
    <w:rsid w:val="007D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FE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FE"/>
    <w:rPr>
      <w:b/>
      <w:bCs/>
    </w:rPr>
  </w:style>
  <w:style w:type="paragraph" w:styleId="Revision">
    <w:name w:val="Revision"/>
    <w:hidden/>
    <w:uiPriority w:val="99"/>
    <w:semiHidden/>
    <w:rsid w:val="00AA7E47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99A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52799A"/>
    <w:pPr>
      <w:spacing w:before="120" w:after="240"/>
    </w:pPr>
    <w:rPr>
      <w:rFonts w:ascii="Times New Roman" w:eastAsia="Times New Roman" w:hAnsi="Times New Roman" w:cs="Times New Roman"/>
    </w:rPr>
  </w:style>
  <w:style w:type="paragraph" w:customStyle="1" w:styleId="AlphaParagraph">
    <w:name w:val="Alpha Paragraph"/>
    <w:basedOn w:val="Normal"/>
    <w:rsid w:val="00BC5804"/>
    <w:pPr>
      <w:numPr>
        <w:numId w:val="8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</w:rPr>
  </w:style>
  <w:style w:type="character" w:customStyle="1" w:styleId="unicode1">
    <w:name w:val="unicode1"/>
    <w:basedOn w:val="DefaultParagraphFont"/>
    <w:rsid w:val="00DE7A26"/>
    <w:rPr>
      <w:rFonts w:ascii="Arial Unicode MS" w:eastAsia="Arial Unicode MS" w:hAnsi="Arial Unicode MS" w:cs="Arial Unicode MS" w:hint="eastAsia"/>
    </w:rPr>
  </w:style>
  <w:style w:type="character" w:customStyle="1" w:styleId="Heading1Char">
    <w:name w:val="Heading 1 Char"/>
    <w:basedOn w:val="DefaultParagraphFont"/>
    <w:link w:val="Heading1"/>
    <w:uiPriority w:val="9"/>
    <w:rsid w:val="00FB49A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B49A3"/>
    <w:pPr>
      <w:spacing w:before="0"/>
    </w:pPr>
    <w:rPr>
      <w:noProof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B49A3"/>
    <w:rPr>
      <w:rFonts w:eastAsiaTheme="majorEastAsia" w:cstheme="majorBidi"/>
      <w:b/>
      <w:bCs/>
      <w:noProof/>
      <w:color w:val="365F91" w:themeColor="accent1" w:themeShade="BF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8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488"/>
    <w:rPr>
      <w:rFonts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7520"/>
    <w:rPr>
      <w:rFonts w:asciiTheme="minorHAnsi" w:eastAsiaTheme="majorEastAsia" w:hAnsiTheme="minorHAnsi" w:cstheme="majorBidi"/>
      <w:b/>
      <w:bCs/>
      <w:color w:val="4F81BD" w:themeColor="accent1"/>
      <w:sz w:val="2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B7520"/>
    <w:pPr>
      <w:spacing w:after="240"/>
    </w:pPr>
    <w:rPr>
      <w:iCs/>
      <w:color w:val="000000" w:themeColor="text1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EB7520"/>
    <w:rPr>
      <w:rFonts w:cs="Calibri"/>
      <w:iCs/>
      <w:color w:val="000000" w:themeColor="text1"/>
      <w:sz w:val="16"/>
      <w:szCs w:val="22"/>
    </w:rPr>
  </w:style>
  <w:style w:type="paragraph" w:customStyle="1" w:styleId="Normalpara">
    <w:name w:val="Normal para"/>
    <w:basedOn w:val="Normal"/>
    <w:link w:val="NormalparaChar"/>
    <w:qFormat/>
    <w:rsid w:val="009F1BF8"/>
    <w:pPr>
      <w:spacing w:after="120"/>
    </w:pPr>
  </w:style>
  <w:style w:type="character" w:customStyle="1" w:styleId="NormalparaChar">
    <w:name w:val="Normal para Char"/>
    <w:basedOn w:val="DefaultParagraphFont"/>
    <w:link w:val="Normalpara"/>
    <w:rsid w:val="009F1BF8"/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34A5"/>
    <w:rPr>
      <w:rFonts w:eastAsiaTheme="majorEastAsia" w:cs="Calibri"/>
      <w:b/>
      <w:bCs/>
      <w:color w:val="365F9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44814"/>
    <w:pPr>
      <w:autoSpaceDE w:val="0"/>
      <w:autoSpaceDN w:val="0"/>
      <w:adjustRightInd w:val="0"/>
    </w:pPr>
    <w:rPr>
      <w:rFonts w:ascii="Archer Medium" w:hAnsi="Archer Medium" w:cs="Archer Mediu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44814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Feedback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C707-CDF6-45EB-B0A8-C4A80CD6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1995</Characters>
  <Application>Microsoft Office Word</Application>
  <DocSecurity>0</DocSecurity>
  <Lines>142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2297</CharactersWithSpaces>
  <SharedDoc>false</SharedDoc>
  <HLinks>
    <vt:vector size="6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mailto:DET.communityliaison@act.gov.au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cowlishaw</dc:creator>
  <cp:lastModifiedBy>Louise Oldman</cp:lastModifiedBy>
  <cp:revision>6</cp:revision>
  <cp:lastPrinted>2014-12-11T01:42:00Z</cp:lastPrinted>
  <dcterms:created xsi:type="dcterms:W3CDTF">2014-11-12T22:47:00Z</dcterms:created>
  <dcterms:modified xsi:type="dcterms:W3CDTF">2014-12-11T01:53:00Z</dcterms:modified>
</cp:coreProperties>
</file>