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D0" w:rsidRPr="00AE4411" w:rsidRDefault="004470B7" w:rsidP="00A6638B">
      <w:pPr>
        <w:tabs>
          <w:tab w:val="left" w:pos="972"/>
        </w:tabs>
      </w:pPr>
      <w:bookmarkStart w:id="0" w:name="_GoBack"/>
      <w:bookmarkEnd w:id="0"/>
      <w:r>
        <w:rPr>
          <w:noProof/>
          <w:lang w:eastAsia="en-AU"/>
        </w:rPr>
        <w:drawing>
          <wp:inline distT="0" distB="0" distL="0" distR="0">
            <wp:extent cx="1595994" cy="814274"/>
            <wp:effectExtent l="19050" t="0" r="4206" b="0"/>
            <wp:docPr id="12" name="Picture 2" descr="H:\Desktop\Various Clutter\ACTGov_EDU_inline_rev\ACTGov_EDU_inline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ktop\Various Clutter\ACTGov_EDU_inline_rev\ACTGov_EDU_inline_rev.png"/>
                    <pic:cNvPicPr>
                      <a:picLocks noChangeAspect="1" noChangeArrowheads="1"/>
                    </pic:cNvPicPr>
                  </pic:nvPicPr>
                  <pic:blipFill>
                    <a:blip r:embed="rId9" cstate="print"/>
                    <a:srcRect/>
                    <a:stretch>
                      <a:fillRect/>
                    </a:stretch>
                  </pic:blipFill>
                  <pic:spPr bwMode="auto">
                    <a:xfrm>
                      <a:off x="0" y="0"/>
                      <a:ext cx="1595625" cy="814086"/>
                    </a:xfrm>
                    <a:prstGeom prst="rect">
                      <a:avLst/>
                    </a:prstGeom>
                    <a:noFill/>
                    <a:ln w="9525">
                      <a:noFill/>
                      <a:miter lim="800000"/>
                      <a:headEnd/>
                      <a:tailEnd/>
                    </a:ln>
                  </pic:spPr>
                </pic:pic>
              </a:graphicData>
            </a:graphic>
          </wp:inline>
        </w:drawing>
      </w:r>
    </w:p>
    <w:p w:rsidR="00A022D0" w:rsidRPr="004470B7" w:rsidRDefault="004470B7" w:rsidP="004470B7">
      <w:pPr>
        <w:spacing w:before="1680" w:line="240" w:lineRule="auto"/>
        <w:rPr>
          <w:rFonts w:ascii="Arial" w:hAnsi="Arial" w:cs="Arial"/>
          <w:b/>
          <w:color w:val="FFFFFF" w:themeColor="background1"/>
          <w:sz w:val="56"/>
          <w:szCs w:val="96"/>
        </w:rPr>
      </w:pPr>
      <w:r>
        <w:rPr>
          <w:rFonts w:ascii="Arial" w:hAnsi="Arial" w:cs="Arial"/>
          <w:b/>
          <w:color w:val="FFFFFF" w:themeColor="background1"/>
          <w:sz w:val="56"/>
          <w:szCs w:val="96"/>
        </w:rPr>
        <w:br/>
      </w:r>
      <w:r w:rsidR="00E077A7" w:rsidRPr="004470B7">
        <w:rPr>
          <w:rFonts w:ascii="Arial" w:hAnsi="Arial" w:cs="Arial"/>
          <w:b/>
          <w:color w:val="FFFFFF" w:themeColor="background1"/>
          <w:sz w:val="56"/>
          <w:szCs w:val="96"/>
        </w:rPr>
        <w:t>Early Ch</w:t>
      </w:r>
      <w:r w:rsidRPr="004470B7">
        <w:rPr>
          <w:rFonts w:ascii="Arial" w:hAnsi="Arial" w:cs="Arial"/>
          <w:b/>
          <w:noProof/>
          <w:color w:val="FFFFFF" w:themeColor="background1"/>
          <w:sz w:val="56"/>
          <w:szCs w:val="96"/>
          <w:lang w:eastAsia="en-AU"/>
        </w:rPr>
        <w:drawing>
          <wp:anchor distT="0" distB="0" distL="114300" distR="114300" simplePos="0" relativeHeight="251670016" behindDoc="1" locked="0" layoutInCell="1" allowOverlap="1">
            <wp:simplePos x="0" y="0"/>
            <wp:positionH relativeFrom="page">
              <wp:posOffset>-21893</wp:posOffset>
            </wp:positionH>
            <wp:positionV relativeFrom="page">
              <wp:posOffset>-27296</wp:posOffset>
            </wp:positionV>
            <wp:extent cx="7623696" cy="10777922"/>
            <wp:effectExtent l="19050" t="0" r="0" b="3810"/>
            <wp:wrapNone/>
            <wp:docPr id="5"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0" cstate="print"/>
                    <a:stretch>
                      <a:fillRect/>
                    </a:stretch>
                  </pic:blipFill>
                  <pic:spPr bwMode="auto">
                    <a:xfrm flipV="1">
                      <a:off x="0" y="0"/>
                      <a:ext cx="7623175" cy="10778490"/>
                    </a:xfrm>
                    <a:prstGeom prst="rect">
                      <a:avLst/>
                    </a:prstGeom>
                    <a:noFill/>
                  </pic:spPr>
                </pic:pic>
              </a:graphicData>
            </a:graphic>
          </wp:anchor>
        </w:drawing>
      </w:r>
      <w:r w:rsidR="00E077A7" w:rsidRPr="004470B7">
        <w:rPr>
          <w:rFonts w:ascii="Arial" w:hAnsi="Arial" w:cs="Arial"/>
          <w:b/>
          <w:color w:val="FFFFFF" w:themeColor="background1"/>
          <w:sz w:val="56"/>
          <w:szCs w:val="96"/>
        </w:rPr>
        <w:t>ildhood</w:t>
      </w:r>
      <w:r>
        <w:rPr>
          <w:rFonts w:ascii="Arial" w:hAnsi="Arial" w:cs="Arial"/>
          <w:b/>
          <w:color w:val="FFFFFF" w:themeColor="background1"/>
          <w:sz w:val="56"/>
          <w:szCs w:val="96"/>
        </w:rPr>
        <w:t xml:space="preserve"> </w:t>
      </w:r>
      <w:r>
        <w:rPr>
          <w:rFonts w:ascii="Arial" w:hAnsi="Arial" w:cs="Arial"/>
          <w:b/>
          <w:color w:val="FFFFFF" w:themeColor="background1"/>
          <w:sz w:val="56"/>
          <w:szCs w:val="96"/>
        </w:rPr>
        <w:br/>
      </w:r>
      <w:r w:rsidR="00E077A7" w:rsidRPr="004470B7">
        <w:rPr>
          <w:rFonts w:ascii="Arial" w:hAnsi="Arial" w:cs="Arial"/>
          <w:b/>
          <w:color w:val="FFFFFF" w:themeColor="background1"/>
          <w:sz w:val="56"/>
          <w:szCs w:val="96"/>
        </w:rPr>
        <w:t>Education</w:t>
      </w:r>
      <w:r w:rsidR="00CD1C87" w:rsidRPr="004470B7">
        <w:rPr>
          <w:rFonts w:ascii="Arial" w:hAnsi="Arial" w:cs="Arial"/>
          <w:b/>
          <w:color w:val="FFFFFF" w:themeColor="background1"/>
          <w:sz w:val="56"/>
          <w:szCs w:val="96"/>
        </w:rPr>
        <w:t xml:space="preserve"> and </w:t>
      </w:r>
      <w:r>
        <w:rPr>
          <w:rFonts w:ascii="Arial" w:hAnsi="Arial" w:cs="Arial"/>
          <w:b/>
          <w:color w:val="FFFFFF" w:themeColor="background1"/>
          <w:sz w:val="56"/>
          <w:szCs w:val="96"/>
        </w:rPr>
        <w:br/>
      </w:r>
      <w:r w:rsidR="00CD1C87" w:rsidRPr="004470B7">
        <w:rPr>
          <w:rFonts w:ascii="Arial" w:hAnsi="Arial" w:cs="Arial"/>
          <w:b/>
          <w:color w:val="FFFFFF" w:themeColor="background1"/>
          <w:sz w:val="56"/>
          <w:szCs w:val="96"/>
        </w:rPr>
        <w:t>Care</w:t>
      </w:r>
      <w:r w:rsidR="007E0AC1">
        <w:rPr>
          <w:rFonts w:ascii="Arial" w:hAnsi="Arial" w:cs="Arial"/>
          <w:b/>
          <w:color w:val="FFFFFF" w:themeColor="background1"/>
          <w:sz w:val="56"/>
          <w:szCs w:val="96"/>
        </w:rPr>
        <w:t>:</w:t>
      </w:r>
      <w:r w:rsidR="007E0AC1">
        <w:rPr>
          <w:rFonts w:ascii="Arial" w:hAnsi="Arial" w:cs="Arial"/>
          <w:b/>
          <w:color w:val="FFFFFF" w:themeColor="background1"/>
          <w:sz w:val="56"/>
          <w:szCs w:val="96"/>
        </w:rPr>
        <w:br/>
        <w:t>non-</w:t>
      </w:r>
      <w:r w:rsidR="00ED367A">
        <w:rPr>
          <w:rFonts w:ascii="Arial" w:hAnsi="Arial" w:cs="Arial"/>
          <w:b/>
          <w:color w:val="FFFFFF" w:themeColor="background1"/>
          <w:sz w:val="56"/>
          <w:szCs w:val="96"/>
        </w:rPr>
        <w:t xml:space="preserve">government centre based services </w:t>
      </w:r>
      <w:r w:rsidR="00E077A7" w:rsidRPr="004470B7">
        <w:rPr>
          <w:rFonts w:ascii="Arial" w:hAnsi="Arial" w:cs="Arial"/>
          <w:b/>
          <w:color w:val="FFFFFF" w:themeColor="background1"/>
          <w:sz w:val="56"/>
          <w:szCs w:val="96"/>
        </w:rPr>
        <w:t>in the ACT</w:t>
      </w:r>
    </w:p>
    <w:p w:rsidR="00ED367A" w:rsidRDefault="00ED367A" w:rsidP="004470B7">
      <w:pPr>
        <w:tabs>
          <w:tab w:val="left" w:pos="3930"/>
        </w:tabs>
        <w:spacing w:line="240" w:lineRule="auto"/>
        <w:rPr>
          <w:rFonts w:ascii="Arial" w:hAnsi="Arial" w:cs="Arial"/>
          <w:b/>
          <w:color w:val="FFFFFF" w:themeColor="background1"/>
          <w:sz w:val="40"/>
        </w:rPr>
      </w:pPr>
    </w:p>
    <w:p w:rsidR="00BB3CDF" w:rsidRPr="004470B7" w:rsidRDefault="006C2E12" w:rsidP="004470B7">
      <w:pPr>
        <w:tabs>
          <w:tab w:val="left" w:pos="3930"/>
        </w:tabs>
        <w:spacing w:line="240" w:lineRule="auto"/>
        <w:rPr>
          <w:rFonts w:ascii="Arial" w:hAnsi="Arial" w:cs="Arial"/>
          <w:b/>
          <w:color w:val="FFFFFF" w:themeColor="background1"/>
          <w:sz w:val="40"/>
        </w:rPr>
      </w:pPr>
      <w:r>
        <w:rPr>
          <w:rFonts w:ascii="Arial" w:hAnsi="Arial" w:cs="Arial"/>
          <w:b/>
          <w:color w:val="FFFFFF" w:themeColor="background1"/>
          <w:sz w:val="40"/>
        </w:rPr>
        <w:t>2017</w:t>
      </w:r>
    </w:p>
    <w:p w:rsidR="0058095C" w:rsidRPr="00AE4411" w:rsidRDefault="00A022D0" w:rsidP="00BB3CDF">
      <w:pPr>
        <w:tabs>
          <w:tab w:val="left" w:pos="5747"/>
        </w:tabs>
        <w:rPr>
          <w:b/>
          <w:color w:val="1F497D"/>
          <w:sz w:val="32"/>
        </w:rPr>
      </w:pPr>
      <w:r w:rsidRPr="00AE4411">
        <w:rPr>
          <w:sz w:val="40"/>
        </w:rPr>
        <w:br w:type="page"/>
      </w:r>
    </w:p>
    <w:sdt>
      <w:sdtPr>
        <w:rPr>
          <w:rFonts w:ascii="Calibri" w:eastAsia="Calibri" w:hAnsi="Calibri"/>
          <w:b w:val="0"/>
          <w:bCs w:val="0"/>
          <w:color w:val="auto"/>
          <w:sz w:val="22"/>
          <w:szCs w:val="22"/>
          <w:lang w:val="en-AU"/>
        </w:rPr>
        <w:id w:val="460449152"/>
        <w:docPartObj>
          <w:docPartGallery w:val="Table of Contents"/>
          <w:docPartUnique/>
        </w:docPartObj>
      </w:sdtPr>
      <w:sdtEndPr/>
      <w:sdtContent>
        <w:p w:rsidR="0058095C" w:rsidRPr="004470B7" w:rsidRDefault="0058095C" w:rsidP="004470B7">
          <w:pPr>
            <w:pStyle w:val="TOCHeading"/>
            <w:spacing w:line="360" w:lineRule="auto"/>
          </w:pPr>
          <w:r w:rsidRPr="004470B7">
            <w:t>Table of Contents</w:t>
          </w:r>
        </w:p>
        <w:p w:rsidR="001C7DE8" w:rsidRDefault="00CD68E3">
          <w:pPr>
            <w:pStyle w:val="TOC1"/>
            <w:tabs>
              <w:tab w:val="left" w:pos="567"/>
            </w:tabs>
            <w:rPr>
              <w:rFonts w:asciiTheme="minorHAnsi" w:eastAsiaTheme="minorEastAsia" w:hAnsiTheme="minorHAnsi" w:cstheme="minorBidi"/>
              <w:noProof/>
              <w:lang w:val="en-AU" w:eastAsia="en-AU"/>
            </w:rPr>
          </w:pPr>
          <w:r w:rsidRPr="00AE4411">
            <w:rPr>
              <w:rFonts w:asciiTheme="minorHAnsi" w:hAnsiTheme="minorHAnsi"/>
              <w:sz w:val="24"/>
              <w:szCs w:val="24"/>
              <w:lang w:val="en-AU"/>
            </w:rPr>
            <w:fldChar w:fldCharType="begin"/>
          </w:r>
          <w:r w:rsidR="0058095C" w:rsidRPr="00AE4411">
            <w:rPr>
              <w:rFonts w:asciiTheme="minorHAnsi" w:hAnsiTheme="minorHAnsi"/>
              <w:sz w:val="24"/>
              <w:szCs w:val="24"/>
              <w:lang w:val="en-AU"/>
            </w:rPr>
            <w:instrText xml:space="preserve"> TOC \o "1-3" \h \z \u </w:instrText>
          </w:r>
          <w:r w:rsidRPr="00AE4411">
            <w:rPr>
              <w:rFonts w:asciiTheme="minorHAnsi" w:hAnsiTheme="minorHAnsi"/>
              <w:sz w:val="24"/>
              <w:szCs w:val="24"/>
              <w:lang w:val="en-AU"/>
            </w:rPr>
            <w:fldChar w:fldCharType="separate"/>
          </w:r>
          <w:hyperlink w:anchor="_Toc509497636" w:history="1">
            <w:r w:rsidR="001C7DE8" w:rsidRPr="00BF652B">
              <w:rPr>
                <w:rStyle w:val="Hyperlink"/>
                <w:noProof/>
              </w:rPr>
              <w:t>1.</w:t>
            </w:r>
            <w:r w:rsidR="001C7DE8">
              <w:rPr>
                <w:rFonts w:asciiTheme="minorHAnsi" w:eastAsiaTheme="minorEastAsia" w:hAnsiTheme="minorHAnsi" w:cstheme="minorBidi"/>
                <w:noProof/>
                <w:lang w:val="en-AU" w:eastAsia="en-AU"/>
              </w:rPr>
              <w:tab/>
            </w:r>
            <w:r w:rsidR="001C7DE8" w:rsidRPr="00BF652B">
              <w:rPr>
                <w:rStyle w:val="Hyperlink"/>
                <w:noProof/>
              </w:rPr>
              <w:t>Executive Summary</w:t>
            </w:r>
            <w:r w:rsidR="001C7DE8">
              <w:rPr>
                <w:noProof/>
                <w:webHidden/>
              </w:rPr>
              <w:tab/>
            </w:r>
            <w:r w:rsidR="001C7DE8">
              <w:rPr>
                <w:noProof/>
                <w:webHidden/>
              </w:rPr>
              <w:fldChar w:fldCharType="begin"/>
            </w:r>
            <w:r w:rsidR="001C7DE8">
              <w:rPr>
                <w:noProof/>
                <w:webHidden/>
              </w:rPr>
              <w:instrText xml:space="preserve"> PAGEREF _Toc509497636 \h </w:instrText>
            </w:r>
            <w:r w:rsidR="001C7DE8">
              <w:rPr>
                <w:noProof/>
                <w:webHidden/>
              </w:rPr>
            </w:r>
            <w:r w:rsidR="001C7DE8">
              <w:rPr>
                <w:noProof/>
                <w:webHidden/>
              </w:rPr>
              <w:fldChar w:fldCharType="separate"/>
            </w:r>
            <w:r w:rsidR="001C7DE8">
              <w:rPr>
                <w:noProof/>
                <w:webHidden/>
              </w:rPr>
              <w:t>3</w:t>
            </w:r>
            <w:r w:rsidR="001C7DE8">
              <w:rPr>
                <w:noProof/>
                <w:webHidden/>
              </w:rPr>
              <w:fldChar w:fldCharType="end"/>
            </w:r>
          </w:hyperlink>
        </w:p>
        <w:p w:rsidR="001C7DE8" w:rsidRDefault="00485465">
          <w:pPr>
            <w:pStyle w:val="TOC1"/>
            <w:tabs>
              <w:tab w:val="left" w:pos="567"/>
            </w:tabs>
            <w:rPr>
              <w:rFonts w:asciiTheme="minorHAnsi" w:eastAsiaTheme="minorEastAsia" w:hAnsiTheme="minorHAnsi" w:cstheme="minorBidi"/>
              <w:noProof/>
              <w:lang w:val="en-AU" w:eastAsia="en-AU"/>
            </w:rPr>
          </w:pPr>
          <w:hyperlink w:anchor="_Toc509497637" w:history="1">
            <w:r w:rsidR="001C7DE8" w:rsidRPr="00BF652B">
              <w:rPr>
                <w:rStyle w:val="Hyperlink"/>
                <w:noProof/>
              </w:rPr>
              <w:t>2.</w:t>
            </w:r>
            <w:r w:rsidR="001C7DE8">
              <w:rPr>
                <w:rFonts w:asciiTheme="minorHAnsi" w:eastAsiaTheme="minorEastAsia" w:hAnsiTheme="minorHAnsi" w:cstheme="minorBidi"/>
                <w:noProof/>
                <w:lang w:val="en-AU" w:eastAsia="en-AU"/>
              </w:rPr>
              <w:tab/>
            </w:r>
            <w:r w:rsidR="001C7DE8" w:rsidRPr="00BF652B">
              <w:rPr>
                <w:rStyle w:val="Hyperlink"/>
                <w:noProof/>
              </w:rPr>
              <w:t>Introduction</w:t>
            </w:r>
            <w:r w:rsidR="001C7DE8">
              <w:rPr>
                <w:noProof/>
                <w:webHidden/>
              </w:rPr>
              <w:tab/>
            </w:r>
            <w:r w:rsidR="001C7DE8">
              <w:rPr>
                <w:noProof/>
                <w:webHidden/>
              </w:rPr>
              <w:fldChar w:fldCharType="begin"/>
            </w:r>
            <w:r w:rsidR="001C7DE8">
              <w:rPr>
                <w:noProof/>
                <w:webHidden/>
              </w:rPr>
              <w:instrText xml:space="preserve"> PAGEREF _Toc509497637 \h </w:instrText>
            </w:r>
            <w:r w:rsidR="001C7DE8">
              <w:rPr>
                <w:noProof/>
                <w:webHidden/>
              </w:rPr>
            </w:r>
            <w:r w:rsidR="001C7DE8">
              <w:rPr>
                <w:noProof/>
                <w:webHidden/>
              </w:rPr>
              <w:fldChar w:fldCharType="separate"/>
            </w:r>
            <w:r w:rsidR="001C7DE8">
              <w:rPr>
                <w:noProof/>
                <w:webHidden/>
              </w:rPr>
              <w:t>5</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38" w:history="1">
            <w:r w:rsidR="001C7DE8" w:rsidRPr="00BF652B">
              <w:rPr>
                <w:rStyle w:val="Hyperlink"/>
                <w:noProof/>
              </w:rPr>
              <w:t>2.1.</w:t>
            </w:r>
            <w:r w:rsidR="001C7DE8">
              <w:rPr>
                <w:rFonts w:asciiTheme="minorHAnsi" w:eastAsiaTheme="minorEastAsia" w:hAnsiTheme="minorHAnsi" w:cstheme="minorBidi"/>
                <w:b w:val="0"/>
                <w:noProof/>
                <w:sz w:val="22"/>
                <w:lang w:val="en-AU" w:eastAsia="en-AU"/>
              </w:rPr>
              <w:tab/>
            </w:r>
            <w:r w:rsidR="001C7DE8" w:rsidRPr="00BF652B">
              <w:rPr>
                <w:rStyle w:val="Hyperlink"/>
                <w:noProof/>
              </w:rPr>
              <w:t>Why this is important</w:t>
            </w:r>
            <w:r w:rsidR="001C7DE8">
              <w:rPr>
                <w:noProof/>
                <w:webHidden/>
              </w:rPr>
              <w:tab/>
            </w:r>
            <w:r w:rsidR="001C7DE8">
              <w:rPr>
                <w:noProof/>
                <w:webHidden/>
              </w:rPr>
              <w:fldChar w:fldCharType="begin"/>
            </w:r>
            <w:r w:rsidR="001C7DE8">
              <w:rPr>
                <w:noProof/>
                <w:webHidden/>
              </w:rPr>
              <w:instrText xml:space="preserve"> PAGEREF _Toc509497638 \h </w:instrText>
            </w:r>
            <w:r w:rsidR="001C7DE8">
              <w:rPr>
                <w:noProof/>
                <w:webHidden/>
              </w:rPr>
            </w:r>
            <w:r w:rsidR="001C7DE8">
              <w:rPr>
                <w:noProof/>
                <w:webHidden/>
              </w:rPr>
              <w:fldChar w:fldCharType="separate"/>
            </w:r>
            <w:r w:rsidR="001C7DE8">
              <w:rPr>
                <w:noProof/>
                <w:webHidden/>
              </w:rPr>
              <w:t>5</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39" w:history="1">
            <w:r w:rsidR="001C7DE8" w:rsidRPr="00BF652B">
              <w:rPr>
                <w:rStyle w:val="Hyperlink"/>
                <w:noProof/>
              </w:rPr>
              <w:t>2.2.</w:t>
            </w:r>
            <w:r w:rsidR="001C7DE8">
              <w:rPr>
                <w:rFonts w:asciiTheme="minorHAnsi" w:eastAsiaTheme="minorEastAsia" w:hAnsiTheme="minorHAnsi" w:cstheme="minorBidi"/>
                <w:b w:val="0"/>
                <w:noProof/>
                <w:sz w:val="22"/>
                <w:lang w:val="en-AU" w:eastAsia="en-AU"/>
              </w:rPr>
              <w:tab/>
            </w:r>
            <w:r w:rsidR="001C7DE8" w:rsidRPr="00BF652B">
              <w:rPr>
                <w:rStyle w:val="Hyperlink"/>
                <w:noProof/>
              </w:rPr>
              <w:t>Scope, Boundaries and Interpretation</w:t>
            </w:r>
            <w:r w:rsidR="001C7DE8">
              <w:rPr>
                <w:noProof/>
                <w:webHidden/>
              </w:rPr>
              <w:tab/>
            </w:r>
            <w:r w:rsidR="001C7DE8">
              <w:rPr>
                <w:noProof/>
                <w:webHidden/>
              </w:rPr>
              <w:fldChar w:fldCharType="begin"/>
            </w:r>
            <w:r w:rsidR="001C7DE8">
              <w:rPr>
                <w:noProof/>
                <w:webHidden/>
              </w:rPr>
              <w:instrText xml:space="preserve"> PAGEREF _Toc509497639 \h </w:instrText>
            </w:r>
            <w:r w:rsidR="001C7DE8">
              <w:rPr>
                <w:noProof/>
                <w:webHidden/>
              </w:rPr>
            </w:r>
            <w:r w:rsidR="001C7DE8">
              <w:rPr>
                <w:noProof/>
                <w:webHidden/>
              </w:rPr>
              <w:fldChar w:fldCharType="separate"/>
            </w:r>
            <w:r w:rsidR="001C7DE8">
              <w:rPr>
                <w:noProof/>
                <w:webHidden/>
              </w:rPr>
              <w:t>8</w:t>
            </w:r>
            <w:r w:rsidR="001C7DE8">
              <w:rPr>
                <w:noProof/>
                <w:webHidden/>
              </w:rPr>
              <w:fldChar w:fldCharType="end"/>
            </w:r>
          </w:hyperlink>
        </w:p>
        <w:p w:rsidR="001C7DE8" w:rsidRDefault="00485465">
          <w:pPr>
            <w:pStyle w:val="TOC1"/>
            <w:tabs>
              <w:tab w:val="left" w:pos="567"/>
            </w:tabs>
            <w:rPr>
              <w:rFonts w:asciiTheme="minorHAnsi" w:eastAsiaTheme="minorEastAsia" w:hAnsiTheme="minorHAnsi" w:cstheme="minorBidi"/>
              <w:noProof/>
              <w:lang w:val="en-AU" w:eastAsia="en-AU"/>
            </w:rPr>
          </w:pPr>
          <w:hyperlink w:anchor="_Toc509497640" w:history="1">
            <w:r w:rsidR="001C7DE8" w:rsidRPr="00BF652B">
              <w:rPr>
                <w:rStyle w:val="Hyperlink"/>
                <w:noProof/>
              </w:rPr>
              <w:t>3.</w:t>
            </w:r>
            <w:r w:rsidR="001C7DE8">
              <w:rPr>
                <w:rFonts w:asciiTheme="minorHAnsi" w:eastAsiaTheme="minorEastAsia" w:hAnsiTheme="minorHAnsi" w:cstheme="minorBidi"/>
                <w:noProof/>
                <w:lang w:val="en-AU" w:eastAsia="en-AU"/>
              </w:rPr>
              <w:tab/>
            </w:r>
            <w:r w:rsidR="001C7DE8" w:rsidRPr="00BF652B">
              <w:rPr>
                <w:rStyle w:val="Hyperlink"/>
                <w:noProof/>
              </w:rPr>
              <w:t>Description of Early Childhood Education and Care in the ACT</w:t>
            </w:r>
            <w:r w:rsidR="001C7DE8">
              <w:rPr>
                <w:noProof/>
                <w:webHidden/>
              </w:rPr>
              <w:tab/>
            </w:r>
            <w:r w:rsidR="001C7DE8">
              <w:rPr>
                <w:noProof/>
                <w:webHidden/>
              </w:rPr>
              <w:fldChar w:fldCharType="begin"/>
            </w:r>
            <w:r w:rsidR="001C7DE8">
              <w:rPr>
                <w:noProof/>
                <w:webHidden/>
              </w:rPr>
              <w:instrText xml:space="preserve"> PAGEREF _Toc509497640 \h </w:instrText>
            </w:r>
            <w:r w:rsidR="001C7DE8">
              <w:rPr>
                <w:noProof/>
                <w:webHidden/>
              </w:rPr>
            </w:r>
            <w:r w:rsidR="001C7DE8">
              <w:rPr>
                <w:noProof/>
                <w:webHidden/>
              </w:rPr>
              <w:fldChar w:fldCharType="separate"/>
            </w:r>
            <w:r w:rsidR="001C7DE8">
              <w:rPr>
                <w:noProof/>
                <w:webHidden/>
              </w:rPr>
              <w:t>10</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41" w:history="1">
            <w:r w:rsidR="001C7DE8" w:rsidRPr="00BF652B">
              <w:rPr>
                <w:rStyle w:val="Hyperlink"/>
                <w:noProof/>
              </w:rPr>
              <w:t>3.1.</w:t>
            </w:r>
            <w:r w:rsidR="001C7DE8">
              <w:rPr>
                <w:rFonts w:asciiTheme="minorHAnsi" w:eastAsiaTheme="minorEastAsia" w:hAnsiTheme="minorHAnsi" w:cstheme="minorBidi"/>
                <w:b w:val="0"/>
                <w:noProof/>
                <w:sz w:val="22"/>
                <w:lang w:val="en-AU" w:eastAsia="en-AU"/>
              </w:rPr>
              <w:tab/>
            </w:r>
            <w:r w:rsidR="001C7DE8" w:rsidRPr="00BF652B">
              <w:rPr>
                <w:rStyle w:val="Hyperlink"/>
                <w:noProof/>
              </w:rPr>
              <w:t>Policy framework for Early Childhood Education</w:t>
            </w:r>
            <w:r w:rsidR="001C7DE8">
              <w:rPr>
                <w:noProof/>
                <w:webHidden/>
              </w:rPr>
              <w:tab/>
            </w:r>
            <w:r w:rsidR="001C7DE8">
              <w:rPr>
                <w:noProof/>
                <w:webHidden/>
              </w:rPr>
              <w:fldChar w:fldCharType="begin"/>
            </w:r>
            <w:r w:rsidR="001C7DE8">
              <w:rPr>
                <w:noProof/>
                <w:webHidden/>
              </w:rPr>
              <w:instrText xml:space="preserve"> PAGEREF _Toc509497641 \h </w:instrText>
            </w:r>
            <w:r w:rsidR="001C7DE8">
              <w:rPr>
                <w:noProof/>
                <w:webHidden/>
              </w:rPr>
            </w:r>
            <w:r w:rsidR="001C7DE8">
              <w:rPr>
                <w:noProof/>
                <w:webHidden/>
              </w:rPr>
              <w:fldChar w:fldCharType="separate"/>
            </w:r>
            <w:r w:rsidR="001C7DE8">
              <w:rPr>
                <w:noProof/>
                <w:webHidden/>
              </w:rPr>
              <w:t>10</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42" w:history="1">
            <w:r w:rsidR="001C7DE8" w:rsidRPr="00BF652B">
              <w:rPr>
                <w:rStyle w:val="Hyperlink"/>
                <w:noProof/>
              </w:rPr>
              <w:t>3.2.</w:t>
            </w:r>
            <w:r w:rsidR="001C7DE8">
              <w:rPr>
                <w:rFonts w:asciiTheme="minorHAnsi" w:eastAsiaTheme="minorEastAsia" w:hAnsiTheme="minorHAnsi" w:cstheme="minorBidi"/>
                <w:b w:val="0"/>
                <w:noProof/>
                <w:sz w:val="22"/>
                <w:lang w:val="en-AU" w:eastAsia="en-AU"/>
              </w:rPr>
              <w:tab/>
            </w:r>
            <w:r w:rsidR="001C7DE8" w:rsidRPr="00BF652B">
              <w:rPr>
                <w:rStyle w:val="Hyperlink"/>
                <w:noProof/>
              </w:rPr>
              <w:t>Capacity of the ECEC sector in the ACT</w:t>
            </w:r>
            <w:r w:rsidR="001C7DE8">
              <w:rPr>
                <w:noProof/>
                <w:webHidden/>
              </w:rPr>
              <w:tab/>
            </w:r>
            <w:r w:rsidR="001C7DE8">
              <w:rPr>
                <w:noProof/>
                <w:webHidden/>
              </w:rPr>
              <w:fldChar w:fldCharType="begin"/>
            </w:r>
            <w:r w:rsidR="001C7DE8">
              <w:rPr>
                <w:noProof/>
                <w:webHidden/>
              </w:rPr>
              <w:instrText xml:space="preserve"> PAGEREF _Toc509497642 \h </w:instrText>
            </w:r>
            <w:r w:rsidR="001C7DE8">
              <w:rPr>
                <w:noProof/>
                <w:webHidden/>
              </w:rPr>
            </w:r>
            <w:r w:rsidR="001C7DE8">
              <w:rPr>
                <w:noProof/>
                <w:webHidden/>
              </w:rPr>
              <w:fldChar w:fldCharType="separate"/>
            </w:r>
            <w:r w:rsidR="001C7DE8">
              <w:rPr>
                <w:noProof/>
                <w:webHidden/>
              </w:rPr>
              <w:t>12</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43" w:history="1">
            <w:r w:rsidR="001C7DE8" w:rsidRPr="00BF652B">
              <w:rPr>
                <w:rStyle w:val="Hyperlink"/>
                <w:noProof/>
              </w:rPr>
              <w:t>3.3.</w:t>
            </w:r>
            <w:r w:rsidR="001C7DE8">
              <w:rPr>
                <w:rFonts w:asciiTheme="minorHAnsi" w:eastAsiaTheme="minorEastAsia" w:hAnsiTheme="minorHAnsi" w:cstheme="minorBidi"/>
                <w:b w:val="0"/>
                <w:noProof/>
                <w:sz w:val="22"/>
                <w:lang w:val="en-AU" w:eastAsia="en-AU"/>
              </w:rPr>
              <w:tab/>
            </w:r>
            <w:r w:rsidR="001C7DE8" w:rsidRPr="00BF652B">
              <w:rPr>
                <w:rStyle w:val="Hyperlink"/>
                <w:noProof/>
              </w:rPr>
              <w:t>Capacity Management</w:t>
            </w:r>
            <w:r w:rsidR="001C7DE8">
              <w:rPr>
                <w:noProof/>
                <w:webHidden/>
              </w:rPr>
              <w:tab/>
            </w:r>
            <w:r w:rsidR="001C7DE8">
              <w:rPr>
                <w:noProof/>
                <w:webHidden/>
              </w:rPr>
              <w:fldChar w:fldCharType="begin"/>
            </w:r>
            <w:r w:rsidR="001C7DE8">
              <w:rPr>
                <w:noProof/>
                <w:webHidden/>
              </w:rPr>
              <w:instrText xml:space="preserve"> PAGEREF _Toc509497643 \h </w:instrText>
            </w:r>
            <w:r w:rsidR="001C7DE8">
              <w:rPr>
                <w:noProof/>
                <w:webHidden/>
              </w:rPr>
            </w:r>
            <w:r w:rsidR="001C7DE8">
              <w:rPr>
                <w:noProof/>
                <w:webHidden/>
              </w:rPr>
              <w:fldChar w:fldCharType="separate"/>
            </w:r>
            <w:r w:rsidR="001C7DE8">
              <w:rPr>
                <w:noProof/>
                <w:webHidden/>
              </w:rPr>
              <w:t>13</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44" w:history="1">
            <w:r w:rsidR="001C7DE8" w:rsidRPr="00BF652B">
              <w:rPr>
                <w:rStyle w:val="Hyperlink"/>
                <w:noProof/>
              </w:rPr>
              <w:t>3.4.</w:t>
            </w:r>
            <w:r w:rsidR="001C7DE8">
              <w:rPr>
                <w:rFonts w:asciiTheme="minorHAnsi" w:eastAsiaTheme="minorEastAsia" w:hAnsiTheme="minorHAnsi" w:cstheme="minorBidi"/>
                <w:b w:val="0"/>
                <w:noProof/>
                <w:sz w:val="22"/>
                <w:lang w:val="en-AU" w:eastAsia="en-AU"/>
              </w:rPr>
              <w:tab/>
            </w:r>
            <w:r w:rsidR="001C7DE8" w:rsidRPr="00BF652B">
              <w:rPr>
                <w:rStyle w:val="Hyperlink"/>
                <w:noProof/>
              </w:rPr>
              <w:t>Sector structure – Who owns ECEC services in the ACT?</w:t>
            </w:r>
            <w:r w:rsidR="001C7DE8">
              <w:rPr>
                <w:noProof/>
                <w:webHidden/>
              </w:rPr>
              <w:tab/>
            </w:r>
            <w:r w:rsidR="001C7DE8">
              <w:rPr>
                <w:noProof/>
                <w:webHidden/>
              </w:rPr>
              <w:fldChar w:fldCharType="begin"/>
            </w:r>
            <w:r w:rsidR="001C7DE8">
              <w:rPr>
                <w:noProof/>
                <w:webHidden/>
              </w:rPr>
              <w:instrText xml:space="preserve"> PAGEREF _Toc509497644 \h </w:instrText>
            </w:r>
            <w:r w:rsidR="001C7DE8">
              <w:rPr>
                <w:noProof/>
                <w:webHidden/>
              </w:rPr>
            </w:r>
            <w:r w:rsidR="001C7DE8">
              <w:rPr>
                <w:noProof/>
                <w:webHidden/>
              </w:rPr>
              <w:fldChar w:fldCharType="separate"/>
            </w:r>
            <w:r w:rsidR="001C7DE8">
              <w:rPr>
                <w:noProof/>
                <w:webHidden/>
              </w:rPr>
              <w:t>16</w:t>
            </w:r>
            <w:r w:rsidR="001C7DE8">
              <w:rPr>
                <w:noProof/>
                <w:webHidden/>
              </w:rPr>
              <w:fldChar w:fldCharType="end"/>
            </w:r>
          </w:hyperlink>
        </w:p>
        <w:p w:rsidR="001C7DE8" w:rsidRDefault="00485465">
          <w:pPr>
            <w:pStyle w:val="TOC1"/>
            <w:tabs>
              <w:tab w:val="left" w:pos="567"/>
            </w:tabs>
            <w:rPr>
              <w:rFonts w:asciiTheme="minorHAnsi" w:eastAsiaTheme="minorEastAsia" w:hAnsiTheme="minorHAnsi" w:cstheme="minorBidi"/>
              <w:noProof/>
              <w:lang w:val="en-AU" w:eastAsia="en-AU"/>
            </w:rPr>
          </w:pPr>
          <w:hyperlink w:anchor="_Toc509497645" w:history="1">
            <w:r w:rsidR="001C7DE8" w:rsidRPr="00BF652B">
              <w:rPr>
                <w:rStyle w:val="Hyperlink"/>
                <w:noProof/>
              </w:rPr>
              <w:t>4.</w:t>
            </w:r>
            <w:r w:rsidR="001C7DE8">
              <w:rPr>
                <w:rFonts w:asciiTheme="minorHAnsi" w:eastAsiaTheme="minorEastAsia" w:hAnsiTheme="minorHAnsi" w:cstheme="minorBidi"/>
                <w:noProof/>
                <w:lang w:val="en-AU" w:eastAsia="en-AU"/>
              </w:rPr>
              <w:tab/>
            </w:r>
            <w:r w:rsidR="001C7DE8" w:rsidRPr="00BF652B">
              <w:rPr>
                <w:rStyle w:val="Hyperlink"/>
                <w:noProof/>
              </w:rPr>
              <w:t>Access to Early Childhood Education and Care in the ACT</w:t>
            </w:r>
            <w:r w:rsidR="001C7DE8">
              <w:rPr>
                <w:noProof/>
                <w:webHidden/>
              </w:rPr>
              <w:tab/>
            </w:r>
            <w:r w:rsidR="001C7DE8">
              <w:rPr>
                <w:noProof/>
                <w:webHidden/>
              </w:rPr>
              <w:fldChar w:fldCharType="begin"/>
            </w:r>
            <w:r w:rsidR="001C7DE8">
              <w:rPr>
                <w:noProof/>
                <w:webHidden/>
              </w:rPr>
              <w:instrText xml:space="preserve"> PAGEREF _Toc509497645 \h </w:instrText>
            </w:r>
            <w:r w:rsidR="001C7DE8">
              <w:rPr>
                <w:noProof/>
                <w:webHidden/>
              </w:rPr>
            </w:r>
            <w:r w:rsidR="001C7DE8">
              <w:rPr>
                <w:noProof/>
                <w:webHidden/>
              </w:rPr>
              <w:fldChar w:fldCharType="separate"/>
            </w:r>
            <w:r w:rsidR="001C7DE8">
              <w:rPr>
                <w:noProof/>
                <w:webHidden/>
              </w:rPr>
              <w:t>19</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46" w:history="1">
            <w:r w:rsidR="001C7DE8" w:rsidRPr="00BF652B">
              <w:rPr>
                <w:rStyle w:val="Hyperlink"/>
                <w:noProof/>
              </w:rPr>
              <w:t>4.1.</w:t>
            </w:r>
            <w:r w:rsidR="001C7DE8">
              <w:rPr>
                <w:rFonts w:asciiTheme="minorHAnsi" w:eastAsiaTheme="minorEastAsia" w:hAnsiTheme="minorHAnsi" w:cstheme="minorBidi"/>
                <w:b w:val="0"/>
                <w:noProof/>
                <w:sz w:val="22"/>
                <w:lang w:val="en-AU" w:eastAsia="en-AU"/>
              </w:rPr>
              <w:tab/>
            </w:r>
            <w:r w:rsidR="001C7DE8" w:rsidRPr="00BF652B">
              <w:rPr>
                <w:rStyle w:val="Hyperlink"/>
                <w:noProof/>
              </w:rPr>
              <w:t>Location of services</w:t>
            </w:r>
            <w:r w:rsidR="001C7DE8">
              <w:rPr>
                <w:noProof/>
                <w:webHidden/>
              </w:rPr>
              <w:tab/>
            </w:r>
            <w:r w:rsidR="001C7DE8">
              <w:rPr>
                <w:noProof/>
                <w:webHidden/>
              </w:rPr>
              <w:fldChar w:fldCharType="begin"/>
            </w:r>
            <w:r w:rsidR="001C7DE8">
              <w:rPr>
                <w:noProof/>
                <w:webHidden/>
              </w:rPr>
              <w:instrText xml:space="preserve"> PAGEREF _Toc509497646 \h </w:instrText>
            </w:r>
            <w:r w:rsidR="001C7DE8">
              <w:rPr>
                <w:noProof/>
                <w:webHidden/>
              </w:rPr>
            </w:r>
            <w:r w:rsidR="001C7DE8">
              <w:rPr>
                <w:noProof/>
                <w:webHidden/>
              </w:rPr>
              <w:fldChar w:fldCharType="separate"/>
            </w:r>
            <w:r w:rsidR="001C7DE8">
              <w:rPr>
                <w:noProof/>
                <w:webHidden/>
              </w:rPr>
              <w:t>19</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47" w:history="1">
            <w:r w:rsidR="001C7DE8" w:rsidRPr="00BF652B">
              <w:rPr>
                <w:rStyle w:val="Hyperlink"/>
                <w:noProof/>
              </w:rPr>
              <w:t>4.2.</w:t>
            </w:r>
            <w:r w:rsidR="001C7DE8">
              <w:rPr>
                <w:rFonts w:asciiTheme="minorHAnsi" w:eastAsiaTheme="minorEastAsia" w:hAnsiTheme="minorHAnsi" w:cstheme="minorBidi"/>
                <w:b w:val="0"/>
                <w:noProof/>
                <w:sz w:val="22"/>
                <w:lang w:val="en-AU" w:eastAsia="en-AU"/>
              </w:rPr>
              <w:tab/>
            </w:r>
            <w:r w:rsidR="001C7DE8" w:rsidRPr="00BF652B">
              <w:rPr>
                <w:rStyle w:val="Hyperlink"/>
                <w:noProof/>
              </w:rPr>
              <w:t>Vulnerable Children</w:t>
            </w:r>
            <w:r w:rsidR="001C7DE8">
              <w:rPr>
                <w:noProof/>
                <w:webHidden/>
              </w:rPr>
              <w:tab/>
            </w:r>
            <w:r w:rsidR="001C7DE8">
              <w:rPr>
                <w:noProof/>
                <w:webHidden/>
              </w:rPr>
              <w:fldChar w:fldCharType="begin"/>
            </w:r>
            <w:r w:rsidR="001C7DE8">
              <w:rPr>
                <w:noProof/>
                <w:webHidden/>
              </w:rPr>
              <w:instrText xml:space="preserve"> PAGEREF _Toc509497647 \h </w:instrText>
            </w:r>
            <w:r w:rsidR="001C7DE8">
              <w:rPr>
                <w:noProof/>
                <w:webHidden/>
              </w:rPr>
            </w:r>
            <w:r w:rsidR="001C7DE8">
              <w:rPr>
                <w:noProof/>
                <w:webHidden/>
              </w:rPr>
              <w:fldChar w:fldCharType="separate"/>
            </w:r>
            <w:r w:rsidR="001C7DE8">
              <w:rPr>
                <w:noProof/>
                <w:webHidden/>
              </w:rPr>
              <w:t>20</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48" w:history="1">
            <w:r w:rsidR="001C7DE8" w:rsidRPr="00BF652B">
              <w:rPr>
                <w:rStyle w:val="Hyperlink"/>
                <w:noProof/>
              </w:rPr>
              <w:t>4.3.</w:t>
            </w:r>
            <w:r w:rsidR="001C7DE8">
              <w:rPr>
                <w:rFonts w:asciiTheme="minorHAnsi" w:eastAsiaTheme="minorEastAsia" w:hAnsiTheme="minorHAnsi" w:cstheme="minorBidi"/>
                <w:b w:val="0"/>
                <w:noProof/>
                <w:sz w:val="22"/>
                <w:lang w:val="en-AU" w:eastAsia="en-AU"/>
              </w:rPr>
              <w:tab/>
            </w:r>
            <w:r w:rsidR="001C7DE8" w:rsidRPr="00BF652B">
              <w:rPr>
                <w:rStyle w:val="Hyperlink"/>
                <w:noProof/>
              </w:rPr>
              <w:t>Hours of Operation</w:t>
            </w:r>
            <w:r w:rsidR="001C7DE8">
              <w:rPr>
                <w:noProof/>
                <w:webHidden/>
              </w:rPr>
              <w:tab/>
            </w:r>
            <w:r w:rsidR="001C7DE8">
              <w:rPr>
                <w:noProof/>
                <w:webHidden/>
              </w:rPr>
              <w:fldChar w:fldCharType="begin"/>
            </w:r>
            <w:r w:rsidR="001C7DE8">
              <w:rPr>
                <w:noProof/>
                <w:webHidden/>
              </w:rPr>
              <w:instrText xml:space="preserve"> PAGEREF _Toc509497648 \h </w:instrText>
            </w:r>
            <w:r w:rsidR="001C7DE8">
              <w:rPr>
                <w:noProof/>
                <w:webHidden/>
              </w:rPr>
            </w:r>
            <w:r w:rsidR="001C7DE8">
              <w:rPr>
                <w:noProof/>
                <w:webHidden/>
              </w:rPr>
              <w:fldChar w:fldCharType="separate"/>
            </w:r>
            <w:r w:rsidR="001C7DE8">
              <w:rPr>
                <w:noProof/>
                <w:webHidden/>
              </w:rPr>
              <w:t>21</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49" w:history="1">
            <w:r w:rsidR="001C7DE8" w:rsidRPr="00BF652B">
              <w:rPr>
                <w:rStyle w:val="Hyperlink"/>
                <w:noProof/>
              </w:rPr>
              <w:t>4.4.</w:t>
            </w:r>
            <w:r w:rsidR="001C7DE8">
              <w:rPr>
                <w:rFonts w:asciiTheme="minorHAnsi" w:eastAsiaTheme="minorEastAsia" w:hAnsiTheme="minorHAnsi" w:cstheme="minorBidi"/>
                <w:b w:val="0"/>
                <w:noProof/>
                <w:sz w:val="22"/>
                <w:lang w:val="en-AU" w:eastAsia="en-AU"/>
              </w:rPr>
              <w:tab/>
            </w:r>
            <w:r w:rsidR="001C7DE8" w:rsidRPr="00BF652B">
              <w:rPr>
                <w:rStyle w:val="Hyperlink"/>
                <w:noProof/>
              </w:rPr>
              <w:t>Exclusion for social or stigma reasons</w:t>
            </w:r>
            <w:r w:rsidR="001C7DE8">
              <w:rPr>
                <w:noProof/>
                <w:webHidden/>
              </w:rPr>
              <w:tab/>
            </w:r>
            <w:r w:rsidR="001C7DE8">
              <w:rPr>
                <w:noProof/>
                <w:webHidden/>
              </w:rPr>
              <w:fldChar w:fldCharType="begin"/>
            </w:r>
            <w:r w:rsidR="001C7DE8">
              <w:rPr>
                <w:noProof/>
                <w:webHidden/>
              </w:rPr>
              <w:instrText xml:space="preserve"> PAGEREF _Toc509497649 \h </w:instrText>
            </w:r>
            <w:r w:rsidR="001C7DE8">
              <w:rPr>
                <w:noProof/>
                <w:webHidden/>
              </w:rPr>
            </w:r>
            <w:r w:rsidR="001C7DE8">
              <w:rPr>
                <w:noProof/>
                <w:webHidden/>
              </w:rPr>
              <w:fldChar w:fldCharType="separate"/>
            </w:r>
            <w:r w:rsidR="001C7DE8">
              <w:rPr>
                <w:noProof/>
                <w:webHidden/>
              </w:rPr>
              <w:t>21</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50" w:history="1">
            <w:r w:rsidR="001C7DE8" w:rsidRPr="00BF652B">
              <w:rPr>
                <w:rStyle w:val="Hyperlink"/>
                <w:noProof/>
              </w:rPr>
              <w:t>4.5.</w:t>
            </w:r>
            <w:r w:rsidR="001C7DE8">
              <w:rPr>
                <w:rFonts w:asciiTheme="minorHAnsi" w:eastAsiaTheme="minorEastAsia" w:hAnsiTheme="minorHAnsi" w:cstheme="minorBidi"/>
                <w:b w:val="0"/>
                <w:noProof/>
                <w:sz w:val="22"/>
                <w:lang w:val="en-AU" w:eastAsia="en-AU"/>
              </w:rPr>
              <w:tab/>
            </w:r>
            <w:r w:rsidR="001C7DE8" w:rsidRPr="00BF652B">
              <w:rPr>
                <w:rStyle w:val="Hyperlink"/>
                <w:noProof/>
              </w:rPr>
              <w:t>Cost and affordability of services</w:t>
            </w:r>
            <w:r w:rsidR="001C7DE8">
              <w:rPr>
                <w:noProof/>
                <w:webHidden/>
              </w:rPr>
              <w:tab/>
            </w:r>
            <w:r w:rsidR="001C7DE8">
              <w:rPr>
                <w:noProof/>
                <w:webHidden/>
              </w:rPr>
              <w:fldChar w:fldCharType="begin"/>
            </w:r>
            <w:r w:rsidR="001C7DE8">
              <w:rPr>
                <w:noProof/>
                <w:webHidden/>
              </w:rPr>
              <w:instrText xml:space="preserve"> PAGEREF _Toc509497650 \h </w:instrText>
            </w:r>
            <w:r w:rsidR="001C7DE8">
              <w:rPr>
                <w:noProof/>
                <w:webHidden/>
              </w:rPr>
            </w:r>
            <w:r w:rsidR="001C7DE8">
              <w:rPr>
                <w:noProof/>
                <w:webHidden/>
              </w:rPr>
              <w:fldChar w:fldCharType="separate"/>
            </w:r>
            <w:r w:rsidR="001C7DE8">
              <w:rPr>
                <w:noProof/>
                <w:webHidden/>
              </w:rPr>
              <w:t>22</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51" w:history="1">
            <w:r w:rsidR="001C7DE8" w:rsidRPr="00BF652B">
              <w:rPr>
                <w:rStyle w:val="Hyperlink"/>
                <w:noProof/>
              </w:rPr>
              <w:t>4.6.</w:t>
            </w:r>
            <w:r w:rsidR="001C7DE8">
              <w:rPr>
                <w:rFonts w:asciiTheme="minorHAnsi" w:eastAsiaTheme="minorEastAsia" w:hAnsiTheme="minorHAnsi" w:cstheme="minorBidi"/>
                <w:b w:val="0"/>
                <w:noProof/>
                <w:sz w:val="22"/>
                <w:lang w:val="en-AU" w:eastAsia="en-AU"/>
              </w:rPr>
              <w:tab/>
            </w:r>
            <w:r w:rsidR="001C7DE8" w:rsidRPr="00BF652B">
              <w:rPr>
                <w:rStyle w:val="Hyperlink"/>
                <w:noProof/>
              </w:rPr>
              <w:t>Cost impact on families</w:t>
            </w:r>
            <w:r w:rsidR="001C7DE8">
              <w:rPr>
                <w:noProof/>
                <w:webHidden/>
              </w:rPr>
              <w:tab/>
            </w:r>
            <w:r w:rsidR="001C7DE8">
              <w:rPr>
                <w:noProof/>
                <w:webHidden/>
              </w:rPr>
              <w:fldChar w:fldCharType="begin"/>
            </w:r>
            <w:r w:rsidR="001C7DE8">
              <w:rPr>
                <w:noProof/>
                <w:webHidden/>
              </w:rPr>
              <w:instrText xml:space="preserve"> PAGEREF _Toc509497651 \h </w:instrText>
            </w:r>
            <w:r w:rsidR="001C7DE8">
              <w:rPr>
                <w:noProof/>
                <w:webHidden/>
              </w:rPr>
            </w:r>
            <w:r w:rsidR="001C7DE8">
              <w:rPr>
                <w:noProof/>
                <w:webHidden/>
              </w:rPr>
              <w:fldChar w:fldCharType="separate"/>
            </w:r>
            <w:r w:rsidR="001C7DE8">
              <w:rPr>
                <w:noProof/>
                <w:webHidden/>
              </w:rPr>
              <w:t>26</w:t>
            </w:r>
            <w:r w:rsidR="001C7DE8">
              <w:rPr>
                <w:noProof/>
                <w:webHidden/>
              </w:rPr>
              <w:fldChar w:fldCharType="end"/>
            </w:r>
          </w:hyperlink>
        </w:p>
        <w:p w:rsidR="001C7DE8" w:rsidRDefault="00485465">
          <w:pPr>
            <w:pStyle w:val="TOC1"/>
            <w:tabs>
              <w:tab w:val="left" w:pos="567"/>
            </w:tabs>
            <w:rPr>
              <w:rFonts w:asciiTheme="minorHAnsi" w:eastAsiaTheme="minorEastAsia" w:hAnsiTheme="minorHAnsi" w:cstheme="minorBidi"/>
              <w:noProof/>
              <w:lang w:val="en-AU" w:eastAsia="en-AU"/>
            </w:rPr>
          </w:pPr>
          <w:hyperlink w:anchor="_Toc509497652" w:history="1">
            <w:r w:rsidR="001C7DE8" w:rsidRPr="00BF652B">
              <w:rPr>
                <w:rStyle w:val="Hyperlink"/>
                <w:noProof/>
              </w:rPr>
              <w:t>5.</w:t>
            </w:r>
            <w:r w:rsidR="001C7DE8">
              <w:rPr>
                <w:rFonts w:asciiTheme="minorHAnsi" w:eastAsiaTheme="minorEastAsia" w:hAnsiTheme="minorHAnsi" w:cstheme="minorBidi"/>
                <w:noProof/>
                <w:lang w:val="en-AU" w:eastAsia="en-AU"/>
              </w:rPr>
              <w:tab/>
            </w:r>
            <w:r w:rsidR="001C7DE8" w:rsidRPr="00BF652B">
              <w:rPr>
                <w:rStyle w:val="Hyperlink"/>
                <w:noProof/>
              </w:rPr>
              <w:t>Quality of ECEC Services in the ACT</w:t>
            </w:r>
            <w:r w:rsidR="001C7DE8">
              <w:rPr>
                <w:noProof/>
                <w:webHidden/>
              </w:rPr>
              <w:tab/>
            </w:r>
            <w:r w:rsidR="001C7DE8">
              <w:rPr>
                <w:noProof/>
                <w:webHidden/>
              </w:rPr>
              <w:fldChar w:fldCharType="begin"/>
            </w:r>
            <w:r w:rsidR="001C7DE8">
              <w:rPr>
                <w:noProof/>
                <w:webHidden/>
              </w:rPr>
              <w:instrText xml:space="preserve"> PAGEREF _Toc509497652 \h </w:instrText>
            </w:r>
            <w:r w:rsidR="001C7DE8">
              <w:rPr>
                <w:noProof/>
                <w:webHidden/>
              </w:rPr>
            </w:r>
            <w:r w:rsidR="001C7DE8">
              <w:rPr>
                <w:noProof/>
                <w:webHidden/>
              </w:rPr>
              <w:fldChar w:fldCharType="separate"/>
            </w:r>
            <w:r w:rsidR="001C7DE8">
              <w:rPr>
                <w:noProof/>
                <w:webHidden/>
              </w:rPr>
              <w:t>30</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53" w:history="1">
            <w:r w:rsidR="001C7DE8" w:rsidRPr="00BF652B">
              <w:rPr>
                <w:rStyle w:val="Hyperlink"/>
                <w:noProof/>
              </w:rPr>
              <w:t>5.1.</w:t>
            </w:r>
            <w:r w:rsidR="001C7DE8">
              <w:rPr>
                <w:rFonts w:asciiTheme="minorHAnsi" w:eastAsiaTheme="minorEastAsia" w:hAnsiTheme="minorHAnsi" w:cstheme="minorBidi"/>
                <w:b w:val="0"/>
                <w:noProof/>
                <w:sz w:val="22"/>
                <w:lang w:val="en-AU" w:eastAsia="en-AU"/>
              </w:rPr>
              <w:tab/>
            </w:r>
            <w:r w:rsidR="001C7DE8" w:rsidRPr="00BF652B">
              <w:rPr>
                <w:rStyle w:val="Hyperlink"/>
                <w:noProof/>
              </w:rPr>
              <w:t>National Quality Standards (NQS) Ratings</w:t>
            </w:r>
            <w:r w:rsidR="001C7DE8">
              <w:rPr>
                <w:noProof/>
                <w:webHidden/>
              </w:rPr>
              <w:tab/>
            </w:r>
            <w:r w:rsidR="001C7DE8">
              <w:rPr>
                <w:noProof/>
                <w:webHidden/>
              </w:rPr>
              <w:fldChar w:fldCharType="begin"/>
            </w:r>
            <w:r w:rsidR="001C7DE8">
              <w:rPr>
                <w:noProof/>
                <w:webHidden/>
              </w:rPr>
              <w:instrText xml:space="preserve"> PAGEREF _Toc509497653 \h </w:instrText>
            </w:r>
            <w:r w:rsidR="001C7DE8">
              <w:rPr>
                <w:noProof/>
                <w:webHidden/>
              </w:rPr>
            </w:r>
            <w:r w:rsidR="001C7DE8">
              <w:rPr>
                <w:noProof/>
                <w:webHidden/>
              </w:rPr>
              <w:fldChar w:fldCharType="separate"/>
            </w:r>
            <w:r w:rsidR="001C7DE8">
              <w:rPr>
                <w:noProof/>
                <w:webHidden/>
              </w:rPr>
              <w:t>30</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54" w:history="1">
            <w:r w:rsidR="001C7DE8" w:rsidRPr="00BF652B">
              <w:rPr>
                <w:rStyle w:val="Hyperlink"/>
                <w:noProof/>
              </w:rPr>
              <w:t>5.2.</w:t>
            </w:r>
            <w:r w:rsidR="001C7DE8">
              <w:rPr>
                <w:rFonts w:asciiTheme="minorHAnsi" w:eastAsiaTheme="minorEastAsia" w:hAnsiTheme="minorHAnsi" w:cstheme="minorBidi"/>
                <w:b w:val="0"/>
                <w:noProof/>
                <w:sz w:val="22"/>
                <w:lang w:val="en-AU" w:eastAsia="en-AU"/>
              </w:rPr>
              <w:tab/>
            </w:r>
            <w:r w:rsidR="001C7DE8" w:rsidRPr="00BF652B">
              <w:rPr>
                <w:rStyle w:val="Hyperlink"/>
                <w:noProof/>
              </w:rPr>
              <w:t>Qualifications of workers</w:t>
            </w:r>
            <w:r w:rsidR="001C7DE8">
              <w:rPr>
                <w:noProof/>
                <w:webHidden/>
              </w:rPr>
              <w:tab/>
            </w:r>
            <w:r w:rsidR="001C7DE8">
              <w:rPr>
                <w:noProof/>
                <w:webHidden/>
              </w:rPr>
              <w:fldChar w:fldCharType="begin"/>
            </w:r>
            <w:r w:rsidR="001C7DE8">
              <w:rPr>
                <w:noProof/>
                <w:webHidden/>
              </w:rPr>
              <w:instrText xml:space="preserve"> PAGEREF _Toc509497654 \h </w:instrText>
            </w:r>
            <w:r w:rsidR="001C7DE8">
              <w:rPr>
                <w:noProof/>
                <w:webHidden/>
              </w:rPr>
            </w:r>
            <w:r w:rsidR="001C7DE8">
              <w:rPr>
                <w:noProof/>
                <w:webHidden/>
              </w:rPr>
              <w:fldChar w:fldCharType="separate"/>
            </w:r>
            <w:r w:rsidR="001C7DE8">
              <w:rPr>
                <w:noProof/>
                <w:webHidden/>
              </w:rPr>
              <w:t>32</w:t>
            </w:r>
            <w:r w:rsidR="001C7DE8">
              <w:rPr>
                <w:noProof/>
                <w:webHidden/>
              </w:rPr>
              <w:fldChar w:fldCharType="end"/>
            </w:r>
          </w:hyperlink>
        </w:p>
        <w:p w:rsidR="001C7DE8" w:rsidRDefault="00485465" w:rsidP="000B57F0">
          <w:pPr>
            <w:pStyle w:val="TOC3"/>
            <w:spacing w:line="276" w:lineRule="auto"/>
            <w:rPr>
              <w:rFonts w:asciiTheme="minorHAnsi" w:eastAsiaTheme="minorEastAsia" w:hAnsiTheme="minorHAnsi" w:cstheme="minorBidi"/>
              <w:noProof/>
              <w:lang w:val="en-AU" w:eastAsia="en-AU"/>
            </w:rPr>
          </w:pPr>
          <w:hyperlink w:anchor="_Toc509497655" w:history="1">
            <w:r w:rsidR="001C7DE8" w:rsidRPr="00BF652B">
              <w:rPr>
                <w:rStyle w:val="Hyperlink"/>
                <w:noProof/>
              </w:rPr>
              <w:t>5.2.1.</w:t>
            </w:r>
            <w:r w:rsidR="001C7DE8">
              <w:rPr>
                <w:rFonts w:asciiTheme="minorHAnsi" w:eastAsiaTheme="minorEastAsia" w:hAnsiTheme="minorHAnsi" w:cstheme="minorBidi"/>
                <w:noProof/>
                <w:lang w:val="en-AU" w:eastAsia="en-AU"/>
              </w:rPr>
              <w:tab/>
            </w:r>
            <w:r w:rsidR="001C7DE8" w:rsidRPr="00BF652B">
              <w:rPr>
                <w:rStyle w:val="Hyperlink"/>
                <w:noProof/>
              </w:rPr>
              <w:t>More than just possession of qualifications</w:t>
            </w:r>
            <w:r w:rsidR="001C7DE8" w:rsidRPr="00C35664">
              <w:rPr>
                <w:noProof/>
                <w:webHidden/>
                <w:color w:val="FFFFFF" w:themeColor="background1"/>
              </w:rPr>
              <w:tab/>
            </w:r>
            <w:r w:rsidR="001C7DE8">
              <w:rPr>
                <w:noProof/>
                <w:webHidden/>
              </w:rPr>
              <w:fldChar w:fldCharType="begin"/>
            </w:r>
            <w:r w:rsidR="001C7DE8">
              <w:rPr>
                <w:noProof/>
                <w:webHidden/>
              </w:rPr>
              <w:instrText xml:space="preserve"> PAGEREF _Toc509497655 \h </w:instrText>
            </w:r>
            <w:r w:rsidR="001C7DE8">
              <w:rPr>
                <w:noProof/>
                <w:webHidden/>
              </w:rPr>
            </w:r>
            <w:r w:rsidR="001C7DE8">
              <w:rPr>
                <w:noProof/>
                <w:webHidden/>
              </w:rPr>
              <w:fldChar w:fldCharType="separate"/>
            </w:r>
            <w:r w:rsidR="001C7DE8">
              <w:rPr>
                <w:noProof/>
                <w:webHidden/>
              </w:rPr>
              <w:t>34</w:t>
            </w:r>
            <w:r w:rsidR="001C7DE8">
              <w:rPr>
                <w:noProof/>
                <w:webHidden/>
              </w:rPr>
              <w:fldChar w:fldCharType="end"/>
            </w:r>
          </w:hyperlink>
        </w:p>
        <w:p w:rsidR="001C7DE8" w:rsidRDefault="00485465">
          <w:pPr>
            <w:pStyle w:val="TOC1"/>
            <w:tabs>
              <w:tab w:val="left" w:pos="567"/>
            </w:tabs>
            <w:rPr>
              <w:rFonts w:asciiTheme="minorHAnsi" w:eastAsiaTheme="minorEastAsia" w:hAnsiTheme="minorHAnsi" w:cstheme="minorBidi"/>
              <w:noProof/>
              <w:lang w:val="en-AU" w:eastAsia="en-AU"/>
            </w:rPr>
          </w:pPr>
          <w:hyperlink w:anchor="_Toc509497656" w:history="1">
            <w:r w:rsidR="001C7DE8" w:rsidRPr="00BF652B">
              <w:rPr>
                <w:rStyle w:val="Hyperlink"/>
                <w:noProof/>
              </w:rPr>
              <w:t>6.</w:t>
            </w:r>
            <w:r w:rsidR="001C7DE8">
              <w:rPr>
                <w:rFonts w:asciiTheme="minorHAnsi" w:eastAsiaTheme="minorEastAsia" w:hAnsiTheme="minorHAnsi" w:cstheme="minorBidi"/>
                <w:noProof/>
                <w:lang w:val="en-AU" w:eastAsia="en-AU"/>
              </w:rPr>
              <w:tab/>
            </w:r>
            <w:r w:rsidR="001C7DE8" w:rsidRPr="00BF652B">
              <w:rPr>
                <w:rStyle w:val="Hyperlink"/>
                <w:noProof/>
              </w:rPr>
              <w:t>Other factors that interact with cost and quality of ECEC services in the ACT</w:t>
            </w:r>
            <w:r w:rsidR="001C7DE8">
              <w:rPr>
                <w:noProof/>
                <w:webHidden/>
              </w:rPr>
              <w:tab/>
            </w:r>
            <w:r w:rsidR="001C7DE8">
              <w:rPr>
                <w:noProof/>
                <w:webHidden/>
              </w:rPr>
              <w:fldChar w:fldCharType="begin"/>
            </w:r>
            <w:r w:rsidR="001C7DE8">
              <w:rPr>
                <w:noProof/>
                <w:webHidden/>
              </w:rPr>
              <w:instrText xml:space="preserve"> PAGEREF _Toc509497656 \h </w:instrText>
            </w:r>
            <w:r w:rsidR="001C7DE8">
              <w:rPr>
                <w:noProof/>
                <w:webHidden/>
              </w:rPr>
            </w:r>
            <w:r w:rsidR="001C7DE8">
              <w:rPr>
                <w:noProof/>
                <w:webHidden/>
              </w:rPr>
              <w:fldChar w:fldCharType="separate"/>
            </w:r>
            <w:r w:rsidR="001C7DE8">
              <w:rPr>
                <w:noProof/>
                <w:webHidden/>
              </w:rPr>
              <w:t>37</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57" w:history="1">
            <w:r w:rsidR="001C7DE8" w:rsidRPr="00BF652B">
              <w:rPr>
                <w:rStyle w:val="Hyperlink"/>
                <w:noProof/>
              </w:rPr>
              <w:t>6.1.</w:t>
            </w:r>
            <w:r w:rsidR="001C7DE8">
              <w:rPr>
                <w:rFonts w:asciiTheme="minorHAnsi" w:eastAsiaTheme="minorEastAsia" w:hAnsiTheme="minorHAnsi" w:cstheme="minorBidi"/>
                <w:b w:val="0"/>
                <w:noProof/>
                <w:sz w:val="22"/>
                <w:lang w:val="en-AU" w:eastAsia="en-AU"/>
              </w:rPr>
              <w:tab/>
            </w:r>
            <w:r w:rsidR="001C7DE8" w:rsidRPr="00BF652B">
              <w:rPr>
                <w:rStyle w:val="Hyperlink"/>
                <w:noProof/>
              </w:rPr>
              <w:t>Government support and changes in demand or need</w:t>
            </w:r>
            <w:r w:rsidR="001C7DE8">
              <w:rPr>
                <w:noProof/>
                <w:webHidden/>
              </w:rPr>
              <w:tab/>
            </w:r>
            <w:r w:rsidR="001C7DE8">
              <w:rPr>
                <w:noProof/>
                <w:webHidden/>
              </w:rPr>
              <w:fldChar w:fldCharType="begin"/>
            </w:r>
            <w:r w:rsidR="001C7DE8">
              <w:rPr>
                <w:noProof/>
                <w:webHidden/>
              </w:rPr>
              <w:instrText xml:space="preserve"> PAGEREF _Toc509497657 \h </w:instrText>
            </w:r>
            <w:r w:rsidR="001C7DE8">
              <w:rPr>
                <w:noProof/>
                <w:webHidden/>
              </w:rPr>
            </w:r>
            <w:r w:rsidR="001C7DE8">
              <w:rPr>
                <w:noProof/>
                <w:webHidden/>
              </w:rPr>
              <w:fldChar w:fldCharType="separate"/>
            </w:r>
            <w:r w:rsidR="001C7DE8">
              <w:rPr>
                <w:noProof/>
                <w:webHidden/>
              </w:rPr>
              <w:t>37</w:t>
            </w:r>
            <w:r w:rsidR="001C7DE8">
              <w:rPr>
                <w:noProof/>
                <w:webHidden/>
              </w:rPr>
              <w:fldChar w:fldCharType="end"/>
            </w:r>
          </w:hyperlink>
        </w:p>
        <w:p w:rsidR="001C7DE8" w:rsidRDefault="00485465" w:rsidP="000B57F0">
          <w:pPr>
            <w:pStyle w:val="TOC3"/>
            <w:spacing w:line="276" w:lineRule="auto"/>
            <w:rPr>
              <w:rFonts w:asciiTheme="minorHAnsi" w:eastAsiaTheme="minorEastAsia" w:hAnsiTheme="minorHAnsi" w:cstheme="minorBidi"/>
              <w:noProof/>
              <w:lang w:val="en-AU" w:eastAsia="en-AU"/>
            </w:rPr>
          </w:pPr>
          <w:hyperlink w:anchor="_Toc509497658" w:history="1">
            <w:r w:rsidR="001C7DE8" w:rsidRPr="00BF652B">
              <w:rPr>
                <w:rStyle w:val="Hyperlink"/>
                <w:noProof/>
              </w:rPr>
              <w:t>6.1.1.</w:t>
            </w:r>
            <w:r w:rsidR="001C7DE8">
              <w:rPr>
                <w:rFonts w:asciiTheme="minorHAnsi" w:eastAsiaTheme="minorEastAsia" w:hAnsiTheme="minorHAnsi" w:cstheme="minorBidi"/>
                <w:noProof/>
                <w:lang w:val="en-AU" w:eastAsia="en-AU"/>
              </w:rPr>
              <w:tab/>
            </w:r>
            <w:r w:rsidR="001C7DE8" w:rsidRPr="00BF652B">
              <w:rPr>
                <w:rStyle w:val="Hyperlink"/>
                <w:noProof/>
              </w:rPr>
              <w:t>Variable pressures on price</w:t>
            </w:r>
            <w:r w:rsidR="001C7DE8" w:rsidRPr="00C35664">
              <w:rPr>
                <w:noProof/>
                <w:webHidden/>
                <w:color w:val="FFFFFF" w:themeColor="background1"/>
              </w:rPr>
              <w:tab/>
            </w:r>
            <w:r w:rsidR="001C7DE8">
              <w:rPr>
                <w:noProof/>
                <w:webHidden/>
              </w:rPr>
              <w:fldChar w:fldCharType="begin"/>
            </w:r>
            <w:r w:rsidR="001C7DE8">
              <w:rPr>
                <w:noProof/>
                <w:webHidden/>
              </w:rPr>
              <w:instrText xml:space="preserve"> PAGEREF _Toc509497658 \h </w:instrText>
            </w:r>
            <w:r w:rsidR="001C7DE8">
              <w:rPr>
                <w:noProof/>
                <w:webHidden/>
              </w:rPr>
            </w:r>
            <w:r w:rsidR="001C7DE8">
              <w:rPr>
                <w:noProof/>
                <w:webHidden/>
              </w:rPr>
              <w:fldChar w:fldCharType="separate"/>
            </w:r>
            <w:r w:rsidR="001C7DE8">
              <w:rPr>
                <w:noProof/>
                <w:webHidden/>
              </w:rPr>
              <w:t>38</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59" w:history="1">
            <w:r w:rsidR="001C7DE8" w:rsidRPr="00BF652B">
              <w:rPr>
                <w:rStyle w:val="Hyperlink"/>
                <w:noProof/>
              </w:rPr>
              <w:t>6.2.</w:t>
            </w:r>
            <w:r w:rsidR="001C7DE8">
              <w:rPr>
                <w:rFonts w:asciiTheme="minorHAnsi" w:eastAsiaTheme="minorEastAsia" w:hAnsiTheme="minorHAnsi" w:cstheme="minorBidi"/>
                <w:b w:val="0"/>
                <w:noProof/>
                <w:sz w:val="22"/>
                <w:lang w:val="en-AU" w:eastAsia="en-AU"/>
              </w:rPr>
              <w:tab/>
            </w:r>
            <w:r w:rsidR="001C7DE8" w:rsidRPr="00BF652B">
              <w:rPr>
                <w:rStyle w:val="Hyperlink"/>
                <w:noProof/>
              </w:rPr>
              <w:t>Interaction with the ACT Government preschool programs</w:t>
            </w:r>
            <w:r w:rsidR="001C7DE8">
              <w:rPr>
                <w:noProof/>
                <w:webHidden/>
              </w:rPr>
              <w:tab/>
            </w:r>
            <w:r w:rsidR="001C7DE8">
              <w:rPr>
                <w:noProof/>
                <w:webHidden/>
              </w:rPr>
              <w:fldChar w:fldCharType="begin"/>
            </w:r>
            <w:r w:rsidR="001C7DE8">
              <w:rPr>
                <w:noProof/>
                <w:webHidden/>
              </w:rPr>
              <w:instrText xml:space="preserve"> PAGEREF _Toc509497659 \h </w:instrText>
            </w:r>
            <w:r w:rsidR="001C7DE8">
              <w:rPr>
                <w:noProof/>
                <w:webHidden/>
              </w:rPr>
            </w:r>
            <w:r w:rsidR="001C7DE8">
              <w:rPr>
                <w:noProof/>
                <w:webHidden/>
              </w:rPr>
              <w:fldChar w:fldCharType="separate"/>
            </w:r>
            <w:r w:rsidR="001C7DE8">
              <w:rPr>
                <w:noProof/>
                <w:webHidden/>
              </w:rPr>
              <w:t>42</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60" w:history="1">
            <w:r w:rsidR="001C7DE8" w:rsidRPr="00BF652B">
              <w:rPr>
                <w:rStyle w:val="Hyperlink"/>
                <w:noProof/>
              </w:rPr>
              <w:t>6.3.</w:t>
            </w:r>
            <w:r w:rsidR="001C7DE8">
              <w:rPr>
                <w:rFonts w:asciiTheme="minorHAnsi" w:eastAsiaTheme="minorEastAsia" w:hAnsiTheme="minorHAnsi" w:cstheme="minorBidi"/>
                <w:b w:val="0"/>
                <w:noProof/>
                <w:sz w:val="22"/>
                <w:lang w:val="en-AU" w:eastAsia="en-AU"/>
              </w:rPr>
              <w:tab/>
            </w:r>
            <w:r w:rsidR="001C7DE8" w:rsidRPr="00BF652B">
              <w:rPr>
                <w:rStyle w:val="Hyperlink"/>
                <w:noProof/>
              </w:rPr>
              <w:t>Matching sector capacity to needs and demand</w:t>
            </w:r>
            <w:r w:rsidR="001C7DE8">
              <w:rPr>
                <w:noProof/>
                <w:webHidden/>
              </w:rPr>
              <w:tab/>
            </w:r>
            <w:r w:rsidR="001C7DE8">
              <w:rPr>
                <w:noProof/>
                <w:webHidden/>
              </w:rPr>
              <w:fldChar w:fldCharType="begin"/>
            </w:r>
            <w:r w:rsidR="001C7DE8">
              <w:rPr>
                <w:noProof/>
                <w:webHidden/>
              </w:rPr>
              <w:instrText xml:space="preserve"> PAGEREF _Toc509497660 \h </w:instrText>
            </w:r>
            <w:r w:rsidR="001C7DE8">
              <w:rPr>
                <w:noProof/>
                <w:webHidden/>
              </w:rPr>
            </w:r>
            <w:r w:rsidR="001C7DE8">
              <w:rPr>
                <w:noProof/>
                <w:webHidden/>
              </w:rPr>
              <w:fldChar w:fldCharType="separate"/>
            </w:r>
            <w:r w:rsidR="001C7DE8">
              <w:rPr>
                <w:noProof/>
                <w:webHidden/>
              </w:rPr>
              <w:t>45</w:t>
            </w:r>
            <w:r w:rsidR="001C7DE8">
              <w:rPr>
                <w:noProof/>
                <w:webHidden/>
              </w:rPr>
              <w:fldChar w:fldCharType="end"/>
            </w:r>
          </w:hyperlink>
        </w:p>
        <w:p w:rsidR="001C7DE8" w:rsidRDefault="00485465" w:rsidP="000B57F0">
          <w:pPr>
            <w:pStyle w:val="TOC3"/>
            <w:spacing w:line="276" w:lineRule="auto"/>
            <w:rPr>
              <w:rFonts w:asciiTheme="minorHAnsi" w:eastAsiaTheme="minorEastAsia" w:hAnsiTheme="minorHAnsi" w:cstheme="minorBidi"/>
              <w:noProof/>
              <w:lang w:val="en-AU" w:eastAsia="en-AU"/>
            </w:rPr>
          </w:pPr>
          <w:hyperlink w:anchor="_Toc509497661" w:history="1">
            <w:r w:rsidR="001C7DE8" w:rsidRPr="00BF652B">
              <w:rPr>
                <w:rStyle w:val="Hyperlink"/>
                <w:noProof/>
              </w:rPr>
              <w:t>6.3.1.</w:t>
            </w:r>
            <w:r w:rsidR="001C7DE8">
              <w:rPr>
                <w:rFonts w:asciiTheme="minorHAnsi" w:eastAsiaTheme="minorEastAsia" w:hAnsiTheme="minorHAnsi" w:cstheme="minorBidi"/>
                <w:noProof/>
                <w:lang w:val="en-AU" w:eastAsia="en-AU"/>
              </w:rPr>
              <w:tab/>
            </w:r>
            <w:r w:rsidR="001C7DE8" w:rsidRPr="00BF652B">
              <w:rPr>
                <w:rStyle w:val="Hyperlink"/>
                <w:noProof/>
              </w:rPr>
              <w:t>Will there be increased demand for services?</w:t>
            </w:r>
            <w:r w:rsidR="001C7DE8" w:rsidRPr="00C35664">
              <w:rPr>
                <w:noProof/>
                <w:webHidden/>
                <w:color w:val="FFFFFF" w:themeColor="background1"/>
              </w:rPr>
              <w:tab/>
            </w:r>
            <w:r w:rsidR="001C7DE8">
              <w:rPr>
                <w:noProof/>
                <w:webHidden/>
              </w:rPr>
              <w:fldChar w:fldCharType="begin"/>
            </w:r>
            <w:r w:rsidR="001C7DE8">
              <w:rPr>
                <w:noProof/>
                <w:webHidden/>
              </w:rPr>
              <w:instrText xml:space="preserve"> PAGEREF _Toc509497661 \h </w:instrText>
            </w:r>
            <w:r w:rsidR="001C7DE8">
              <w:rPr>
                <w:noProof/>
                <w:webHidden/>
              </w:rPr>
            </w:r>
            <w:r w:rsidR="001C7DE8">
              <w:rPr>
                <w:noProof/>
                <w:webHidden/>
              </w:rPr>
              <w:fldChar w:fldCharType="separate"/>
            </w:r>
            <w:r w:rsidR="001C7DE8">
              <w:rPr>
                <w:noProof/>
                <w:webHidden/>
              </w:rPr>
              <w:t>46</w:t>
            </w:r>
            <w:r w:rsidR="001C7DE8">
              <w:rPr>
                <w:noProof/>
                <w:webHidden/>
              </w:rPr>
              <w:fldChar w:fldCharType="end"/>
            </w:r>
          </w:hyperlink>
        </w:p>
        <w:p w:rsidR="001C7DE8" w:rsidRDefault="00485465" w:rsidP="000B57F0">
          <w:pPr>
            <w:pStyle w:val="TOC3"/>
            <w:spacing w:line="276" w:lineRule="auto"/>
            <w:rPr>
              <w:rFonts w:asciiTheme="minorHAnsi" w:eastAsiaTheme="minorEastAsia" w:hAnsiTheme="minorHAnsi" w:cstheme="minorBidi"/>
              <w:noProof/>
              <w:lang w:val="en-AU" w:eastAsia="en-AU"/>
            </w:rPr>
          </w:pPr>
          <w:hyperlink w:anchor="_Toc509497662" w:history="1">
            <w:r w:rsidR="001C7DE8" w:rsidRPr="00BF652B">
              <w:rPr>
                <w:rStyle w:val="Hyperlink"/>
                <w:noProof/>
              </w:rPr>
              <w:t>6.3.2.</w:t>
            </w:r>
            <w:r w:rsidR="001C7DE8">
              <w:rPr>
                <w:rFonts w:asciiTheme="minorHAnsi" w:eastAsiaTheme="minorEastAsia" w:hAnsiTheme="minorHAnsi" w:cstheme="minorBidi"/>
                <w:noProof/>
                <w:lang w:val="en-AU" w:eastAsia="en-AU"/>
              </w:rPr>
              <w:tab/>
            </w:r>
            <w:r w:rsidR="001C7DE8" w:rsidRPr="00BF652B">
              <w:rPr>
                <w:rStyle w:val="Hyperlink"/>
                <w:noProof/>
              </w:rPr>
              <w:t>Reducing the supply of services</w:t>
            </w:r>
            <w:r w:rsidR="001C7DE8" w:rsidRPr="00C35664">
              <w:rPr>
                <w:noProof/>
                <w:webHidden/>
                <w:color w:val="FFFFFF" w:themeColor="background1"/>
              </w:rPr>
              <w:tab/>
            </w:r>
            <w:r w:rsidR="001C7DE8">
              <w:rPr>
                <w:noProof/>
                <w:webHidden/>
              </w:rPr>
              <w:fldChar w:fldCharType="begin"/>
            </w:r>
            <w:r w:rsidR="001C7DE8">
              <w:rPr>
                <w:noProof/>
                <w:webHidden/>
              </w:rPr>
              <w:instrText xml:space="preserve"> PAGEREF _Toc509497662 \h </w:instrText>
            </w:r>
            <w:r w:rsidR="001C7DE8">
              <w:rPr>
                <w:noProof/>
                <w:webHidden/>
              </w:rPr>
            </w:r>
            <w:r w:rsidR="001C7DE8">
              <w:rPr>
                <w:noProof/>
                <w:webHidden/>
              </w:rPr>
              <w:fldChar w:fldCharType="separate"/>
            </w:r>
            <w:r w:rsidR="001C7DE8">
              <w:rPr>
                <w:noProof/>
                <w:webHidden/>
              </w:rPr>
              <w:t>50</w:t>
            </w:r>
            <w:r w:rsidR="001C7DE8">
              <w:rPr>
                <w:noProof/>
                <w:webHidden/>
              </w:rPr>
              <w:fldChar w:fldCharType="end"/>
            </w:r>
          </w:hyperlink>
        </w:p>
        <w:p w:rsidR="001C7DE8" w:rsidRDefault="00485465" w:rsidP="000B57F0">
          <w:pPr>
            <w:pStyle w:val="TOC2"/>
            <w:spacing w:line="276" w:lineRule="auto"/>
            <w:rPr>
              <w:rFonts w:asciiTheme="minorHAnsi" w:eastAsiaTheme="minorEastAsia" w:hAnsiTheme="minorHAnsi" w:cstheme="minorBidi"/>
              <w:b w:val="0"/>
              <w:noProof/>
              <w:sz w:val="22"/>
              <w:lang w:val="en-AU" w:eastAsia="en-AU"/>
            </w:rPr>
          </w:pPr>
          <w:hyperlink w:anchor="_Toc509497663" w:history="1">
            <w:r w:rsidR="001C7DE8" w:rsidRPr="00BF652B">
              <w:rPr>
                <w:rStyle w:val="Hyperlink"/>
                <w:noProof/>
              </w:rPr>
              <w:t>6.4.</w:t>
            </w:r>
            <w:r w:rsidR="001C7DE8">
              <w:rPr>
                <w:rFonts w:asciiTheme="minorHAnsi" w:eastAsiaTheme="minorEastAsia" w:hAnsiTheme="minorHAnsi" w:cstheme="minorBidi"/>
                <w:b w:val="0"/>
                <w:noProof/>
                <w:sz w:val="22"/>
                <w:lang w:val="en-AU" w:eastAsia="en-AU"/>
              </w:rPr>
              <w:tab/>
            </w:r>
            <w:r w:rsidR="001C7DE8" w:rsidRPr="00BF652B">
              <w:rPr>
                <w:rStyle w:val="Hyperlink"/>
                <w:noProof/>
              </w:rPr>
              <w:t>Wages Cost</w:t>
            </w:r>
            <w:r w:rsidR="001C7DE8">
              <w:rPr>
                <w:noProof/>
                <w:webHidden/>
              </w:rPr>
              <w:tab/>
            </w:r>
            <w:r w:rsidR="001C7DE8">
              <w:rPr>
                <w:noProof/>
                <w:webHidden/>
              </w:rPr>
              <w:fldChar w:fldCharType="begin"/>
            </w:r>
            <w:r w:rsidR="001C7DE8">
              <w:rPr>
                <w:noProof/>
                <w:webHidden/>
              </w:rPr>
              <w:instrText xml:space="preserve"> PAGEREF _Toc509497663 \h </w:instrText>
            </w:r>
            <w:r w:rsidR="001C7DE8">
              <w:rPr>
                <w:noProof/>
                <w:webHidden/>
              </w:rPr>
            </w:r>
            <w:r w:rsidR="001C7DE8">
              <w:rPr>
                <w:noProof/>
                <w:webHidden/>
              </w:rPr>
              <w:fldChar w:fldCharType="separate"/>
            </w:r>
            <w:r w:rsidR="001C7DE8">
              <w:rPr>
                <w:noProof/>
                <w:webHidden/>
              </w:rPr>
              <w:t>51</w:t>
            </w:r>
            <w:r w:rsidR="001C7DE8">
              <w:rPr>
                <w:noProof/>
                <w:webHidden/>
              </w:rPr>
              <w:fldChar w:fldCharType="end"/>
            </w:r>
          </w:hyperlink>
        </w:p>
        <w:p w:rsidR="001C7DE8" w:rsidRDefault="00485465" w:rsidP="000B57F0">
          <w:pPr>
            <w:pStyle w:val="TOC3"/>
            <w:spacing w:line="276" w:lineRule="auto"/>
            <w:rPr>
              <w:rFonts w:asciiTheme="minorHAnsi" w:eastAsiaTheme="minorEastAsia" w:hAnsiTheme="minorHAnsi" w:cstheme="minorBidi"/>
              <w:noProof/>
              <w:lang w:val="en-AU" w:eastAsia="en-AU"/>
            </w:rPr>
          </w:pPr>
          <w:hyperlink w:anchor="_Toc509497664" w:history="1">
            <w:r w:rsidR="001C7DE8" w:rsidRPr="00BF652B">
              <w:rPr>
                <w:rStyle w:val="Hyperlink"/>
                <w:noProof/>
              </w:rPr>
              <w:t>6.4.1.</w:t>
            </w:r>
            <w:r w:rsidR="001C7DE8">
              <w:rPr>
                <w:rFonts w:asciiTheme="minorHAnsi" w:eastAsiaTheme="minorEastAsia" w:hAnsiTheme="minorHAnsi" w:cstheme="minorBidi"/>
                <w:noProof/>
                <w:lang w:val="en-AU" w:eastAsia="en-AU"/>
              </w:rPr>
              <w:tab/>
            </w:r>
            <w:r w:rsidR="001C7DE8" w:rsidRPr="00BF652B">
              <w:rPr>
                <w:rStyle w:val="Hyperlink"/>
                <w:noProof/>
              </w:rPr>
              <w:t>Impact of a changing workforce</w:t>
            </w:r>
            <w:r w:rsidR="001C7DE8" w:rsidRPr="00C35664">
              <w:rPr>
                <w:noProof/>
                <w:webHidden/>
                <w:color w:val="FFFFFF" w:themeColor="background1"/>
              </w:rPr>
              <w:tab/>
            </w:r>
            <w:r w:rsidR="001C7DE8">
              <w:rPr>
                <w:noProof/>
                <w:webHidden/>
              </w:rPr>
              <w:fldChar w:fldCharType="begin"/>
            </w:r>
            <w:r w:rsidR="001C7DE8">
              <w:rPr>
                <w:noProof/>
                <w:webHidden/>
              </w:rPr>
              <w:instrText xml:space="preserve"> PAGEREF _Toc509497664 \h </w:instrText>
            </w:r>
            <w:r w:rsidR="001C7DE8">
              <w:rPr>
                <w:noProof/>
                <w:webHidden/>
              </w:rPr>
            </w:r>
            <w:r w:rsidR="001C7DE8">
              <w:rPr>
                <w:noProof/>
                <w:webHidden/>
              </w:rPr>
              <w:fldChar w:fldCharType="separate"/>
            </w:r>
            <w:r w:rsidR="001C7DE8">
              <w:rPr>
                <w:noProof/>
                <w:webHidden/>
              </w:rPr>
              <w:t>51</w:t>
            </w:r>
            <w:r w:rsidR="001C7DE8">
              <w:rPr>
                <w:noProof/>
                <w:webHidden/>
              </w:rPr>
              <w:fldChar w:fldCharType="end"/>
            </w:r>
          </w:hyperlink>
        </w:p>
        <w:p w:rsidR="001C7DE8" w:rsidRDefault="00485465" w:rsidP="000B57F0">
          <w:pPr>
            <w:pStyle w:val="TOC3"/>
            <w:spacing w:line="276" w:lineRule="auto"/>
            <w:rPr>
              <w:rFonts w:asciiTheme="minorHAnsi" w:eastAsiaTheme="minorEastAsia" w:hAnsiTheme="minorHAnsi" w:cstheme="minorBidi"/>
              <w:noProof/>
              <w:lang w:val="en-AU" w:eastAsia="en-AU"/>
            </w:rPr>
          </w:pPr>
          <w:hyperlink w:anchor="_Toc509497665" w:history="1">
            <w:r w:rsidR="001C7DE8" w:rsidRPr="00BF652B">
              <w:rPr>
                <w:rStyle w:val="Hyperlink"/>
                <w:noProof/>
              </w:rPr>
              <w:t>6.4.2.</w:t>
            </w:r>
            <w:r w:rsidR="001C7DE8">
              <w:rPr>
                <w:rFonts w:asciiTheme="minorHAnsi" w:eastAsiaTheme="minorEastAsia" w:hAnsiTheme="minorHAnsi" w:cstheme="minorBidi"/>
                <w:noProof/>
                <w:lang w:val="en-AU" w:eastAsia="en-AU"/>
              </w:rPr>
              <w:tab/>
            </w:r>
            <w:r w:rsidR="001C7DE8" w:rsidRPr="00BF652B">
              <w:rPr>
                <w:rStyle w:val="Hyperlink"/>
                <w:noProof/>
              </w:rPr>
              <w:t>Impact of worker shortages</w:t>
            </w:r>
            <w:r w:rsidR="001C7DE8" w:rsidRPr="00C35664">
              <w:rPr>
                <w:noProof/>
                <w:webHidden/>
                <w:color w:val="FFFFFF" w:themeColor="background1"/>
              </w:rPr>
              <w:tab/>
            </w:r>
            <w:r w:rsidR="001C7DE8">
              <w:rPr>
                <w:noProof/>
                <w:webHidden/>
              </w:rPr>
              <w:fldChar w:fldCharType="begin"/>
            </w:r>
            <w:r w:rsidR="001C7DE8">
              <w:rPr>
                <w:noProof/>
                <w:webHidden/>
              </w:rPr>
              <w:instrText xml:space="preserve"> PAGEREF _Toc509497665 \h </w:instrText>
            </w:r>
            <w:r w:rsidR="001C7DE8">
              <w:rPr>
                <w:noProof/>
                <w:webHidden/>
              </w:rPr>
            </w:r>
            <w:r w:rsidR="001C7DE8">
              <w:rPr>
                <w:noProof/>
                <w:webHidden/>
              </w:rPr>
              <w:fldChar w:fldCharType="separate"/>
            </w:r>
            <w:r w:rsidR="001C7DE8">
              <w:rPr>
                <w:noProof/>
                <w:webHidden/>
              </w:rPr>
              <w:t>52</w:t>
            </w:r>
            <w:r w:rsidR="001C7DE8">
              <w:rPr>
                <w:noProof/>
                <w:webHidden/>
              </w:rPr>
              <w:fldChar w:fldCharType="end"/>
            </w:r>
          </w:hyperlink>
        </w:p>
        <w:p w:rsidR="0058095C" w:rsidRPr="00AE4411" w:rsidRDefault="00CD68E3" w:rsidP="004470B7">
          <w:pPr>
            <w:spacing w:line="360" w:lineRule="auto"/>
          </w:pPr>
          <w:r w:rsidRPr="00AE4411">
            <w:rPr>
              <w:rFonts w:asciiTheme="minorHAnsi" w:hAnsiTheme="minorHAnsi"/>
              <w:sz w:val="24"/>
              <w:szCs w:val="24"/>
            </w:rPr>
            <w:fldChar w:fldCharType="end"/>
          </w:r>
        </w:p>
      </w:sdtContent>
    </w:sdt>
    <w:p w:rsidR="004D7E0A" w:rsidRPr="00AE4411" w:rsidRDefault="004D7E0A" w:rsidP="0058095C">
      <w:pPr>
        <w:sectPr w:rsidR="004D7E0A" w:rsidRPr="00AE4411" w:rsidSect="004D0A6D">
          <w:headerReference w:type="even" r:id="rId11"/>
          <w:footerReference w:type="default" r:id="rId12"/>
          <w:footerReference w:type="first" r:id="rId13"/>
          <w:pgSz w:w="11906" w:h="16838"/>
          <w:pgMar w:top="1440" w:right="1440" w:bottom="1276" w:left="1440"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p>
    <w:p w:rsidR="001E5AA4" w:rsidRDefault="0063496D" w:rsidP="004470B7">
      <w:pPr>
        <w:pStyle w:val="PolicyHeading2-Accessible"/>
      </w:pPr>
      <w:bookmarkStart w:id="1" w:name="_Toc453155093"/>
      <w:bookmarkStart w:id="2" w:name="_Toc509497636"/>
      <w:r w:rsidRPr="001E5AA4">
        <w:lastRenderedPageBreak/>
        <w:t>Executive Summary</w:t>
      </w:r>
      <w:bookmarkEnd w:id="1"/>
      <w:bookmarkEnd w:id="2"/>
    </w:p>
    <w:p w:rsidR="00167CC9" w:rsidRPr="00AE4411" w:rsidRDefault="00167CC9" w:rsidP="00167CC9">
      <w:pPr>
        <w:pStyle w:val="AccessibleBody"/>
      </w:pPr>
      <w:r w:rsidRPr="00AE4411">
        <w:t>In February 2016 the then Minister for Education asked the Education Directorate to review the state of the Early Childh</w:t>
      </w:r>
      <w:r w:rsidR="00AE4411">
        <w:t xml:space="preserve">ood Education and Care </w:t>
      </w:r>
      <w:r w:rsidR="004B675C">
        <w:t>(ECEC) s</w:t>
      </w:r>
      <w:r w:rsidR="00AE4411">
        <w:t xml:space="preserve">ector. </w:t>
      </w:r>
      <w:r w:rsidRPr="00AE4411">
        <w:t xml:space="preserve">The review was focused on quality, accessibility, affordability and capacity of </w:t>
      </w:r>
      <w:r w:rsidR="00ED367A">
        <w:t xml:space="preserve">non-government centre based </w:t>
      </w:r>
      <w:r w:rsidR="004B675C">
        <w:t>services within the education and care s</w:t>
      </w:r>
      <w:r w:rsidRPr="00AE4411">
        <w:t>ector</w:t>
      </w:r>
      <w:r w:rsidR="00BD4094">
        <w:t xml:space="preserve"> (ECEC services)</w:t>
      </w:r>
      <w:r w:rsidRPr="00AE4411">
        <w:t>.</w:t>
      </w:r>
    </w:p>
    <w:p w:rsidR="00167CC9" w:rsidRPr="00AE4411" w:rsidRDefault="00167CC9" w:rsidP="00167CC9">
      <w:pPr>
        <w:pStyle w:val="AccessibleBody"/>
      </w:pPr>
      <w:r w:rsidRPr="00AE4411">
        <w:t>The review involved analysis of available data and consultation with the ECEC sector.</w:t>
      </w:r>
    </w:p>
    <w:p w:rsidR="00167CC9" w:rsidRPr="00AE4411" w:rsidRDefault="00167CC9" w:rsidP="005835A6">
      <w:pPr>
        <w:pStyle w:val="AccessibleBody"/>
      </w:pPr>
      <w:r w:rsidRPr="00AE4411">
        <w:t xml:space="preserve">This paper incorporates the evidence gathered from the review, updates </w:t>
      </w:r>
      <w:r w:rsidR="00E73457" w:rsidRPr="00AE4411">
        <w:t>elements of evidence and the review of the ACT Government’s Early Childhood Schools.</w:t>
      </w:r>
      <w:r w:rsidR="0084434F">
        <w:t xml:space="preserve"> </w:t>
      </w:r>
      <w:r w:rsidR="00E73457" w:rsidRPr="00AE4411">
        <w:t xml:space="preserve">In particular, this paper also contemplates the evidence compiled in the Productivity Commission’s </w:t>
      </w:r>
      <w:r w:rsidRPr="00AE4411">
        <w:t xml:space="preserve">2017 </w:t>
      </w:r>
      <w:r w:rsidR="00E73457" w:rsidRPr="00AE4411">
        <w:t xml:space="preserve">Early Childhood </w:t>
      </w:r>
      <w:r w:rsidRPr="00AE4411">
        <w:t>Report on Government Services</w:t>
      </w:r>
      <w:r w:rsidR="00E73457" w:rsidRPr="00AE4411">
        <w:t>.</w:t>
      </w:r>
    </w:p>
    <w:p w:rsidR="00096422" w:rsidRPr="00AE4411" w:rsidRDefault="00E73457" w:rsidP="005835A6">
      <w:pPr>
        <w:pStyle w:val="AccessibleBody"/>
      </w:pPr>
      <w:r w:rsidRPr="00AE4411">
        <w:t xml:space="preserve">Both </w:t>
      </w:r>
      <w:r w:rsidR="00AE4411">
        <w:t>t</w:t>
      </w:r>
      <w:r w:rsidR="005835A6" w:rsidRPr="00AE4411">
        <w:t>he 2016</w:t>
      </w:r>
      <w:r w:rsidRPr="00AE4411">
        <w:t xml:space="preserve"> and 2017</w:t>
      </w:r>
      <w:r w:rsidR="005835A6" w:rsidRPr="00AE4411">
        <w:t xml:space="preserve"> </w:t>
      </w:r>
      <w:r w:rsidR="001135FA" w:rsidRPr="00AE4411">
        <w:t>Report</w:t>
      </w:r>
      <w:r w:rsidR="005835A6" w:rsidRPr="00AE4411">
        <w:t xml:space="preserve"> on Government Services</w:t>
      </w:r>
      <w:r w:rsidR="00B616BC" w:rsidRPr="00AE4411">
        <w:t xml:space="preserve"> (RoGS)</w:t>
      </w:r>
      <w:r w:rsidR="005835A6" w:rsidRPr="00AE4411">
        <w:t>, show</w:t>
      </w:r>
      <w:r w:rsidR="004B675C">
        <w:t xml:space="preserve"> that </w:t>
      </w:r>
      <w:r w:rsidR="005835A6" w:rsidRPr="00AE4411">
        <w:t>ECE</w:t>
      </w:r>
      <w:r w:rsidR="00231E40" w:rsidRPr="00AE4411">
        <w:t>C</w:t>
      </w:r>
      <w:r w:rsidR="005835A6" w:rsidRPr="00AE4411">
        <w:t xml:space="preserve"> </w:t>
      </w:r>
      <w:r w:rsidR="00096422" w:rsidRPr="00AE4411">
        <w:t xml:space="preserve">services in the ACT </w:t>
      </w:r>
      <w:r w:rsidRPr="00AE4411">
        <w:t>are</w:t>
      </w:r>
      <w:r w:rsidR="00096422" w:rsidRPr="00AE4411">
        <w:t xml:space="preserve"> </w:t>
      </w:r>
      <w:r w:rsidR="005835A6" w:rsidRPr="00AE4411">
        <w:t>the most expensive in Australia</w:t>
      </w:r>
      <w:r w:rsidR="004E5F67" w:rsidRPr="00AE4411">
        <w:t xml:space="preserve">, </w:t>
      </w:r>
      <w:r w:rsidR="005835A6" w:rsidRPr="00AE4411">
        <w:t>and that the ACT ha</w:t>
      </w:r>
      <w:r w:rsidRPr="00AE4411">
        <w:t>s</w:t>
      </w:r>
      <w:r w:rsidR="005835A6" w:rsidRPr="00AE4411">
        <w:t xml:space="preserve"> </w:t>
      </w:r>
      <w:r w:rsidRPr="00AE4411">
        <w:t xml:space="preserve">one of </w:t>
      </w:r>
      <w:r w:rsidR="00A73EC7" w:rsidRPr="00AE4411">
        <w:t xml:space="preserve">the </w:t>
      </w:r>
      <w:r w:rsidR="005835A6" w:rsidRPr="00AE4411">
        <w:t xml:space="preserve">lowest </w:t>
      </w:r>
      <w:r w:rsidR="00F42C57" w:rsidRPr="00AE4411">
        <w:t xml:space="preserve">proportion </w:t>
      </w:r>
      <w:r w:rsidR="005835A6" w:rsidRPr="00AE4411">
        <w:t xml:space="preserve">of </w:t>
      </w:r>
      <w:r w:rsidRPr="00AE4411">
        <w:t xml:space="preserve">undergraduate </w:t>
      </w:r>
      <w:r w:rsidR="005835A6" w:rsidRPr="00AE4411">
        <w:t>qualified workers in Australia</w:t>
      </w:r>
      <w:r w:rsidR="00D866E1" w:rsidRPr="00AE4411">
        <w:t>.</w:t>
      </w:r>
    </w:p>
    <w:p w:rsidR="006A0E0B" w:rsidRPr="00AE4411" w:rsidRDefault="00E73457" w:rsidP="006A0E0B">
      <w:pPr>
        <w:pStyle w:val="AccessibleBody"/>
      </w:pPr>
      <w:r w:rsidRPr="00AE4411">
        <w:t>The evidence shows</w:t>
      </w:r>
      <w:r w:rsidR="00336081" w:rsidRPr="00AE4411">
        <w:t xml:space="preserve"> that</w:t>
      </w:r>
      <w:r w:rsidR="006A0E0B" w:rsidRPr="00AE4411">
        <w:t xml:space="preserve"> </w:t>
      </w:r>
      <w:r w:rsidRPr="00AE4411">
        <w:t>a</w:t>
      </w:r>
      <w:r w:rsidR="006A0E0B" w:rsidRPr="00AE4411">
        <w:t xml:space="preserve"> primary barrier to access to ECEC services in the ACT, relative to other jurisdictions, is the cost of services. The</w:t>
      </w:r>
      <w:r w:rsidR="00AE4411">
        <w:t xml:space="preserve"> r</w:t>
      </w:r>
      <w:r w:rsidR="001135FA" w:rsidRPr="00AE4411">
        <w:t>eview</w:t>
      </w:r>
      <w:r w:rsidR="006A0E0B" w:rsidRPr="00AE4411">
        <w:t xml:space="preserve"> found that services in the ACT range from $82 per day and $130.50 per day, with a mean cost of $105 per day. Costs in the ACT have been growing faster than in other jurisdictions for several years, making services </w:t>
      </w:r>
      <w:r w:rsidR="00C2465C" w:rsidRPr="00AE4411">
        <w:t xml:space="preserve">relatively </w:t>
      </w:r>
      <w:r w:rsidR="006A0E0B" w:rsidRPr="00AE4411">
        <w:t>more expensive for families in the ACT than other jurisdictions.</w:t>
      </w:r>
    </w:p>
    <w:p w:rsidR="005843CE" w:rsidRPr="00AE4411" w:rsidRDefault="00336081" w:rsidP="00C2465C">
      <w:pPr>
        <w:pStyle w:val="AccessibleBody"/>
      </w:pPr>
      <w:r w:rsidRPr="00AE4411">
        <w:t>T</w:t>
      </w:r>
      <w:r w:rsidR="001F6C4C" w:rsidRPr="00AE4411">
        <w:t xml:space="preserve">he sector has </w:t>
      </w:r>
      <w:r w:rsidRPr="00AE4411">
        <w:t xml:space="preserve">also </w:t>
      </w:r>
      <w:r w:rsidR="004E5F67" w:rsidRPr="00AE4411">
        <w:t xml:space="preserve">developed significantly since 2011. </w:t>
      </w:r>
      <w:r w:rsidR="001F6C4C" w:rsidRPr="00AE4411">
        <w:t xml:space="preserve">The sector has seen a growth </w:t>
      </w:r>
      <w:r w:rsidR="005835A6" w:rsidRPr="00AE4411">
        <w:t xml:space="preserve">in capacity since 2011 </w:t>
      </w:r>
      <w:r w:rsidR="001F6C4C" w:rsidRPr="00AE4411">
        <w:t>of</w:t>
      </w:r>
      <w:r w:rsidR="005835A6" w:rsidRPr="00AE4411">
        <w:t xml:space="preserve"> </w:t>
      </w:r>
      <w:r w:rsidR="001F6C4C" w:rsidRPr="00AE4411">
        <w:t xml:space="preserve">approximately </w:t>
      </w:r>
      <w:r w:rsidR="009E0557" w:rsidRPr="00AE4411">
        <w:t>3,238</w:t>
      </w:r>
      <w:r w:rsidR="005835A6" w:rsidRPr="00AE4411">
        <w:t xml:space="preserve"> places,</w:t>
      </w:r>
      <w:r w:rsidR="001F6C4C" w:rsidRPr="00AE4411">
        <w:t xml:space="preserve"> or </w:t>
      </w:r>
      <w:r w:rsidR="006A0E0B" w:rsidRPr="00AE4411">
        <w:t>39</w:t>
      </w:r>
      <w:r w:rsidR="001F6C4C" w:rsidRPr="00AE4411">
        <w:t xml:space="preserve">%, </w:t>
      </w:r>
      <w:r w:rsidR="005843CE" w:rsidRPr="00AE4411">
        <w:t xml:space="preserve">with a further 900 places to be added in the next two years. </w:t>
      </w:r>
      <w:r w:rsidR="005835A6" w:rsidRPr="00AE4411">
        <w:t>Growth in employee numbers has been even greater, driven by the requirements of the National Quality Framework and the growth in providers</w:t>
      </w:r>
      <w:r w:rsidR="0087206C" w:rsidRPr="00AE4411">
        <w:t>,</w:t>
      </w:r>
      <w:r w:rsidR="006A0E0B" w:rsidRPr="00AE4411">
        <w:t xml:space="preserve"> </w:t>
      </w:r>
      <w:r w:rsidR="0087206C" w:rsidRPr="00AE4411">
        <w:t>and</w:t>
      </w:r>
      <w:r w:rsidR="008E0D9F" w:rsidRPr="00AE4411">
        <w:t xml:space="preserve"> been accompanied by</w:t>
      </w:r>
      <w:r w:rsidR="006A0E0B" w:rsidRPr="00AE4411">
        <w:t xml:space="preserve"> significant restructuring of employment arrangements within the sector</w:t>
      </w:r>
      <w:r w:rsidR="005843CE" w:rsidRPr="00AE4411">
        <w:t>, with a significant increase in casualization of the ECEC workforce</w:t>
      </w:r>
      <w:r w:rsidR="006A0E0B" w:rsidRPr="00AE4411">
        <w:t>.</w:t>
      </w:r>
    </w:p>
    <w:p w:rsidR="005843CE" w:rsidRPr="00AE4411" w:rsidRDefault="00A40B29" w:rsidP="00AE4411">
      <w:pPr>
        <w:pStyle w:val="AccessibleBody"/>
      </w:pPr>
      <w:r w:rsidRPr="00AE4411">
        <w:t>T</w:t>
      </w:r>
      <w:r w:rsidR="005843CE" w:rsidRPr="00AE4411">
        <w:t>here are significantly different ratios between wages paid and prices charged across the different categories of service provider</w:t>
      </w:r>
      <w:r w:rsidR="00D80F6B" w:rsidRPr="00AE4411">
        <w:t>: for-profit, community sector not-for-profit and independent not-for-profit.</w:t>
      </w:r>
      <w:r w:rsidR="005843CE" w:rsidRPr="00AE4411">
        <w:t xml:space="preserve"> </w:t>
      </w:r>
      <w:r w:rsidR="00D80F6B" w:rsidRPr="00AE4411">
        <w:t>Relatively, for-profit providers charge higher average rates and pay lower average staff wages, where</w:t>
      </w:r>
      <w:r w:rsidR="007F4717" w:rsidRPr="00AE4411">
        <w:t>as independent not-for-profit providers charge lower average rates and pay higher average wages.</w:t>
      </w:r>
    </w:p>
    <w:p w:rsidR="002F21B7" w:rsidRPr="00AE4411" w:rsidRDefault="00B616BC" w:rsidP="005835A6">
      <w:pPr>
        <w:pStyle w:val="AccessibleBody"/>
      </w:pPr>
      <w:r w:rsidRPr="00AE4411">
        <w:t>The 2016 Review and the RoGS data show that l</w:t>
      </w:r>
      <w:r w:rsidR="002F21B7" w:rsidRPr="00AE4411">
        <w:t>evels of qualification across the sector are increasing, with analysis of available salary data at the whole of sector level suggesting that the proportion of primary contact workers without relevant qualifications has decreased from 49.4% to 41%.</w:t>
      </w:r>
    </w:p>
    <w:p w:rsidR="00DA6281" w:rsidRPr="00AE4411" w:rsidRDefault="00C2465C" w:rsidP="005835A6">
      <w:pPr>
        <w:pStyle w:val="AccessibleBody"/>
      </w:pPr>
      <w:r w:rsidRPr="00AE4411">
        <w:t xml:space="preserve">The </w:t>
      </w:r>
      <w:r w:rsidR="00AE4411">
        <w:t>2016 R</w:t>
      </w:r>
      <w:r w:rsidR="00B616BC" w:rsidRPr="00AE4411">
        <w:t>eview considered likely</w:t>
      </w:r>
      <w:r w:rsidR="006A0E0B" w:rsidRPr="00AE4411">
        <w:t xml:space="preserve"> </w:t>
      </w:r>
      <w:r w:rsidRPr="00AE4411">
        <w:t xml:space="preserve">causes of the </w:t>
      </w:r>
      <w:r w:rsidR="006A0E0B" w:rsidRPr="00AE4411">
        <w:t>barriers to improved access to ECEC services for families in the ACT</w:t>
      </w:r>
      <w:r w:rsidRPr="00AE4411">
        <w:t xml:space="preserve"> and to improvements in qualification levels in the ACT </w:t>
      </w:r>
      <w:r w:rsidR="00B616BC" w:rsidRPr="00AE4411">
        <w:t xml:space="preserve">as </w:t>
      </w:r>
      <w:r w:rsidR="00B616BC" w:rsidRPr="00AE4411">
        <w:lastRenderedPageBreak/>
        <w:t>being:</w:t>
      </w:r>
      <w:r w:rsidRPr="00AE4411">
        <w:t xml:space="preserve"> difficulties in attracting, training and retaining suitably skilled and motivated workers in the ACT, competition for market share,</w:t>
      </w:r>
      <w:r w:rsidR="00AE4411" w:rsidRPr="00AE4411">
        <w:t xml:space="preserve"> </w:t>
      </w:r>
      <w:r w:rsidR="00B616BC" w:rsidRPr="00AE4411">
        <w:t>a</w:t>
      </w:r>
      <w:r w:rsidRPr="00AE4411">
        <w:t xml:space="preserve">nd the interaction of the </w:t>
      </w:r>
      <w:r w:rsidR="00B616BC" w:rsidRPr="00AE4411">
        <w:t>effect of A</w:t>
      </w:r>
      <w:r w:rsidRPr="00AE4411">
        <w:t>CT Government provided preschool education</w:t>
      </w:r>
      <w:r w:rsidR="00B616BC" w:rsidRPr="00AE4411">
        <w:t xml:space="preserve"> on the business models of non-Government services</w:t>
      </w:r>
      <w:r w:rsidRPr="00AE4411">
        <w:t>.</w:t>
      </w:r>
      <w:r w:rsidR="00DA6281" w:rsidRPr="00AE4411">
        <w:t xml:space="preserve"> </w:t>
      </w:r>
    </w:p>
    <w:p w:rsidR="00DA6281" w:rsidRPr="00AE4411" w:rsidRDefault="00225E90" w:rsidP="005835A6">
      <w:pPr>
        <w:pStyle w:val="AccessibleBody"/>
      </w:pPr>
      <w:r w:rsidRPr="00AE4411">
        <w:t>T</w:t>
      </w:r>
      <w:r w:rsidR="00DA6281" w:rsidRPr="00AE4411">
        <w:t>he</w:t>
      </w:r>
      <w:r w:rsidR="00B616BC" w:rsidRPr="00AE4411">
        <w:t xml:space="preserve"> evidence suggests a need for a</w:t>
      </w:r>
      <w:r w:rsidR="0084434F">
        <w:t xml:space="preserve"> </w:t>
      </w:r>
      <w:r w:rsidR="00DA6281" w:rsidRPr="00AE4411">
        <w:t>comprehensive policy framework to guide the ACT Government’s role with respect to the delivery of ECEC services and to the outcomes that the ACT seeks from ECEC services for the children of the ACT</w:t>
      </w:r>
      <w:r w:rsidR="006A762B" w:rsidRPr="00AE4411">
        <w:t>, and that there is room fo</w:t>
      </w:r>
      <w:r w:rsidR="00AE4411">
        <w:t xml:space="preserve">r greater co-operation between </w:t>
      </w:r>
      <w:r w:rsidR="006A762B" w:rsidRPr="00AE4411">
        <w:t>ACT Government agencies</w:t>
      </w:r>
      <w:r w:rsidR="00B616BC" w:rsidRPr="00AE4411">
        <w:t xml:space="preserve"> and the ECEC sector as a whole.</w:t>
      </w:r>
    </w:p>
    <w:p w:rsidR="00DA6281" w:rsidRPr="00AE4411" w:rsidRDefault="00DA6281" w:rsidP="005835A6">
      <w:pPr>
        <w:pStyle w:val="AccessibleBody"/>
      </w:pPr>
    </w:p>
    <w:p w:rsidR="00DA6281" w:rsidRPr="00AE4411" w:rsidRDefault="00DA6281" w:rsidP="005835A6">
      <w:pPr>
        <w:pStyle w:val="AccessibleBody"/>
        <w:sectPr w:rsidR="00DA6281" w:rsidRPr="00AE4411" w:rsidSect="004D0A6D">
          <w:pgSz w:w="11906" w:h="16838"/>
          <w:pgMar w:top="1440" w:right="1440" w:bottom="1276" w:left="1440"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p>
    <w:p w:rsidR="00BF76E3" w:rsidRPr="00B2434F" w:rsidRDefault="004F4F60" w:rsidP="001E5AA4">
      <w:pPr>
        <w:pStyle w:val="PolicyHeading2-Accessible"/>
      </w:pPr>
      <w:bookmarkStart w:id="3" w:name="_Toc453155094"/>
      <w:bookmarkStart w:id="4" w:name="_Toc509497637"/>
      <w:r w:rsidRPr="00B2434F">
        <w:lastRenderedPageBreak/>
        <w:t>Introduction</w:t>
      </w:r>
      <w:bookmarkEnd w:id="3"/>
      <w:bookmarkEnd w:id="4"/>
    </w:p>
    <w:p w:rsidR="00AD300C" w:rsidRPr="00AE4411" w:rsidRDefault="006B0511" w:rsidP="0034015B">
      <w:pPr>
        <w:pStyle w:val="AccessibleBody"/>
      </w:pPr>
      <w:r w:rsidRPr="00AE4411">
        <w:t xml:space="preserve">There is </w:t>
      </w:r>
      <w:r w:rsidR="00AA0DCC" w:rsidRPr="00AE4411">
        <w:t xml:space="preserve">an abundance of evidence </w:t>
      </w:r>
      <w:r w:rsidRPr="00AE4411">
        <w:t>that structured early childhood education</w:t>
      </w:r>
      <w:r w:rsidR="00A93C4F" w:rsidRPr="00AE4411">
        <w:t xml:space="preserve"> and care</w:t>
      </w:r>
      <w:r w:rsidRPr="00AE4411">
        <w:t xml:space="preserve"> in the years immediately </w:t>
      </w:r>
      <w:r w:rsidR="001C7FBC" w:rsidRPr="00AE4411">
        <w:t>before</w:t>
      </w:r>
      <w:r w:rsidRPr="00AE4411">
        <w:t xml:space="preserve"> formal school is beneficial to those children who have the opportunity to access it. Equally, there is </w:t>
      </w:r>
      <w:r w:rsidR="00225917" w:rsidRPr="00AE4411">
        <w:t xml:space="preserve">general </w:t>
      </w:r>
      <w:r w:rsidRPr="00AE4411">
        <w:t>agreement that this structured early childhood education</w:t>
      </w:r>
      <w:r w:rsidR="007614E4" w:rsidRPr="00AE4411">
        <w:t xml:space="preserve"> and care</w:t>
      </w:r>
      <w:r w:rsidRPr="00AE4411">
        <w:t xml:space="preserve"> is particularly beneficial to those children who face challenging early life circumstances as a consequence of </w:t>
      </w:r>
      <w:r w:rsidR="00420836" w:rsidRPr="00AE4411">
        <w:t>their</w:t>
      </w:r>
      <w:r w:rsidR="001C7FBC" w:rsidRPr="00AE4411">
        <w:t xml:space="preserve"> or their</w:t>
      </w:r>
      <w:r w:rsidRPr="00AE4411">
        <w:t xml:space="preserve"> </w:t>
      </w:r>
      <w:r w:rsidR="00225917" w:rsidRPr="00AE4411">
        <w:t>parents</w:t>
      </w:r>
      <w:r w:rsidR="007033B1" w:rsidRPr="00AE4411">
        <w:t>’</w:t>
      </w:r>
      <w:r w:rsidR="008D29D4" w:rsidRPr="00AE4411">
        <w:t>,</w:t>
      </w:r>
      <w:r w:rsidRPr="00AE4411">
        <w:t xml:space="preserve"> financial, health, social or other circumstances. </w:t>
      </w:r>
      <w:r w:rsidR="00472FA8" w:rsidRPr="00AE4411">
        <w:t xml:space="preserve">Furthermore, the </w:t>
      </w:r>
      <w:r w:rsidR="00E959F3" w:rsidRPr="00AE4411">
        <w:t>right of the child to high quality education is</w:t>
      </w:r>
      <w:r w:rsidR="00BB7B05" w:rsidRPr="00AE4411">
        <w:t xml:space="preserve"> defined in the United Nations Convention on the Rights of the Child.</w:t>
      </w:r>
    </w:p>
    <w:p w:rsidR="000D2739" w:rsidRPr="00AE4411" w:rsidRDefault="00AA0DCC" w:rsidP="0034015B">
      <w:pPr>
        <w:pStyle w:val="AccessibleBody"/>
      </w:pPr>
      <w:r w:rsidRPr="00AE4411">
        <w:t xml:space="preserve">The 2016 </w:t>
      </w:r>
      <w:r w:rsidR="00AE4411" w:rsidRPr="00AE4411">
        <w:t>R</w:t>
      </w:r>
      <w:r w:rsidR="001135FA" w:rsidRPr="00AE4411">
        <w:t>eview</w:t>
      </w:r>
      <w:r w:rsidR="00AE4411">
        <w:t xml:space="preserve"> </w:t>
      </w:r>
      <w:r w:rsidR="00DD6736" w:rsidRPr="00AE4411">
        <w:t>accessed information from a number of sources</w:t>
      </w:r>
      <w:r w:rsidR="00C54AFB" w:rsidRPr="00AE4411">
        <w:t>, including service providers,</w:t>
      </w:r>
      <w:r w:rsidR="00DD6736" w:rsidRPr="00AE4411">
        <w:t xml:space="preserve"> in order to construct a picture of ECE</w:t>
      </w:r>
      <w:r w:rsidR="00231E40" w:rsidRPr="00AE4411">
        <w:t>C</w:t>
      </w:r>
      <w:r w:rsidR="00DD6736" w:rsidRPr="00AE4411">
        <w:t xml:space="preserve"> service delivery in the ACT. </w:t>
      </w:r>
      <w:r w:rsidR="00DB28FA" w:rsidRPr="00AE4411">
        <w:t>In addition to service providers, t</w:t>
      </w:r>
      <w:r w:rsidR="00DD6736" w:rsidRPr="00AE4411">
        <w:t>hese sources include</w:t>
      </w:r>
      <w:r w:rsidR="001C7FBC" w:rsidRPr="00AE4411">
        <w:t>d</w:t>
      </w:r>
      <w:r w:rsidR="00DD6736" w:rsidRPr="00AE4411">
        <w:t xml:space="preserve"> data from the Education Directorate, Community Services Directorate, the </w:t>
      </w:r>
      <w:r w:rsidR="007033B1" w:rsidRPr="00AE4411">
        <w:t xml:space="preserve">Chief Minister, Treasury and </w:t>
      </w:r>
      <w:r w:rsidR="00DD6736" w:rsidRPr="00AE4411">
        <w:t>Economic Development Directorate, the Environment and Planning Directorate, the ACT Long Service Leave Authority, the Australian Government (a number of sources), and others.</w:t>
      </w:r>
    </w:p>
    <w:p w:rsidR="002C798F" w:rsidRPr="00AE4411" w:rsidRDefault="002C798F" w:rsidP="004470B7">
      <w:pPr>
        <w:pStyle w:val="PolicyHeading3-Accessible"/>
      </w:pPr>
      <w:bookmarkStart w:id="5" w:name="_Toc509497638"/>
      <w:bookmarkStart w:id="6" w:name="_Toc453155095"/>
      <w:r w:rsidRPr="00AE4411">
        <w:t>Why this is important</w:t>
      </w:r>
      <w:bookmarkEnd w:id="5"/>
    </w:p>
    <w:p w:rsidR="00F327C4" w:rsidRPr="00AE4411" w:rsidRDefault="00F327C4" w:rsidP="002C798F">
      <w:pPr>
        <w:rPr>
          <w:sz w:val="24"/>
          <w:szCs w:val="24"/>
        </w:rPr>
      </w:pPr>
      <w:r w:rsidRPr="00AE4411">
        <w:rPr>
          <w:sz w:val="24"/>
          <w:szCs w:val="24"/>
        </w:rPr>
        <w:t>ECEC serves two core functions for our community: providing quality development for a child’s early years, especially for children experiencing disadvantage; and enabling workforce participation.</w:t>
      </w:r>
    </w:p>
    <w:p w:rsidR="002C798F" w:rsidRPr="00AE4411" w:rsidRDefault="00AA0DCC" w:rsidP="002C798F">
      <w:pPr>
        <w:rPr>
          <w:sz w:val="24"/>
          <w:szCs w:val="24"/>
        </w:rPr>
      </w:pPr>
      <w:r w:rsidRPr="00AE4411">
        <w:rPr>
          <w:sz w:val="24"/>
          <w:szCs w:val="24"/>
        </w:rPr>
        <w:t xml:space="preserve">There is evidence </w:t>
      </w:r>
      <w:r w:rsidR="00F327C4" w:rsidRPr="00AE4411">
        <w:rPr>
          <w:sz w:val="24"/>
          <w:szCs w:val="24"/>
        </w:rPr>
        <w:t xml:space="preserve">that </w:t>
      </w:r>
      <w:r w:rsidR="00DA6281" w:rsidRPr="00AE4411">
        <w:rPr>
          <w:sz w:val="24"/>
          <w:szCs w:val="24"/>
        </w:rPr>
        <w:t xml:space="preserve">children in the ACT are excluded from ECEC services </w:t>
      </w:r>
      <w:r w:rsidR="00FE6390" w:rsidRPr="00AE4411">
        <w:rPr>
          <w:sz w:val="24"/>
          <w:szCs w:val="24"/>
        </w:rPr>
        <w:t xml:space="preserve">in the ACT </w:t>
      </w:r>
      <w:r w:rsidR="00DA6281" w:rsidRPr="00AE4411">
        <w:rPr>
          <w:sz w:val="24"/>
          <w:szCs w:val="24"/>
        </w:rPr>
        <w:t>due to a combination of price and exclusion as a result of marginalisation. A further percentage of children</w:t>
      </w:r>
      <w:r w:rsidR="00C02973" w:rsidRPr="00AE4411">
        <w:rPr>
          <w:sz w:val="24"/>
          <w:szCs w:val="24"/>
        </w:rPr>
        <w:t xml:space="preserve"> are likely to</w:t>
      </w:r>
      <w:r w:rsidR="00DA6281" w:rsidRPr="00AE4411">
        <w:rPr>
          <w:sz w:val="24"/>
          <w:szCs w:val="24"/>
        </w:rPr>
        <w:t xml:space="preserve"> have less access than their parents would prefer, due to the price of services in the ACT.</w:t>
      </w:r>
    </w:p>
    <w:p w:rsidR="00893E4A" w:rsidRPr="00AE4411" w:rsidRDefault="00893E4A" w:rsidP="00893E4A">
      <w:pPr>
        <w:rPr>
          <w:sz w:val="24"/>
          <w:szCs w:val="24"/>
        </w:rPr>
      </w:pPr>
      <w:bookmarkStart w:id="7" w:name="_Toc443646616"/>
      <w:bookmarkStart w:id="8" w:name="_Toc443646652"/>
      <w:bookmarkStart w:id="9" w:name="_Toc443646617"/>
      <w:bookmarkStart w:id="10" w:name="_Toc443646653"/>
      <w:bookmarkStart w:id="11" w:name="_Toc443646704"/>
      <w:bookmarkStart w:id="12" w:name="_Toc443646759"/>
      <w:bookmarkStart w:id="13" w:name="_Toc443646827"/>
      <w:bookmarkStart w:id="14" w:name="_Toc443646881"/>
      <w:bookmarkStart w:id="15" w:name="_Toc443646930"/>
      <w:bookmarkEnd w:id="7"/>
      <w:bookmarkEnd w:id="8"/>
      <w:bookmarkEnd w:id="9"/>
      <w:bookmarkEnd w:id="10"/>
      <w:bookmarkEnd w:id="11"/>
      <w:bookmarkEnd w:id="12"/>
      <w:bookmarkEnd w:id="13"/>
      <w:bookmarkEnd w:id="14"/>
      <w:bookmarkEnd w:id="15"/>
      <w:r w:rsidRPr="00AE4411">
        <w:rPr>
          <w:sz w:val="24"/>
          <w:szCs w:val="24"/>
        </w:rPr>
        <w:t>Work undertaken by the Benevolent Society in 2013 found that interventions with the strongest evidence of success in improving developmental outcomes in the early years is participation in high quality early childhood education and care services and parenting programs that support the child’s whole family.</w:t>
      </w:r>
      <w:r w:rsidRPr="00AE4411">
        <w:rPr>
          <w:rStyle w:val="FootnoteReference"/>
          <w:sz w:val="24"/>
          <w:szCs w:val="24"/>
        </w:rPr>
        <w:footnoteReference w:id="1"/>
      </w:r>
    </w:p>
    <w:p w:rsidR="00893E4A" w:rsidRPr="00AE4411" w:rsidRDefault="00893E4A" w:rsidP="00893E4A">
      <w:pPr>
        <w:pStyle w:val="AccessibleBody"/>
      </w:pPr>
      <w:r w:rsidRPr="00AE4411">
        <w:t xml:space="preserve">The benefits of early intervention accrue to the whole of society, through enhanced human capital and capability, increased productivity, greater social inclusion and reduced public expenditure in health, welfare and the criminal justice system over the lifetime of the child. Healthy and happy children are more likely to become healthy and resilient adults who have the capacity, opportunity and resources to contribute to a cohesive and prosperous society. Conversely, if these problems and risk factors are not addressed they accrue to the whole </w:t>
      </w:r>
      <w:r w:rsidRPr="00AE4411">
        <w:lastRenderedPageBreak/>
        <w:t>society in the form of increased social inequality, reduced productivity and high costs associated with entrenched intergenerational disadvantage (Heckman, 2011)</w:t>
      </w:r>
      <w:r w:rsidRPr="00AE4411">
        <w:rPr>
          <w:rStyle w:val="FootnoteReference"/>
        </w:rPr>
        <w:footnoteReference w:id="2"/>
      </w:r>
      <w:r w:rsidRPr="00AE4411">
        <w:t>.</w:t>
      </w:r>
    </w:p>
    <w:p w:rsidR="00D268D2" w:rsidRPr="00AE4411" w:rsidRDefault="00D268D2" w:rsidP="00D268D2">
      <w:pPr>
        <w:pStyle w:val="AccessibleBody"/>
      </w:pPr>
      <w:r w:rsidRPr="00AE4411">
        <w:t xml:space="preserve">The recent Grattan Institute </w:t>
      </w:r>
      <w:r w:rsidR="001135FA" w:rsidRPr="00AE4411">
        <w:t>Report</w:t>
      </w:r>
      <w:r w:rsidRPr="00AE4411">
        <w:t xml:space="preserve"> </w:t>
      </w:r>
      <w:r w:rsidRPr="00AE4411">
        <w:rPr>
          <w:i/>
        </w:rPr>
        <w:t>Widening gaps: What NAPLAN tells us about student progress</w:t>
      </w:r>
      <w:r w:rsidRPr="00AE4411">
        <w:t>, released in March 2016, advises that educationally disadvantaged students – especially those with parents with limited education – tend to start behind their peers in year 3, and that they then fall much further behind between Year 3 and Year 9.</w:t>
      </w:r>
    </w:p>
    <w:p w:rsidR="00D268D2" w:rsidRPr="00AE4411" w:rsidRDefault="00D268D2" w:rsidP="00D268D2">
      <w:pPr>
        <w:pStyle w:val="AccessibleBody"/>
      </w:pPr>
      <w:r w:rsidRPr="00AE4411">
        <w:t>Furthermore, it was found that ‘</w:t>
      </w:r>
      <w:r w:rsidRPr="00AE4411">
        <w:rPr>
          <w:i/>
        </w:rPr>
        <w:t>Children who are developmentally vulnerable when they start school can get ‘back on track’ in their education, but it’s harder for those from disadvantaged backgrounds</w:t>
      </w:r>
      <w:r w:rsidRPr="00AE4411">
        <w:t xml:space="preserve">’. The </w:t>
      </w:r>
      <w:r w:rsidR="001135FA" w:rsidRPr="00AE4411">
        <w:t>Report</w:t>
      </w:r>
      <w:r w:rsidRPr="00AE4411">
        <w:t xml:space="preserve"> also referred to 2015 Australian Institute of Health and Welfare research which indicated that it may be beneficial for disadvantaged students to start early childhood education earlier.</w:t>
      </w:r>
    </w:p>
    <w:p w:rsidR="006118FA" w:rsidRPr="00AE4411" w:rsidRDefault="00485465" w:rsidP="006118FA">
      <w:pPr>
        <w:pStyle w:val="AccessibleBody"/>
      </w:pPr>
      <w:r>
        <w:rPr>
          <w:noProof/>
          <w:sz w:val="18"/>
          <w:szCs w:val="18"/>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pt;margin-top:113.2pt;width:387.6pt;height:192.6pt;z-index:251658752">
            <v:imagedata r:id="rId14" o:title=""/>
            <w10:wrap type="square"/>
          </v:shape>
          <o:OLEObject Type="Embed" ProgID="Acrobat.Document.DC" ShapeID="_x0000_s1026" DrawAspect="Content" ObjectID="_1594123769" r:id="rId15"/>
        </w:object>
      </w:r>
      <w:r w:rsidR="006118FA" w:rsidRPr="00AE4411">
        <w:t xml:space="preserve">The Australian Early Development Census (AEDC) collects data every three years on children in Kindergarten. The last census was undertaken in 2015. </w:t>
      </w:r>
      <w:r w:rsidR="006118FA" w:rsidRPr="00AE4411">
        <w:rPr>
          <w:b/>
        </w:rPr>
        <w:t xml:space="preserve">Figure </w:t>
      </w:r>
      <w:r w:rsidR="005B489A" w:rsidRPr="00AE4411">
        <w:rPr>
          <w:b/>
        </w:rPr>
        <w:t>0</w:t>
      </w:r>
      <w:r w:rsidR="006118FA" w:rsidRPr="00AE4411">
        <w:t xml:space="preserve"> below shows, at the level of the ACT, the ACT lags on a number of domains. More detailed data shows that performance against the language domain is not only lower than the national level, but that the percentage of children in the ACT that are developmentally vulnerable, or at risk, has declined slightly between 2009 and 2015.</w:t>
      </w:r>
    </w:p>
    <w:p w:rsidR="001135FA" w:rsidRPr="00AE4411" w:rsidRDefault="001135FA" w:rsidP="006118FA">
      <w:pPr>
        <w:pStyle w:val="AccessibleBody"/>
      </w:pPr>
    </w:p>
    <w:p w:rsidR="001135FA" w:rsidRPr="00AE4411" w:rsidRDefault="001135FA" w:rsidP="006118FA">
      <w:pPr>
        <w:pStyle w:val="AccessibleBody"/>
      </w:pPr>
    </w:p>
    <w:p w:rsidR="001135FA" w:rsidRPr="00AE4411" w:rsidRDefault="001135FA" w:rsidP="006118FA">
      <w:pPr>
        <w:pStyle w:val="AccessibleBody"/>
      </w:pPr>
    </w:p>
    <w:p w:rsidR="001135FA" w:rsidRPr="00AE4411" w:rsidRDefault="001135FA" w:rsidP="006118FA">
      <w:pPr>
        <w:pStyle w:val="AccessibleBody"/>
      </w:pPr>
    </w:p>
    <w:p w:rsidR="001135FA" w:rsidRPr="00AE4411" w:rsidRDefault="001135FA" w:rsidP="006118FA">
      <w:pPr>
        <w:pStyle w:val="AccessibleBody"/>
      </w:pPr>
    </w:p>
    <w:p w:rsidR="001135FA" w:rsidRPr="00AE4411" w:rsidRDefault="001135FA" w:rsidP="006118FA">
      <w:pPr>
        <w:pStyle w:val="AccessibleBody"/>
      </w:pPr>
    </w:p>
    <w:p w:rsidR="001135FA" w:rsidRPr="00AE4411" w:rsidRDefault="001135FA" w:rsidP="006118FA">
      <w:pPr>
        <w:pStyle w:val="AccessibleBody"/>
      </w:pPr>
    </w:p>
    <w:p w:rsidR="001135FA" w:rsidRPr="00AE4411" w:rsidRDefault="001135FA" w:rsidP="001135FA">
      <w:pPr>
        <w:pStyle w:val="AccessibleBody"/>
      </w:pPr>
      <w:r w:rsidRPr="00AE4411">
        <w:rPr>
          <w:sz w:val="18"/>
          <w:szCs w:val="18"/>
        </w:rPr>
        <w:t xml:space="preserve">Fig </w:t>
      </w:r>
      <w:r w:rsidR="005B489A" w:rsidRPr="00AE4411">
        <w:rPr>
          <w:sz w:val="18"/>
          <w:szCs w:val="18"/>
        </w:rPr>
        <w:t>0</w:t>
      </w:r>
      <w:r w:rsidRPr="00AE4411">
        <w:rPr>
          <w:sz w:val="18"/>
          <w:szCs w:val="18"/>
        </w:rPr>
        <w:t xml:space="preserve"> Percentage of ACT children considered on track compared to national equivalent</w:t>
      </w:r>
    </w:p>
    <w:p w:rsidR="002B4542" w:rsidRPr="00AE4411" w:rsidRDefault="001135FA" w:rsidP="00FE6390">
      <w:pPr>
        <w:pStyle w:val="AccessibleBody"/>
        <w:spacing w:after="0"/>
      </w:pPr>
      <w:r w:rsidRPr="00AE4411">
        <w:t xml:space="preserve">These patterns are reflected in the ACT. The Education Directorate does not currently hold data that would allow a connection between the outcomes achieved by students in NAPLAN testing and the ECEC experience of children. However, it is possible to use socio-economic </w:t>
      </w:r>
      <w:r w:rsidR="00CD426A" w:rsidRPr="00AE4411">
        <w:t xml:space="preserve">status as a proxy for access to ECEC services, as shown in the table in </w:t>
      </w:r>
      <w:r w:rsidR="00CD426A" w:rsidRPr="00AE4411">
        <w:rPr>
          <w:b/>
        </w:rPr>
        <w:t>Figure 1</w:t>
      </w:r>
      <w:r w:rsidR="00CD426A" w:rsidRPr="00AE4411">
        <w:t xml:space="preserve"> below.</w:t>
      </w:r>
    </w:p>
    <w:tbl>
      <w:tblPr>
        <w:tblStyle w:val="MediumShading1-Accent4"/>
        <w:tblpPr w:leftFromText="180" w:rightFromText="180" w:vertAnchor="page" w:horzAnchor="margin" w:tblpY="2281"/>
        <w:tblW w:w="5000" w:type="pct"/>
        <w:tblLayout w:type="fixed"/>
        <w:tblLook w:val="04A0" w:firstRow="1" w:lastRow="0" w:firstColumn="1" w:lastColumn="0" w:noHBand="0" w:noVBand="1"/>
      </w:tblPr>
      <w:tblGrid>
        <w:gridCol w:w="2656"/>
        <w:gridCol w:w="585"/>
        <w:gridCol w:w="186"/>
        <w:gridCol w:w="628"/>
        <w:gridCol w:w="40"/>
        <w:gridCol w:w="809"/>
        <w:gridCol w:w="836"/>
        <w:gridCol w:w="807"/>
        <w:gridCol w:w="838"/>
        <w:gridCol w:w="807"/>
        <w:gridCol w:w="834"/>
      </w:tblGrid>
      <w:tr w:rsidR="000D6BC7" w:rsidRPr="00AE4411" w:rsidTr="007F790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AE4411" w:rsidRDefault="000D6BC7" w:rsidP="007F7908">
            <w:pPr>
              <w:rPr>
                <w:lang w:eastAsia="en-AU"/>
              </w:rPr>
            </w:pPr>
            <w:r w:rsidRPr="00AE4411">
              <w:rPr>
                <w:lang w:eastAsia="en-AU"/>
              </w:rPr>
              <w:lastRenderedPageBreak/>
              <w:t> ACT NAPLAN by Parent SES</w:t>
            </w:r>
          </w:p>
        </w:tc>
        <w:tc>
          <w:tcPr>
            <w:tcW w:w="797" w:type="pct"/>
            <w:gridSpan w:val="4"/>
            <w:noWrap/>
            <w:hideMark/>
          </w:tcPr>
          <w:p w:rsidR="000D6BC7" w:rsidRPr="00AE4411" w:rsidRDefault="000D6BC7" w:rsidP="007F7908">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Year 3</w:t>
            </w:r>
          </w:p>
        </w:tc>
        <w:tc>
          <w:tcPr>
            <w:tcW w:w="911" w:type="pct"/>
            <w:gridSpan w:val="2"/>
            <w:noWrap/>
            <w:hideMark/>
          </w:tcPr>
          <w:p w:rsidR="000D6BC7" w:rsidRPr="00AE4411" w:rsidRDefault="000D6BC7" w:rsidP="007F7908">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Year 5</w:t>
            </w:r>
          </w:p>
        </w:tc>
        <w:tc>
          <w:tcPr>
            <w:tcW w:w="911" w:type="pct"/>
            <w:gridSpan w:val="2"/>
            <w:noWrap/>
            <w:hideMark/>
          </w:tcPr>
          <w:p w:rsidR="000D6BC7" w:rsidRPr="00AE4411" w:rsidRDefault="000D6BC7" w:rsidP="007F7908">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Year 7</w:t>
            </w:r>
          </w:p>
        </w:tc>
        <w:tc>
          <w:tcPr>
            <w:tcW w:w="909" w:type="pct"/>
            <w:gridSpan w:val="2"/>
            <w:noWrap/>
            <w:hideMark/>
          </w:tcPr>
          <w:p w:rsidR="000D6BC7" w:rsidRPr="00AE4411" w:rsidRDefault="000D6BC7" w:rsidP="007F7908">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Year 9</w:t>
            </w:r>
          </w:p>
        </w:tc>
      </w:tr>
      <w:tr w:rsidR="007A3E04" w:rsidRPr="00AE4411" w:rsidTr="007F790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Highest level of parent education</w:t>
            </w:r>
          </w:p>
        </w:tc>
        <w:tc>
          <w:tcPr>
            <w:tcW w:w="427" w:type="pct"/>
            <w:gridSpan w:val="2"/>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Read</w:t>
            </w:r>
          </w:p>
        </w:tc>
        <w:tc>
          <w:tcPr>
            <w:tcW w:w="370" w:type="pct"/>
            <w:gridSpan w:val="2"/>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Num</w:t>
            </w:r>
          </w:p>
        </w:tc>
        <w:tc>
          <w:tcPr>
            <w:tcW w:w="448"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Read</w:t>
            </w:r>
          </w:p>
        </w:tc>
        <w:tc>
          <w:tcPr>
            <w:tcW w:w="463"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Num</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Read</w:t>
            </w:r>
          </w:p>
        </w:tc>
        <w:tc>
          <w:tcPr>
            <w:tcW w:w="464"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Num</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Read</w:t>
            </w:r>
          </w:p>
        </w:tc>
        <w:tc>
          <w:tcPr>
            <w:tcW w:w="462"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Num</w:t>
            </w:r>
          </w:p>
        </w:tc>
      </w:tr>
      <w:tr w:rsidR="000D6BC7" w:rsidRPr="00AE4411" w:rsidTr="007F7908">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University degree</w:t>
            </w:r>
          </w:p>
        </w:tc>
        <w:tc>
          <w:tcPr>
            <w:tcW w:w="427" w:type="pct"/>
            <w:gridSpan w:val="2"/>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465</w:t>
            </w:r>
          </w:p>
        </w:tc>
        <w:tc>
          <w:tcPr>
            <w:tcW w:w="370" w:type="pct"/>
            <w:gridSpan w:val="2"/>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434</w:t>
            </w:r>
          </w:p>
        </w:tc>
        <w:tc>
          <w:tcPr>
            <w:tcW w:w="448"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542</w:t>
            </w:r>
          </w:p>
        </w:tc>
        <w:tc>
          <w:tcPr>
            <w:tcW w:w="463" w:type="pct"/>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520</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584</w:t>
            </w:r>
          </w:p>
        </w:tc>
        <w:tc>
          <w:tcPr>
            <w:tcW w:w="464" w:type="pct"/>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574</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618</w:t>
            </w:r>
          </w:p>
        </w:tc>
        <w:tc>
          <w:tcPr>
            <w:tcW w:w="462" w:type="pct"/>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621</w:t>
            </w:r>
          </w:p>
        </w:tc>
      </w:tr>
      <w:tr w:rsidR="007A3E04" w:rsidRPr="00AE4411" w:rsidTr="007F790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Missing/not stated</w:t>
            </w:r>
          </w:p>
        </w:tc>
        <w:tc>
          <w:tcPr>
            <w:tcW w:w="427" w:type="pct"/>
            <w:gridSpan w:val="2"/>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440</w:t>
            </w:r>
          </w:p>
        </w:tc>
        <w:tc>
          <w:tcPr>
            <w:tcW w:w="370" w:type="pct"/>
            <w:gridSpan w:val="2"/>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418</w:t>
            </w:r>
          </w:p>
        </w:tc>
        <w:tc>
          <w:tcPr>
            <w:tcW w:w="448"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517</w:t>
            </w:r>
          </w:p>
        </w:tc>
        <w:tc>
          <w:tcPr>
            <w:tcW w:w="463"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498</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549</w:t>
            </w:r>
          </w:p>
        </w:tc>
        <w:tc>
          <w:tcPr>
            <w:tcW w:w="464"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543</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578</w:t>
            </w:r>
          </w:p>
        </w:tc>
        <w:tc>
          <w:tcPr>
            <w:tcW w:w="462"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570</w:t>
            </w:r>
          </w:p>
        </w:tc>
      </w:tr>
      <w:tr w:rsidR="000D6BC7" w:rsidRPr="00AE4411" w:rsidTr="007F790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Diploma</w:t>
            </w:r>
          </w:p>
        </w:tc>
        <w:tc>
          <w:tcPr>
            <w:tcW w:w="427" w:type="pct"/>
            <w:gridSpan w:val="2"/>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415</w:t>
            </w:r>
          </w:p>
        </w:tc>
        <w:tc>
          <w:tcPr>
            <w:tcW w:w="370" w:type="pct"/>
            <w:gridSpan w:val="2"/>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393</w:t>
            </w:r>
          </w:p>
        </w:tc>
        <w:tc>
          <w:tcPr>
            <w:tcW w:w="448"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496</w:t>
            </w:r>
          </w:p>
        </w:tc>
        <w:tc>
          <w:tcPr>
            <w:tcW w:w="463" w:type="pct"/>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476</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538</w:t>
            </w:r>
          </w:p>
        </w:tc>
        <w:tc>
          <w:tcPr>
            <w:tcW w:w="464" w:type="pct"/>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530</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581</w:t>
            </w:r>
          </w:p>
        </w:tc>
        <w:tc>
          <w:tcPr>
            <w:tcW w:w="462" w:type="pct"/>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571</w:t>
            </w:r>
          </w:p>
        </w:tc>
      </w:tr>
      <w:tr w:rsidR="007A3E04" w:rsidRPr="00AE4411" w:rsidTr="007F790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Year 12</w:t>
            </w:r>
          </w:p>
        </w:tc>
        <w:tc>
          <w:tcPr>
            <w:tcW w:w="427" w:type="pct"/>
            <w:gridSpan w:val="2"/>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402</w:t>
            </w:r>
          </w:p>
        </w:tc>
        <w:tc>
          <w:tcPr>
            <w:tcW w:w="370" w:type="pct"/>
            <w:gridSpan w:val="2"/>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382</w:t>
            </w:r>
          </w:p>
        </w:tc>
        <w:tc>
          <w:tcPr>
            <w:tcW w:w="448"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493</w:t>
            </w:r>
          </w:p>
        </w:tc>
        <w:tc>
          <w:tcPr>
            <w:tcW w:w="463"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474</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524</w:t>
            </w:r>
          </w:p>
        </w:tc>
        <w:tc>
          <w:tcPr>
            <w:tcW w:w="464"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514</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570</w:t>
            </w:r>
          </w:p>
        </w:tc>
        <w:tc>
          <w:tcPr>
            <w:tcW w:w="462"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563</w:t>
            </w:r>
          </w:p>
        </w:tc>
      </w:tr>
      <w:tr w:rsidR="000D6BC7" w:rsidRPr="00AE4411" w:rsidTr="007F790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Certificate</w:t>
            </w:r>
          </w:p>
        </w:tc>
        <w:tc>
          <w:tcPr>
            <w:tcW w:w="427" w:type="pct"/>
            <w:gridSpan w:val="2"/>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403</w:t>
            </w:r>
          </w:p>
        </w:tc>
        <w:tc>
          <w:tcPr>
            <w:tcW w:w="370" w:type="pct"/>
            <w:gridSpan w:val="2"/>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378</w:t>
            </w:r>
          </w:p>
        </w:tc>
        <w:tc>
          <w:tcPr>
            <w:tcW w:w="448"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485</w:t>
            </w:r>
          </w:p>
        </w:tc>
        <w:tc>
          <w:tcPr>
            <w:tcW w:w="463" w:type="pct"/>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461</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529</w:t>
            </w:r>
          </w:p>
        </w:tc>
        <w:tc>
          <w:tcPr>
            <w:tcW w:w="464" w:type="pct"/>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516</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563</w:t>
            </w:r>
          </w:p>
        </w:tc>
        <w:tc>
          <w:tcPr>
            <w:tcW w:w="462" w:type="pct"/>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554</w:t>
            </w:r>
          </w:p>
        </w:tc>
      </w:tr>
      <w:tr w:rsidR="007A3E04" w:rsidRPr="00AE4411" w:rsidTr="007F790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&lt; Year 12</w:t>
            </w:r>
          </w:p>
        </w:tc>
        <w:tc>
          <w:tcPr>
            <w:tcW w:w="427" w:type="pct"/>
            <w:gridSpan w:val="2"/>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374</w:t>
            </w:r>
          </w:p>
        </w:tc>
        <w:tc>
          <w:tcPr>
            <w:tcW w:w="370" w:type="pct"/>
            <w:gridSpan w:val="2"/>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354</w:t>
            </w:r>
          </w:p>
        </w:tc>
        <w:tc>
          <w:tcPr>
            <w:tcW w:w="448"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460</w:t>
            </w:r>
          </w:p>
        </w:tc>
        <w:tc>
          <w:tcPr>
            <w:tcW w:w="463"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440</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500</w:t>
            </w:r>
          </w:p>
        </w:tc>
        <w:tc>
          <w:tcPr>
            <w:tcW w:w="464"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493</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539</w:t>
            </w:r>
          </w:p>
        </w:tc>
        <w:tc>
          <w:tcPr>
            <w:tcW w:w="462" w:type="pct"/>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531</w:t>
            </w:r>
          </w:p>
        </w:tc>
      </w:tr>
      <w:tr w:rsidR="000D6BC7" w:rsidRPr="00AE4411" w:rsidTr="007F790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Highest level of parent occupation</w:t>
            </w:r>
          </w:p>
        </w:tc>
      </w:tr>
      <w:tr w:rsidR="007A3E04" w:rsidRPr="00AE4411" w:rsidTr="007F790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Senior manager/professional</w:t>
            </w:r>
          </w:p>
        </w:tc>
        <w:tc>
          <w:tcPr>
            <w:tcW w:w="324"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466</w:t>
            </w:r>
          </w:p>
        </w:tc>
        <w:tc>
          <w:tcPr>
            <w:tcW w:w="451" w:type="pct"/>
            <w:gridSpan w:val="2"/>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435</w:t>
            </w:r>
          </w:p>
        </w:tc>
        <w:tc>
          <w:tcPr>
            <w:tcW w:w="470" w:type="pct"/>
            <w:gridSpan w:val="2"/>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543</w:t>
            </w:r>
          </w:p>
        </w:tc>
        <w:tc>
          <w:tcPr>
            <w:tcW w:w="463"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520</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583</w:t>
            </w:r>
          </w:p>
        </w:tc>
        <w:tc>
          <w:tcPr>
            <w:tcW w:w="464"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572</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614</w:t>
            </w:r>
          </w:p>
        </w:tc>
        <w:tc>
          <w:tcPr>
            <w:tcW w:w="462"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614</w:t>
            </w:r>
          </w:p>
        </w:tc>
      </w:tr>
      <w:tr w:rsidR="000D6BC7" w:rsidRPr="00AE4411" w:rsidTr="007F790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Manager/associate professional</w:t>
            </w:r>
          </w:p>
        </w:tc>
        <w:tc>
          <w:tcPr>
            <w:tcW w:w="324"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439</w:t>
            </w:r>
          </w:p>
        </w:tc>
        <w:tc>
          <w:tcPr>
            <w:tcW w:w="451" w:type="pct"/>
            <w:gridSpan w:val="2"/>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410</w:t>
            </w:r>
          </w:p>
        </w:tc>
        <w:tc>
          <w:tcPr>
            <w:tcW w:w="470" w:type="pct"/>
            <w:gridSpan w:val="2"/>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516</w:t>
            </w:r>
          </w:p>
        </w:tc>
        <w:tc>
          <w:tcPr>
            <w:tcW w:w="463"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494</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556</w:t>
            </w:r>
          </w:p>
        </w:tc>
        <w:tc>
          <w:tcPr>
            <w:tcW w:w="464"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541</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594</w:t>
            </w:r>
          </w:p>
        </w:tc>
        <w:tc>
          <w:tcPr>
            <w:tcW w:w="462"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591</w:t>
            </w:r>
          </w:p>
        </w:tc>
      </w:tr>
      <w:tr w:rsidR="007A3E04" w:rsidRPr="00AE4411" w:rsidTr="007F790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Missing/not stated</w:t>
            </w:r>
          </w:p>
        </w:tc>
        <w:tc>
          <w:tcPr>
            <w:tcW w:w="324"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418</w:t>
            </w:r>
          </w:p>
        </w:tc>
        <w:tc>
          <w:tcPr>
            <w:tcW w:w="451" w:type="pct"/>
            <w:gridSpan w:val="2"/>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398</w:t>
            </w:r>
          </w:p>
        </w:tc>
        <w:tc>
          <w:tcPr>
            <w:tcW w:w="470" w:type="pct"/>
            <w:gridSpan w:val="2"/>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506</w:t>
            </w:r>
          </w:p>
        </w:tc>
        <w:tc>
          <w:tcPr>
            <w:tcW w:w="463"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486</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533</w:t>
            </w:r>
          </w:p>
        </w:tc>
        <w:tc>
          <w:tcPr>
            <w:tcW w:w="464"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529</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570</w:t>
            </w:r>
          </w:p>
        </w:tc>
        <w:tc>
          <w:tcPr>
            <w:tcW w:w="462"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565</w:t>
            </w:r>
          </w:p>
        </w:tc>
      </w:tr>
      <w:tr w:rsidR="000D6BC7" w:rsidRPr="00AE4411" w:rsidTr="007F790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Trades/sales/office</w:t>
            </w:r>
          </w:p>
        </w:tc>
        <w:tc>
          <w:tcPr>
            <w:tcW w:w="324"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409</w:t>
            </w:r>
          </w:p>
        </w:tc>
        <w:tc>
          <w:tcPr>
            <w:tcW w:w="451" w:type="pct"/>
            <w:gridSpan w:val="2"/>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384</w:t>
            </w:r>
          </w:p>
        </w:tc>
        <w:tc>
          <w:tcPr>
            <w:tcW w:w="470" w:type="pct"/>
            <w:gridSpan w:val="2"/>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485</w:t>
            </w:r>
          </w:p>
        </w:tc>
        <w:tc>
          <w:tcPr>
            <w:tcW w:w="463"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461</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534</w:t>
            </w:r>
          </w:p>
        </w:tc>
        <w:tc>
          <w:tcPr>
            <w:tcW w:w="464"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521</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569</w:t>
            </w:r>
          </w:p>
        </w:tc>
        <w:tc>
          <w:tcPr>
            <w:tcW w:w="462"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556</w:t>
            </w:r>
          </w:p>
        </w:tc>
      </w:tr>
      <w:tr w:rsidR="007A3E04" w:rsidRPr="00AE4411" w:rsidTr="007F790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Labourers</w:t>
            </w:r>
          </w:p>
        </w:tc>
        <w:tc>
          <w:tcPr>
            <w:tcW w:w="324"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387</w:t>
            </w:r>
          </w:p>
        </w:tc>
        <w:tc>
          <w:tcPr>
            <w:tcW w:w="451" w:type="pct"/>
            <w:gridSpan w:val="2"/>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365</w:t>
            </w:r>
          </w:p>
        </w:tc>
        <w:tc>
          <w:tcPr>
            <w:tcW w:w="470" w:type="pct"/>
            <w:gridSpan w:val="2"/>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477</w:t>
            </w:r>
          </w:p>
        </w:tc>
        <w:tc>
          <w:tcPr>
            <w:tcW w:w="463"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459</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511</w:t>
            </w:r>
          </w:p>
        </w:tc>
        <w:tc>
          <w:tcPr>
            <w:tcW w:w="464"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507</w:t>
            </w:r>
          </w:p>
        </w:tc>
        <w:tc>
          <w:tcPr>
            <w:tcW w:w="447"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556</w:t>
            </w:r>
          </w:p>
        </w:tc>
        <w:tc>
          <w:tcPr>
            <w:tcW w:w="462" w:type="pct"/>
            <w:noWrap/>
            <w:hideMark/>
          </w:tcPr>
          <w:p w:rsidR="000D6BC7" w:rsidRPr="007F7908" w:rsidRDefault="000D6BC7" w:rsidP="007F79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549</w:t>
            </w:r>
          </w:p>
        </w:tc>
      </w:tr>
      <w:tr w:rsidR="000D6BC7" w:rsidRPr="00AE4411" w:rsidTr="007F790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2" w:type="pct"/>
            <w:noWrap/>
            <w:hideMark/>
          </w:tcPr>
          <w:p w:rsidR="000D6BC7" w:rsidRPr="007F7908" w:rsidRDefault="000D6BC7" w:rsidP="007F7908">
            <w:pPr>
              <w:rPr>
                <w:rFonts w:asciiTheme="minorHAnsi" w:hAnsiTheme="minorHAnsi"/>
                <w:color w:val="000000"/>
                <w:sz w:val="20"/>
                <w:szCs w:val="20"/>
                <w:lang w:eastAsia="en-AU"/>
              </w:rPr>
            </w:pPr>
            <w:r w:rsidRPr="007F7908">
              <w:rPr>
                <w:rFonts w:asciiTheme="minorHAnsi" w:hAnsiTheme="minorHAnsi"/>
                <w:color w:val="000000"/>
                <w:sz w:val="20"/>
                <w:szCs w:val="20"/>
                <w:lang w:eastAsia="en-AU"/>
              </w:rPr>
              <w:t>Not in paid work</w:t>
            </w:r>
          </w:p>
        </w:tc>
        <w:tc>
          <w:tcPr>
            <w:tcW w:w="324"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386</w:t>
            </w:r>
          </w:p>
        </w:tc>
        <w:tc>
          <w:tcPr>
            <w:tcW w:w="451" w:type="pct"/>
            <w:gridSpan w:val="2"/>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366</w:t>
            </w:r>
          </w:p>
        </w:tc>
        <w:tc>
          <w:tcPr>
            <w:tcW w:w="470" w:type="pct"/>
            <w:gridSpan w:val="2"/>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474</w:t>
            </w:r>
          </w:p>
        </w:tc>
        <w:tc>
          <w:tcPr>
            <w:tcW w:w="463"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452</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526</w:t>
            </w:r>
          </w:p>
        </w:tc>
        <w:tc>
          <w:tcPr>
            <w:tcW w:w="464"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511</w:t>
            </w:r>
          </w:p>
        </w:tc>
        <w:tc>
          <w:tcPr>
            <w:tcW w:w="447"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557</w:t>
            </w:r>
          </w:p>
        </w:tc>
        <w:tc>
          <w:tcPr>
            <w:tcW w:w="462" w:type="pct"/>
            <w:noWrap/>
            <w:hideMark/>
          </w:tcPr>
          <w:p w:rsidR="000D6BC7" w:rsidRPr="007F7908" w:rsidRDefault="000D6BC7" w:rsidP="007F790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0"/>
                <w:szCs w:val="20"/>
                <w:lang w:eastAsia="en-AU"/>
              </w:rPr>
            </w:pPr>
            <w:r w:rsidRPr="007F7908">
              <w:rPr>
                <w:rFonts w:asciiTheme="minorHAnsi" w:hAnsiTheme="minorHAnsi"/>
                <w:color w:val="000000"/>
                <w:sz w:val="20"/>
                <w:szCs w:val="20"/>
                <w:lang w:eastAsia="en-AU"/>
              </w:rPr>
              <w:t>544</w:t>
            </w:r>
          </w:p>
        </w:tc>
      </w:tr>
    </w:tbl>
    <w:p w:rsidR="002B4542" w:rsidRPr="00AE4411" w:rsidRDefault="000D6BC7" w:rsidP="00FE6390">
      <w:pPr>
        <w:pStyle w:val="AccessibleBody"/>
        <w:spacing w:before="20"/>
        <w:rPr>
          <w:szCs w:val="24"/>
        </w:rPr>
      </w:pPr>
      <w:r w:rsidRPr="00AE4411">
        <w:rPr>
          <w:sz w:val="18"/>
          <w:szCs w:val="18"/>
        </w:rPr>
        <w:t>Fig 1 – NAPLAN outcomes for the ACT by the SES status of parents</w:t>
      </w:r>
    </w:p>
    <w:p w:rsidR="00AE4411" w:rsidRDefault="00AE4411">
      <w:pPr>
        <w:spacing w:after="0" w:line="240" w:lineRule="auto"/>
        <w:rPr>
          <w:rFonts w:eastAsia="Times New Roman"/>
          <w:sz w:val="24"/>
          <w:szCs w:val="24"/>
        </w:rPr>
      </w:pPr>
      <w:r>
        <w:rPr>
          <w:szCs w:val="24"/>
        </w:rPr>
        <w:br w:type="page"/>
      </w:r>
    </w:p>
    <w:p w:rsidR="002B4542" w:rsidRPr="00AE4411" w:rsidRDefault="00547E85" w:rsidP="00FE6390">
      <w:pPr>
        <w:pStyle w:val="AccessibleBody"/>
        <w:rPr>
          <w:szCs w:val="24"/>
        </w:rPr>
      </w:pPr>
      <w:r w:rsidRPr="00AE4411">
        <w:rPr>
          <w:szCs w:val="24"/>
        </w:rPr>
        <w:lastRenderedPageBreak/>
        <w:t xml:space="preserve">When undertaken for the population of students in ACT public schools, the analysis shows that the gap between the lowest SES group of students based on parental education (those whose parents had not completed year 12) and the highest SES group of students (those with parents with a university qualification) was approximately 80 points across all year levels. </w:t>
      </w:r>
    </w:p>
    <w:p w:rsidR="00547E85" w:rsidRPr="00AE4411" w:rsidRDefault="004B14CF" w:rsidP="00547E85">
      <w:pPr>
        <w:rPr>
          <w:sz w:val="24"/>
          <w:szCs w:val="24"/>
        </w:rPr>
      </w:pPr>
      <w:r>
        <w:rPr>
          <w:noProof/>
          <w:shd w:val="clear" w:color="auto" w:fill="D99594" w:themeFill="accent2" w:themeFillTint="99"/>
          <w:lang w:eastAsia="en-AU"/>
        </w:rPr>
        <mc:AlternateContent>
          <mc:Choice Requires="wps">
            <w:drawing>
              <wp:anchor distT="91440" distB="91440" distL="114300" distR="114300" simplePos="0" relativeHeight="251660800" behindDoc="0" locked="0" layoutInCell="0" allowOverlap="1">
                <wp:simplePos x="0" y="0"/>
                <wp:positionH relativeFrom="margin">
                  <wp:posOffset>-146685</wp:posOffset>
                </wp:positionH>
                <wp:positionV relativeFrom="margin">
                  <wp:posOffset>2529840</wp:posOffset>
                </wp:positionV>
                <wp:extent cx="5913120" cy="2517775"/>
                <wp:effectExtent l="15240" t="15240" r="15240" b="10160"/>
                <wp:wrapSquare wrapText="bothSides"/>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13120" cy="251777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E0AC1" w:rsidRPr="00735FFD" w:rsidRDefault="007E0AC1" w:rsidP="00735FFD">
                            <w:r w:rsidRPr="00735FFD">
                              <w:t>ISSUES</w:t>
                            </w:r>
                          </w:p>
                          <w:p w:rsidR="007E0AC1" w:rsidRPr="00735FFD" w:rsidRDefault="007E0AC1" w:rsidP="00735FFD">
                            <w:r w:rsidRPr="00735FFD">
                              <w:t>The Education Directorate now collects data on the school enrolment form of the ECEC experience of children prior to enrolment in preschool or Kindergarten.</w:t>
                            </w:r>
                            <w:r>
                              <w:t xml:space="preserve"> </w:t>
                            </w:r>
                            <w:r w:rsidRPr="00735FFD">
                              <w:t>The information will enable an assessment of the developmental progres</w:t>
                            </w:r>
                            <w:r>
                              <w:t>s of children who have or haven no</w:t>
                            </w:r>
                            <w:r w:rsidRPr="00735FFD">
                              <w:t>t attended the different ECEC providers in the ACT. The first set of data should be available in 2019.</w:t>
                            </w:r>
                          </w:p>
                          <w:p w:rsidR="007E0AC1" w:rsidRPr="00735FFD" w:rsidRDefault="007E0AC1" w:rsidP="00735FFD">
                            <w:r w:rsidRPr="00735FFD">
                              <w:t>Is there other data that should be considered or collected as children transition from early childhood to school?</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margin-left:-11.55pt;margin-top:199.2pt;width:465.6pt;height:198.25pt;flip:x;z-index:251660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" o:allowincell="f" filled="f" fillcolor="black [3213]" strokecolor="black [3213]" strokeweight="1.5pt">
                <v:shadow color="#f79646 [3209]" opacity=".5" offset="-15pt,0"/>
                <v:textbox style="mso-fit-shape-to-text:t" inset="21.6pt,21.6pt,21.6pt,21.6pt">
                  <w:txbxContent>
                    <w:p w:rsidR="007E0AC1" w:rsidRPr="00735FFD" w:rsidRDefault="007E0AC1" w:rsidP="00735FFD">
                      <w:r w:rsidRPr="00735FFD">
                        <w:t>ISSUES</w:t>
                      </w:r>
                    </w:p>
                    <w:p w:rsidR="007E0AC1" w:rsidRPr="00735FFD" w:rsidRDefault="007E0AC1" w:rsidP="00735FFD">
                      <w:r w:rsidRPr="00735FFD">
                        <w:t>The Education Directorate now collects data on the school enrolment form of the ECEC experience of children prior to enrolment in preschool or Kindergarten.</w:t>
                      </w:r>
                      <w:r>
                        <w:t xml:space="preserve"> </w:t>
                      </w:r>
                      <w:r w:rsidRPr="00735FFD">
                        <w:t>The information will enable an assessment of the developmental progres</w:t>
                      </w:r>
                      <w:r>
                        <w:t>s of children who have or haven no</w:t>
                      </w:r>
                      <w:r w:rsidRPr="00735FFD">
                        <w:t>t attended the different ECEC providers in the ACT. The first set of data should be available in 2019.</w:t>
                      </w:r>
                    </w:p>
                    <w:p w:rsidR="007E0AC1" w:rsidRPr="00735FFD" w:rsidRDefault="007E0AC1" w:rsidP="00735FFD">
                      <w:r w:rsidRPr="00735FFD">
                        <w:t>Is there other data that should be considered or collected as children transition from early childhood to school?</w:t>
                      </w:r>
                    </w:p>
                  </w:txbxContent>
                </v:textbox>
                <w10:wrap type="square" anchorx="margin" anchory="margin"/>
              </v:rect>
            </w:pict>
          </mc:Fallback>
        </mc:AlternateContent>
      </w:r>
      <w:r w:rsidR="00547E85" w:rsidRPr="00AE4411">
        <w:rPr>
          <w:sz w:val="24"/>
          <w:szCs w:val="24"/>
        </w:rPr>
        <w:t>In years 3 and 5 this is considered to be equivalent to approximately two years of schooling, and in years 7 and 9 this can be considered to be up to four years of schooling. Figure 2 shows the impact of the gap. By year 5, low SES students are performing at an equivalent level to year 3 high SES students. By year 9, low SES students are performing at an equivalent level to year 5 high SES students.</w:t>
      </w:r>
      <w:r w:rsidR="00547E85" w:rsidRPr="00AE4411">
        <w:rPr>
          <w:rStyle w:val="FootnoteReference"/>
          <w:sz w:val="24"/>
          <w:szCs w:val="24"/>
        </w:rPr>
        <w:footnoteReference w:id="3"/>
      </w:r>
    </w:p>
    <w:p w:rsidR="00BF76E3" w:rsidRPr="00AE4411" w:rsidRDefault="002072BA" w:rsidP="00841FED">
      <w:pPr>
        <w:pStyle w:val="PolicyHeading3-Accessible"/>
      </w:pPr>
      <w:bookmarkStart w:id="16" w:name="_Toc453155096"/>
      <w:bookmarkStart w:id="17" w:name="_Toc509497639"/>
      <w:bookmarkEnd w:id="6"/>
      <w:r w:rsidRPr="00AE4411">
        <w:t>Scope</w:t>
      </w:r>
      <w:r w:rsidR="00C5022F" w:rsidRPr="00AE4411">
        <w:t>,</w:t>
      </w:r>
      <w:r w:rsidRPr="00AE4411">
        <w:t xml:space="preserve"> </w:t>
      </w:r>
      <w:r w:rsidR="0064613B" w:rsidRPr="00AE4411">
        <w:t xml:space="preserve">Boundaries and </w:t>
      </w:r>
      <w:r w:rsidR="004D5711" w:rsidRPr="00AE4411">
        <w:t>Interpretation</w:t>
      </w:r>
      <w:bookmarkEnd w:id="16"/>
      <w:bookmarkEnd w:id="17"/>
    </w:p>
    <w:p w:rsidR="0064613B" w:rsidRPr="00AE4411" w:rsidRDefault="00C5022F" w:rsidP="003B34FC">
      <w:pPr>
        <w:pStyle w:val="AccessibleBody"/>
      </w:pPr>
      <w:r w:rsidRPr="00AE4411">
        <w:t xml:space="preserve">For the 2016 </w:t>
      </w:r>
      <w:r w:rsidR="001135FA" w:rsidRPr="00AE4411">
        <w:t>Review</w:t>
      </w:r>
      <w:r w:rsidR="004D5711" w:rsidRPr="00AE4411">
        <w:t xml:space="preserve">, the </w:t>
      </w:r>
      <w:r w:rsidR="001135FA" w:rsidRPr="00AE4411">
        <w:t>Review</w:t>
      </w:r>
      <w:r w:rsidR="00070B0C">
        <w:t xml:space="preserve"> Team </w:t>
      </w:r>
      <w:r w:rsidR="00477A85" w:rsidRPr="00AE4411">
        <w:t xml:space="preserve">focused on </w:t>
      </w:r>
      <w:r w:rsidR="003602CD">
        <w:t xml:space="preserve">non-government centre based </w:t>
      </w:r>
      <w:r w:rsidR="00477A85" w:rsidRPr="00AE4411">
        <w:t>education and care services</w:t>
      </w:r>
      <w:r w:rsidR="003602CD">
        <w:t xml:space="preserve">. </w:t>
      </w:r>
      <w:r w:rsidR="00282A9C" w:rsidRPr="00AE4411">
        <w:t xml:space="preserve">Early childhood education </w:t>
      </w:r>
      <w:r w:rsidR="008C53CE" w:rsidRPr="00AE4411">
        <w:t xml:space="preserve">and care </w:t>
      </w:r>
      <w:r w:rsidR="00282A9C" w:rsidRPr="00AE4411">
        <w:t xml:space="preserve">services </w:t>
      </w:r>
      <w:r w:rsidR="00FB5A28" w:rsidRPr="00AE4411">
        <w:t>provided</w:t>
      </w:r>
      <w:r w:rsidR="00282A9C" w:rsidRPr="00AE4411">
        <w:t xml:space="preserve"> </w:t>
      </w:r>
      <w:r w:rsidR="002C798F" w:rsidRPr="00AE4411">
        <w:t xml:space="preserve">through </w:t>
      </w:r>
      <w:r w:rsidR="0064613B" w:rsidRPr="00AE4411">
        <w:t xml:space="preserve">ACT Government preschools </w:t>
      </w:r>
      <w:r w:rsidRPr="00AE4411">
        <w:t xml:space="preserve">were </w:t>
      </w:r>
      <w:r w:rsidR="0064613B" w:rsidRPr="00AE4411">
        <w:t>excluded</w:t>
      </w:r>
      <w:r w:rsidRPr="00AE4411">
        <w:t>.</w:t>
      </w:r>
      <w:r w:rsidR="00070B0C">
        <w:t xml:space="preserve"> </w:t>
      </w:r>
      <w:r w:rsidR="0064613B" w:rsidRPr="00AE4411">
        <w:t xml:space="preserve">However, the intersection between ECEC services and Government preschools </w:t>
      </w:r>
      <w:r w:rsidRPr="00AE4411">
        <w:t xml:space="preserve">was </w:t>
      </w:r>
      <w:r w:rsidR="0064613B" w:rsidRPr="00AE4411">
        <w:t xml:space="preserve">included in the </w:t>
      </w:r>
      <w:r w:rsidR="001135FA" w:rsidRPr="00AE4411">
        <w:t>Review</w:t>
      </w:r>
      <w:r w:rsidR="0064613B" w:rsidRPr="00AE4411">
        <w:t xml:space="preserve"> scope. N</w:t>
      </w:r>
      <w:r w:rsidR="00282A9C" w:rsidRPr="00AE4411">
        <w:t>on-government preschools attached to a school</w:t>
      </w:r>
      <w:r w:rsidR="00710B04" w:rsidRPr="00AE4411">
        <w:t xml:space="preserve"> in the two years prior to year one were </w:t>
      </w:r>
      <w:r w:rsidR="0064613B" w:rsidRPr="00AE4411">
        <w:t xml:space="preserve">also included in the </w:t>
      </w:r>
      <w:r w:rsidR="001135FA" w:rsidRPr="00AE4411">
        <w:t>Review</w:t>
      </w:r>
      <w:r w:rsidR="0064613B" w:rsidRPr="00AE4411">
        <w:t xml:space="preserve"> scope</w:t>
      </w:r>
      <w:r w:rsidRPr="00AE4411">
        <w:t xml:space="preserve"> because these services </w:t>
      </w:r>
      <w:r w:rsidR="003602CD">
        <w:t>are also centre based services.</w:t>
      </w:r>
      <w:r w:rsidR="00000DAE" w:rsidRPr="00AE4411">
        <w:t xml:space="preserve"> </w:t>
      </w:r>
    </w:p>
    <w:p w:rsidR="00293994" w:rsidRPr="00AE4411" w:rsidRDefault="00293994" w:rsidP="003B34FC">
      <w:pPr>
        <w:pStyle w:val="AccessibleBody"/>
      </w:pPr>
      <w:r w:rsidRPr="00AE4411">
        <w:t>E</w:t>
      </w:r>
      <w:r w:rsidR="00070B0C">
        <w:t xml:space="preserve">CEC </w:t>
      </w:r>
      <w:r w:rsidRPr="00AE4411">
        <w:t>services provided through a Family Day Care service,</w:t>
      </w:r>
      <w:r w:rsidR="00942548" w:rsidRPr="00AE4411">
        <w:t xml:space="preserve"> outside school</w:t>
      </w:r>
      <w:r w:rsidR="0064613B" w:rsidRPr="00AE4411">
        <w:t>-</w:t>
      </w:r>
      <w:r w:rsidR="00225917" w:rsidRPr="00AE4411">
        <w:t>hours</w:t>
      </w:r>
      <w:r w:rsidR="00942548" w:rsidRPr="00AE4411">
        <w:t xml:space="preserve"> care, occasional care</w:t>
      </w:r>
      <w:r w:rsidRPr="00AE4411">
        <w:t xml:space="preserve"> or by parents at home or through any other private arrangement </w:t>
      </w:r>
      <w:r w:rsidR="0064613B" w:rsidRPr="00AE4411">
        <w:t>were</w:t>
      </w:r>
      <w:r w:rsidR="002C798F" w:rsidRPr="00AE4411">
        <w:t xml:space="preserve"> largely</w:t>
      </w:r>
      <w:r w:rsidRPr="00AE4411">
        <w:t xml:space="preserve"> excluded from the scope of th</w:t>
      </w:r>
      <w:r w:rsidR="00C5022F" w:rsidRPr="00AE4411">
        <w:t>e</w:t>
      </w:r>
      <w:r w:rsidRPr="00AE4411">
        <w:t xml:space="preserve"> </w:t>
      </w:r>
      <w:r w:rsidR="001135FA" w:rsidRPr="00AE4411">
        <w:t>Review</w:t>
      </w:r>
      <w:r w:rsidRPr="00AE4411">
        <w:t>.</w:t>
      </w:r>
      <w:r w:rsidR="008D29D4" w:rsidRPr="00AE4411">
        <w:t xml:space="preserve"> This exclusion was for practical reasons and is not without recognition of the important role that Family Day Care services provide in the ACT.</w:t>
      </w:r>
    </w:p>
    <w:p w:rsidR="004D5711" w:rsidRDefault="00293994" w:rsidP="003B34FC">
      <w:pPr>
        <w:pStyle w:val="AccessibleBody"/>
      </w:pPr>
      <w:r w:rsidRPr="00AE4411">
        <w:lastRenderedPageBreak/>
        <w:t xml:space="preserve">Access to </w:t>
      </w:r>
      <w:r w:rsidR="0064613B" w:rsidRPr="00AE4411">
        <w:t xml:space="preserve">ECEC </w:t>
      </w:r>
      <w:r w:rsidRPr="00AE4411">
        <w:t xml:space="preserve">services </w:t>
      </w:r>
      <w:r w:rsidR="0064613B" w:rsidRPr="00AE4411">
        <w:t xml:space="preserve">was defined </w:t>
      </w:r>
      <w:r w:rsidRPr="00AE4411">
        <w:t>as the ability of a person to reasonably gain access for their child</w:t>
      </w:r>
      <w:r w:rsidR="00667DA6" w:rsidRPr="00AE4411">
        <w:t xml:space="preserve"> or </w:t>
      </w:r>
      <w:r w:rsidRPr="00AE4411">
        <w:t>children to a</w:t>
      </w:r>
      <w:r w:rsidR="0064613B" w:rsidRPr="00AE4411">
        <w:t>n in</w:t>
      </w:r>
      <w:r w:rsidR="008D29D4" w:rsidRPr="00AE4411">
        <w:t>-</w:t>
      </w:r>
      <w:r w:rsidR="0064613B" w:rsidRPr="00AE4411">
        <w:t xml:space="preserve">scope </w:t>
      </w:r>
      <w:r w:rsidRPr="00AE4411">
        <w:t xml:space="preserve">service. </w:t>
      </w:r>
      <w:r w:rsidR="00424BCE" w:rsidRPr="00AE4411">
        <w:t>‘</w:t>
      </w:r>
      <w:r w:rsidRPr="00AE4411">
        <w:t>Reasonable</w:t>
      </w:r>
      <w:r w:rsidR="00424BCE" w:rsidRPr="00AE4411">
        <w:t>’</w:t>
      </w:r>
      <w:r w:rsidRPr="00AE4411">
        <w:t xml:space="preserve"> includes consideration of the location of such services, the hours of opening, and the cost of access. </w:t>
      </w:r>
      <w:r w:rsidR="00667DA6" w:rsidRPr="00AE4411">
        <w:t>These</w:t>
      </w:r>
      <w:r w:rsidRPr="00AE4411">
        <w:t xml:space="preserve"> considerations are </w:t>
      </w:r>
      <w:r w:rsidR="000E44EA" w:rsidRPr="00AE4411">
        <w:t xml:space="preserve">analysed </w:t>
      </w:r>
      <w:r w:rsidRPr="00AE4411">
        <w:t>relative to</w:t>
      </w:r>
      <w:r w:rsidR="00667DA6" w:rsidRPr="00AE4411">
        <w:t xml:space="preserve"> factors that may </w:t>
      </w:r>
      <w:r w:rsidR="000E44EA" w:rsidRPr="00AE4411">
        <w:t>alter accessibility for an individual</w:t>
      </w:r>
      <w:r w:rsidRPr="00AE4411">
        <w:t xml:space="preserve"> person</w:t>
      </w:r>
      <w:r w:rsidR="000E44EA" w:rsidRPr="00AE4411">
        <w:t xml:space="preserve"> or</w:t>
      </w:r>
      <w:r w:rsidR="00070B0C">
        <w:t xml:space="preserve"> </w:t>
      </w:r>
      <w:r w:rsidRPr="00AE4411">
        <w:t>family</w:t>
      </w:r>
      <w:r w:rsidR="000E44EA" w:rsidRPr="00AE4411">
        <w:t xml:space="preserve"> such as</w:t>
      </w:r>
      <w:r w:rsidRPr="00AE4411">
        <w:t xml:space="preserve"> social</w:t>
      </w:r>
      <w:r w:rsidR="000E44EA" w:rsidRPr="00AE4411">
        <w:t xml:space="preserve"> or financial constraints.</w:t>
      </w:r>
    </w:p>
    <w:p w:rsidR="00C354DA" w:rsidRDefault="00C354DA" w:rsidP="003B34FC">
      <w:pPr>
        <w:pStyle w:val="AccessibleBody"/>
        <w:sectPr w:rsidR="00C354DA" w:rsidSect="004D0A6D">
          <w:pgSz w:w="11906" w:h="16838"/>
          <w:pgMar w:top="1440" w:right="1440" w:bottom="1276" w:left="1440"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p>
    <w:p w:rsidR="00541AE4" w:rsidRPr="00AE4411" w:rsidRDefault="008D29D4" w:rsidP="001E5AA4">
      <w:pPr>
        <w:pStyle w:val="PolicyHeading2-Accessible"/>
      </w:pPr>
      <w:bookmarkStart w:id="18" w:name="_Toc453155099"/>
      <w:bookmarkStart w:id="19" w:name="_Toc509497640"/>
      <w:r w:rsidRPr="00AE4411">
        <w:lastRenderedPageBreak/>
        <w:t>Description of Early Childhood Education and Care in the AC</w:t>
      </w:r>
      <w:bookmarkEnd w:id="18"/>
      <w:r w:rsidRPr="00AE4411">
        <w:t>T</w:t>
      </w:r>
      <w:bookmarkEnd w:id="19"/>
    </w:p>
    <w:p w:rsidR="002C798F" w:rsidRPr="00AE4411" w:rsidRDefault="00571F51" w:rsidP="00571F51">
      <w:pPr>
        <w:rPr>
          <w:sz w:val="24"/>
          <w:szCs w:val="24"/>
        </w:rPr>
      </w:pPr>
      <w:r w:rsidRPr="00AE4411">
        <w:rPr>
          <w:sz w:val="24"/>
          <w:szCs w:val="24"/>
        </w:rPr>
        <w:t xml:space="preserve">This </w:t>
      </w:r>
      <w:r w:rsidR="00C5022F" w:rsidRPr="00AE4411">
        <w:rPr>
          <w:sz w:val="24"/>
          <w:szCs w:val="24"/>
        </w:rPr>
        <w:t>part of the paper</w:t>
      </w:r>
      <w:r w:rsidRPr="00AE4411">
        <w:rPr>
          <w:sz w:val="24"/>
          <w:szCs w:val="24"/>
        </w:rPr>
        <w:t xml:space="preserve"> describes the current operating context of ECEC services in the ACT. The </w:t>
      </w:r>
      <w:r w:rsidR="00C5022F" w:rsidRPr="00AE4411">
        <w:rPr>
          <w:sz w:val="24"/>
          <w:szCs w:val="24"/>
        </w:rPr>
        <w:t xml:space="preserve">2016 </w:t>
      </w:r>
      <w:r w:rsidR="001135FA" w:rsidRPr="00AE4411">
        <w:rPr>
          <w:sz w:val="24"/>
          <w:szCs w:val="24"/>
        </w:rPr>
        <w:t>Review</w:t>
      </w:r>
      <w:r w:rsidRPr="00AE4411">
        <w:rPr>
          <w:sz w:val="24"/>
          <w:szCs w:val="24"/>
        </w:rPr>
        <w:t xml:space="preserve"> </w:t>
      </w:r>
      <w:r w:rsidR="002C798F" w:rsidRPr="00AE4411">
        <w:rPr>
          <w:sz w:val="24"/>
          <w:szCs w:val="24"/>
        </w:rPr>
        <w:t>notes</w:t>
      </w:r>
      <w:r w:rsidRPr="00AE4411">
        <w:rPr>
          <w:sz w:val="24"/>
          <w:szCs w:val="24"/>
        </w:rPr>
        <w:t xml:space="preserve"> that </w:t>
      </w:r>
      <w:r w:rsidR="003D2CF9" w:rsidRPr="00AE4411">
        <w:rPr>
          <w:sz w:val="24"/>
          <w:szCs w:val="24"/>
        </w:rPr>
        <w:t xml:space="preserve">there is not an overarching policy framework for ECEC in the ACT that addresses the role and objectives of the ACT Government in this area. </w:t>
      </w:r>
    </w:p>
    <w:p w:rsidR="003D2CF9" w:rsidRPr="00AE4411" w:rsidRDefault="003D2CF9" w:rsidP="00571F51">
      <w:pPr>
        <w:rPr>
          <w:sz w:val="24"/>
          <w:szCs w:val="24"/>
        </w:rPr>
      </w:pPr>
      <w:r w:rsidRPr="00AE4411">
        <w:rPr>
          <w:sz w:val="24"/>
          <w:szCs w:val="24"/>
        </w:rPr>
        <w:t xml:space="preserve">The </w:t>
      </w:r>
      <w:r w:rsidR="001135FA" w:rsidRPr="00AE4411">
        <w:rPr>
          <w:sz w:val="24"/>
          <w:szCs w:val="24"/>
        </w:rPr>
        <w:t>Review</w:t>
      </w:r>
      <w:r w:rsidRPr="00AE4411">
        <w:rPr>
          <w:sz w:val="24"/>
          <w:szCs w:val="24"/>
        </w:rPr>
        <w:t xml:space="preserve"> also found that </w:t>
      </w:r>
      <w:r w:rsidR="00571F51" w:rsidRPr="00AE4411">
        <w:rPr>
          <w:sz w:val="24"/>
          <w:szCs w:val="24"/>
        </w:rPr>
        <w:t>the ECEC sector in the ACT is currently in a state of flux and has been since</w:t>
      </w:r>
      <w:r w:rsidR="002C798F" w:rsidRPr="00AE4411">
        <w:rPr>
          <w:sz w:val="24"/>
          <w:szCs w:val="24"/>
        </w:rPr>
        <w:t xml:space="preserve"> at least</w:t>
      </w:r>
      <w:r w:rsidR="00571F51" w:rsidRPr="00AE4411">
        <w:rPr>
          <w:sz w:val="24"/>
          <w:szCs w:val="24"/>
        </w:rPr>
        <w:t xml:space="preserve"> 2011. Not only did the </w:t>
      </w:r>
      <w:r w:rsidR="001135FA" w:rsidRPr="00AE4411">
        <w:rPr>
          <w:sz w:val="24"/>
          <w:szCs w:val="24"/>
        </w:rPr>
        <w:t>Review</w:t>
      </w:r>
      <w:r w:rsidR="00571F51" w:rsidRPr="00AE4411">
        <w:rPr>
          <w:sz w:val="24"/>
          <w:szCs w:val="24"/>
        </w:rPr>
        <w:t xml:space="preserve"> show that there is a considerable change in the number of service providers and in the number of places available to parents, but that there is also a very significant change in the profile of workers in the sector and in the way in which these workers are being engaged and managed. </w:t>
      </w:r>
    </w:p>
    <w:p w:rsidR="00C5022F" w:rsidRPr="00AE4411" w:rsidRDefault="00571F51" w:rsidP="00571F51">
      <w:pPr>
        <w:rPr>
          <w:sz w:val="24"/>
          <w:szCs w:val="24"/>
        </w:rPr>
      </w:pPr>
      <w:r w:rsidRPr="00AE4411">
        <w:rPr>
          <w:sz w:val="24"/>
          <w:szCs w:val="24"/>
        </w:rPr>
        <w:t xml:space="preserve">Finally, the </w:t>
      </w:r>
      <w:r w:rsidR="001135FA" w:rsidRPr="00AE4411">
        <w:rPr>
          <w:sz w:val="24"/>
          <w:szCs w:val="24"/>
        </w:rPr>
        <w:t>Review</w:t>
      </w:r>
      <w:r w:rsidRPr="00AE4411">
        <w:rPr>
          <w:sz w:val="24"/>
          <w:szCs w:val="24"/>
        </w:rPr>
        <w:t xml:space="preserve"> found that there is a change in the perception among parents and among service providers of the sector as a provider of an early education service, not simply a child minding service, a point made several times by service providers at a consultative </w:t>
      </w:r>
      <w:r w:rsidR="008C1EAF" w:rsidRPr="00AE4411">
        <w:rPr>
          <w:sz w:val="24"/>
          <w:szCs w:val="24"/>
        </w:rPr>
        <w:t>Forum</w:t>
      </w:r>
      <w:r w:rsidRPr="00AE4411">
        <w:rPr>
          <w:sz w:val="24"/>
          <w:szCs w:val="24"/>
        </w:rPr>
        <w:t xml:space="preserve"> on 1 July</w:t>
      </w:r>
      <w:r w:rsidR="00C5022F" w:rsidRPr="00AE4411">
        <w:rPr>
          <w:sz w:val="24"/>
          <w:szCs w:val="24"/>
        </w:rPr>
        <w:t xml:space="preserve"> 2016</w:t>
      </w:r>
      <w:r w:rsidRPr="00AE4411">
        <w:rPr>
          <w:sz w:val="24"/>
          <w:szCs w:val="24"/>
        </w:rPr>
        <w:t xml:space="preserve">. </w:t>
      </w:r>
    </w:p>
    <w:p w:rsidR="008D29D4" w:rsidRPr="00AE4411" w:rsidRDefault="008D29D4" w:rsidP="00841FED">
      <w:pPr>
        <w:pStyle w:val="PolicyHeading3-Accessible"/>
      </w:pPr>
      <w:bookmarkStart w:id="20" w:name="_Toc509497641"/>
      <w:r w:rsidRPr="00AE4411">
        <w:t>Policy framework for Early Childhood Education</w:t>
      </w:r>
      <w:bookmarkEnd w:id="20"/>
    </w:p>
    <w:p w:rsidR="002E2409" w:rsidRPr="00070B0C" w:rsidRDefault="003D3A71" w:rsidP="00070B0C">
      <w:pPr>
        <w:rPr>
          <w:sz w:val="24"/>
          <w:szCs w:val="24"/>
        </w:rPr>
      </w:pPr>
      <w:r w:rsidRPr="00070B0C">
        <w:rPr>
          <w:sz w:val="24"/>
          <w:szCs w:val="24"/>
        </w:rPr>
        <w:t>The ACT is a participant in the National Quality Framework (NQF) fo</w:t>
      </w:r>
      <w:r w:rsidR="00070B0C" w:rsidRPr="00070B0C">
        <w:rPr>
          <w:sz w:val="24"/>
          <w:szCs w:val="24"/>
        </w:rPr>
        <w:t xml:space="preserve">r Education and Care Services. </w:t>
      </w:r>
      <w:r w:rsidRPr="00070B0C">
        <w:rPr>
          <w:sz w:val="24"/>
          <w:szCs w:val="24"/>
        </w:rPr>
        <w:t xml:space="preserve">The ACT applies </w:t>
      </w:r>
      <w:r w:rsidRPr="00070B0C">
        <w:rPr>
          <w:i/>
          <w:sz w:val="24"/>
          <w:szCs w:val="24"/>
        </w:rPr>
        <w:t xml:space="preserve">Education and Care Services National Law </w:t>
      </w:r>
      <w:r w:rsidRPr="00070B0C">
        <w:rPr>
          <w:sz w:val="24"/>
          <w:szCs w:val="24"/>
        </w:rPr>
        <w:t>(</w:t>
      </w:r>
      <w:r w:rsidRPr="00070B0C">
        <w:rPr>
          <w:i/>
          <w:sz w:val="24"/>
          <w:szCs w:val="24"/>
        </w:rPr>
        <w:t>National Law</w:t>
      </w:r>
      <w:r w:rsidRPr="00070B0C">
        <w:rPr>
          <w:sz w:val="24"/>
          <w:szCs w:val="24"/>
        </w:rPr>
        <w:t>) under the NQF.</w:t>
      </w:r>
    </w:p>
    <w:p w:rsidR="002E2409" w:rsidRPr="00070B0C" w:rsidRDefault="003D3A71" w:rsidP="00070B0C">
      <w:pPr>
        <w:rPr>
          <w:sz w:val="24"/>
          <w:szCs w:val="24"/>
        </w:rPr>
      </w:pPr>
      <w:r w:rsidRPr="00070B0C">
        <w:rPr>
          <w:sz w:val="24"/>
          <w:szCs w:val="24"/>
        </w:rPr>
        <w:t xml:space="preserve">The </w:t>
      </w:r>
      <w:r w:rsidRPr="00070B0C">
        <w:rPr>
          <w:i/>
          <w:sz w:val="24"/>
          <w:szCs w:val="24"/>
        </w:rPr>
        <w:t>National Law</w:t>
      </w:r>
      <w:r w:rsidRPr="00070B0C">
        <w:rPr>
          <w:sz w:val="24"/>
          <w:szCs w:val="24"/>
        </w:rPr>
        <w:t xml:space="preserve"> regulates early childhood education and care services, such as long day care, outside school hours care, government and independent preschools and family day care.</w:t>
      </w:r>
    </w:p>
    <w:p w:rsidR="002E2409" w:rsidRPr="00070B0C" w:rsidRDefault="003D3A71" w:rsidP="00070B0C">
      <w:pPr>
        <w:rPr>
          <w:sz w:val="24"/>
          <w:szCs w:val="24"/>
        </w:rPr>
      </w:pPr>
      <w:r w:rsidRPr="00070B0C">
        <w:rPr>
          <w:sz w:val="24"/>
          <w:szCs w:val="24"/>
        </w:rPr>
        <w:t xml:space="preserve">The Minister for Education and Early Childhood Development is responsible for the governance of the </w:t>
      </w:r>
      <w:r w:rsidRPr="00070B0C">
        <w:rPr>
          <w:i/>
          <w:sz w:val="24"/>
          <w:szCs w:val="24"/>
        </w:rPr>
        <w:t>Education and Care Services National Law (ACT) Act 2011</w:t>
      </w:r>
      <w:r w:rsidRPr="00070B0C">
        <w:rPr>
          <w:sz w:val="24"/>
          <w:szCs w:val="24"/>
        </w:rPr>
        <w:t xml:space="preserve"> and chapter 20 of the </w:t>
      </w:r>
      <w:r w:rsidRPr="00070B0C">
        <w:rPr>
          <w:i/>
          <w:sz w:val="24"/>
          <w:szCs w:val="24"/>
        </w:rPr>
        <w:t xml:space="preserve">Children and Young People Act 2008 (CYP Act) </w:t>
      </w:r>
      <w:r w:rsidRPr="00070B0C">
        <w:rPr>
          <w:sz w:val="24"/>
          <w:szCs w:val="24"/>
        </w:rPr>
        <w:t>under the National Quality Framework (NQF).</w:t>
      </w:r>
    </w:p>
    <w:p w:rsidR="002E2409" w:rsidRPr="00070B0C" w:rsidRDefault="003D3A71" w:rsidP="00070B0C">
      <w:pPr>
        <w:rPr>
          <w:sz w:val="24"/>
          <w:szCs w:val="24"/>
        </w:rPr>
      </w:pPr>
      <w:r w:rsidRPr="00070B0C">
        <w:rPr>
          <w:sz w:val="24"/>
          <w:szCs w:val="24"/>
        </w:rPr>
        <w:t xml:space="preserve">Chapter 20 of the </w:t>
      </w:r>
      <w:r w:rsidRPr="00070B0C">
        <w:rPr>
          <w:i/>
          <w:sz w:val="24"/>
          <w:szCs w:val="24"/>
        </w:rPr>
        <w:t>CYP Act</w:t>
      </w:r>
      <w:r w:rsidRPr="00070B0C">
        <w:rPr>
          <w:sz w:val="24"/>
          <w:szCs w:val="24"/>
        </w:rPr>
        <w:t xml:space="preserve"> regulates early childhood services that are out of scope of the </w:t>
      </w:r>
      <w:r w:rsidRPr="00070B0C">
        <w:rPr>
          <w:i/>
          <w:sz w:val="24"/>
          <w:szCs w:val="24"/>
        </w:rPr>
        <w:t>National Law</w:t>
      </w:r>
      <w:r w:rsidRPr="00070B0C">
        <w:rPr>
          <w:sz w:val="24"/>
          <w:szCs w:val="24"/>
        </w:rPr>
        <w:t xml:space="preserve"> such as playschools.</w:t>
      </w:r>
    </w:p>
    <w:p w:rsidR="002E2409" w:rsidRPr="00070B0C" w:rsidRDefault="004B675C" w:rsidP="00070B0C">
      <w:pPr>
        <w:rPr>
          <w:sz w:val="24"/>
          <w:szCs w:val="24"/>
        </w:rPr>
      </w:pPr>
      <w:r>
        <w:rPr>
          <w:sz w:val="24"/>
          <w:szCs w:val="24"/>
        </w:rPr>
        <w:t>The Director-</w:t>
      </w:r>
      <w:r w:rsidR="003D3A71" w:rsidRPr="00070B0C">
        <w:rPr>
          <w:sz w:val="24"/>
          <w:szCs w:val="24"/>
        </w:rPr>
        <w:t xml:space="preserve">General is the Regulatory Authority under the </w:t>
      </w:r>
      <w:r w:rsidR="003D3A71" w:rsidRPr="00070B0C">
        <w:rPr>
          <w:i/>
          <w:sz w:val="24"/>
          <w:szCs w:val="24"/>
        </w:rPr>
        <w:t>National Law</w:t>
      </w:r>
      <w:r w:rsidR="003D3A71" w:rsidRPr="00070B0C">
        <w:rPr>
          <w:sz w:val="24"/>
          <w:szCs w:val="24"/>
        </w:rPr>
        <w:t xml:space="preserve"> and is also responsible for the exercise of chapter 20 ACT regulator under the </w:t>
      </w:r>
      <w:r w:rsidR="003D3A71" w:rsidRPr="004B675C">
        <w:rPr>
          <w:i/>
          <w:sz w:val="24"/>
          <w:szCs w:val="24"/>
        </w:rPr>
        <w:t xml:space="preserve">National Law </w:t>
      </w:r>
      <w:r w:rsidR="003D3A71" w:rsidRPr="00070B0C">
        <w:rPr>
          <w:sz w:val="24"/>
          <w:szCs w:val="24"/>
        </w:rPr>
        <w:t xml:space="preserve">and the </w:t>
      </w:r>
      <w:r w:rsidR="003D3A71" w:rsidRPr="00070B0C">
        <w:rPr>
          <w:i/>
          <w:sz w:val="24"/>
          <w:szCs w:val="24"/>
        </w:rPr>
        <w:t>CYP Act</w:t>
      </w:r>
      <w:r w:rsidR="003D3A71" w:rsidRPr="00070B0C">
        <w:rPr>
          <w:sz w:val="24"/>
          <w:szCs w:val="24"/>
        </w:rPr>
        <w:t>.</w:t>
      </w:r>
    </w:p>
    <w:p w:rsidR="001A10FE" w:rsidRPr="00070B0C" w:rsidRDefault="004B675C" w:rsidP="00143EBF">
      <w:pPr>
        <w:rPr>
          <w:sz w:val="24"/>
          <w:szCs w:val="24"/>
        </w:rPr>
      </w:pPr>
      <w:r>
        <w:rPr>
          <w:sz w:val="24"/>
          <w:szCs w:val="24"/>
        </w:rPr>
        <w:t>T</w:t>
      </w:r>
      <w:r w:rsidR="008D29D4" w:rsidRPr="00070B0C">
        <w:rPr>
          <w:sz w:val="24"/>
          <w:szCs w:val="24"/>
        </w:rPr>
        <w:t>he</w:t>
      </w:r>
      <w:r w:rsidR="00210ECC" w:rsidRPr="00070B0C">
        <w:rPr>
          <w:sz w:val="24"/>
          <w:szCs w:val="24"/>
        </w:rPr>
        <w:t xml:space="preserve"> 2016</w:t>
      </w:r>
      <w:r w:rsidR="008D29D4" w:rsidRPr="00070B0C">
        <w:rPr>
          <w:sz w:val="24"/>
          <w:szCs w:val="24"/>
        </w:rPr>
        <w:t xml:space="preserve"> </w:t>
      </w:r>
      <w:r w:rsidR="001135FA" w:rsidRPr="00070B0C">
        <w:rPr>
          <w:sz w:val="24"/>
          <w:szCs w:val="24"/>
        </w:rPr>
        <w:t>Review</w:t>
      </w:r>
      <w:r w:rsidR="008D29D4" w:rsidRPr="00070B0C">
        <w:rPr>
          <w:sz w:val="24"/>
          <w:szCs w:val="24"/>
        </w:rPr>
        <w:t xml:space="preserve"> was unable to identify a specific policy</w:t>
      </w:r>
      <w:r w:rsidR="00F17282" w:rsidRPr="00070B0C">
        <w:rPr>
          <w:sz w:val="24"/>
          <w:szCs w:val="24"/>
        </w:rPr>
        <w:t>, or collection of policies,</w:t>
      </w:r>
      <w:r w:rsidR="008D29D4" w:rsidRPr="00070B0C">
        <w:rPr>
          <w:sz w:val="24"/>
          <w:szCs w:val="24"/>
        </w:rPr>
        <w:t xml:space="preserve"> that addressed early childhood education </w:t>
      </w:r>
      <w:r w:rsidR="003D3A71" w:rsidRPr="00070B0C">
        <w:rPr>
          <w:sz w:val="24"/>
          <w:szCs w:val="24"/>
        </w:rPr>
        <w:t xml:space="preserve">and care </w:t>
      </w:r>
      <w:r w:rsidR="008D29D4" w:rsidRPr="00070B0C">
        <w:rPr>
          <w:sz w:val="24"/>
          <w:szCs w:val="24"/>
        </w:rPr>
        <w:t xml:space="preserve">in the ACT </w:t>
      </w:r>
      <w:r w:rsidR="003D3A71" w:rsidRPr="00070B0C">
        <w:rPr>
          <w:sz w:val="24"/>
          <w:szCs w:val="24"/>
        </w:rPr>
        <w:t xml:space="preserve">in relation to </w:t>
      </w:r>
      <w:r w:rsidR="008D29D4" w:rsidRPr="00070B0C">
        <w:rPr>
          <w:sz w:val="24"/>
          <w:szCs w:val="24"/>
        </w:rPr>
        <w:t xml:space="preserve">the needs of ACT families and their children. </w:t>
      </w:r>
      <w:r w:rsidR="001A10FE" w:rsidRPr="00070B0C">
        <w:rPr>
          <w:sz w:val="24"/>
          <w:szCs w:val="24"/>
        </w:rPr>
        <w:t>There are some Education Directorate policies that address early entry to the school system in some circumstances, particularly:</w:t>
      </w:r>
    </w:p>
    <w:p w:rsidR="001A10FE" w:rsidRPr="00070B0C" w:rsidRDefault="001A10FE" w:rsidP="00421DCC">
      <w:pPr>
        <w:pStyle w:val="ListParagraph"/>
        <w:numPr>
          <w:ilvl w:val="0"/>
          <w:numId w:val="8"/>
        </w:numPr>
        <w:rPr>
          <w:sz w:val="24"/>
          <w:szCs w:val="24"/>
        </w:rPr>
      </w:pPr>
      <w:r w:rsidRPr="00070B0C">
        <w:rPr>
          <w:sz w:val="24"/>
          <w:szCs w:val="24"/>
        </w:rPr>
        <w:lastRenderedPageBreak/>
        <w:t>Early Entry for Aboriginal and Torres Strait Islander Children</w:t>
      </w:r>
    </w:p>
    <w:p w:rsidR="001A10FE" w:rsidRPr="00070B0C" w:rsidRDefault="001A10FE" w:rsidP="00421DCC">
      <w:pPr>
        <w:pStyle w:val="ListParagraph"/>
        <w:numPr>
          <w:ilvl w:val="0"/>
          <w:numId w:val="8"/>
        </w:numPr>
        <w:rPr>
          <w:sz w:val="24"/>
          <w:szCs w:val="24"/>
        </w:rPr>
      </w:pPr>
      <w:r w:rsidRPr="00070B0C">
        <w:rPr>
          <w:sz w:val="24"/>
          <w:szCs w:val="24"/>
        </w:rPr>
        <w:t>Early Entry for Children with English as an Additional Language or Dialect</w:t>
      </w:r>
    </w:p>
    <w:p w:rsidR="001A10FE" w:rsidRPr="00070B0C" w:rsidRDefault="001A10FE" w:rsidP="00421DCC">
      <w:pPr>
        <w:pStyle w:val="ListParagraph"/>
        <w:numPr>
          <w:ilvl w:val="0"/>
          <w:numId w:val="8"/>
        </w:numPr>
        <w:rPr>
          <w:sz w:val="24"/>
          <w:szCs w:val="24"/>
        </w:rPr>
      </w:pPr>
      <w:r w:rsidRPr="00070B0C">
        <w:rPr>
          <w:sz w:val="24"/>
          <w:szCs w:val="24"/>
        </w:rPr>
        <w:t>Early Entry for Gifted and Talented Children</w:t>
      </w:r>
    </w:p>
    <w:p w:rsidR="001A10FE" w:rsidRPr="00070B0C" w:rsidRDefault="001A10FE" w:rsidP="00421DCC">
      <w:pPr>
        <w:pStyle w:val="ListParagraph"/>
        <w:numPr>
          <w:ilvl w:val="0"/>
          <w:numId w:val="8"/>
        </w:numPr>
        <w:rPr>
          <w:sz w:val="24"/>
          <w:szCs w:val="24"/>
        </w:rPr>
      </w:pPr>
      <w:r w:rsidRPr="00070B0C">
        <w:rPr>
          <w:sz w:val="24"/>
          <w:szCs w:val="24"/>
        </w:rPr>
        <w:t>Early Entry for Mobility</w:t>
      </w:r>
    </w:p>
    <w:p w:rsidR="008D29D4" w:rsidRPr="00070B0C" w:rsidRDefault="008D29D4" w:rsidP="00143EBF">
      <w:pPr>
        <w:rPr>
          <w:sz w:val="24"/>
          <w:szCs w:val="24"/>
        </w:rPr>
      </w:pPr>
      <w:r w:rsidRPr="00070B0C">
        <w:rPr>
          <w:sz w:val="24"/>
          <w:szCs w:val="24"/>
        </w:rPr>
        <w:t>There are</w:t>
      </w:r>
      <w:r w:rsidR="002C798F" w:rsidRPr="00070B0C">
        <w:rPr>
          <w:sz w:val="24"/>
          <w:szCs w:val="24"/>
        </w:rPr>
        <w:t xml:space="preserve"> also</w:t>
      </w:r>
      <w:r w:rsidRPr="00070B0C">
        <w:rPr>
          <w:sz w:val="24"/>
          <w:szCs w:val="24"/>
        </w:rPr>
        <w:t xml:space="preserve"> a number of planning documents that provide some guidance, such as the Children and Young People Commitment (the Commitment). This document draws on the ACT Human Rights Act 2004, the United Nations Convention on the Rights of the Child and other documents to establish a number of high-level principles to be applied.</w:t>
      </w:r>
    </w:p>
    <w:p w:rsidR="008D29D4" w:rsidRPr="00070B0C" w:rsidRDefault="00E342A9" w:rsidP="00070B0C">
      <w:pPr>
        <w:rPr>
          <w:sz w:val="24"/>
          <w:szCs w:val="24"/>
        </w:rPr>
      </w:pPr>
      <w:r w:rsidRPr="00070B0C">
        <w:rPr>
          <w:sz w:val="24"/>
          <w:szCs w:val="24"/>
        </w:rPr>
        <w:t>A priority area for the Commitment is the implementation of a</w:t>
      </w:r>
      <w:r w:rsidR="008D29D4" w:rsidRPr="00070B0C">
        <w:rPr>
          <w:sz w:val="24"/>
          <w:szCs w:val="24"/>
        </w:rPr>
        <w:t xml:space="preserve"> ‘</w:t>
      </w:r>
      <w:r w:rsidR="008D29D4" w:rsidRPr="00070B0C">
        <w:rPr>
          <w:i/>
          <w:sz w:val="24"/>
          <w:szCs w:val="24"/>
        </w:rPr>
        <w:t>world-class ACT curriculum from preschool to year 12 in alignment with the Australian Curriculum.’</w:t>
      </w:r>
      <w:r w:rsidR="001A10FE" w:rsidRPr="00070B0C">
        <w:rPr>
          <w:sz w:val="24"/>
          <w:szCs w:val="24"/>
        </w:rPr>
        <w:t xml:space="preserve"> However, this priority does not refer to early childhood education in the years prior to preschool. </w:t>
      </w:r>
    </w:p>
    <w:p w:rsidR="00E342A9" w:rsidRPr="00070B0C" w:rsidRDefault="001A10FE" w:rsidP="00070B0C">
      <w:pPr>
        <w:rPr>
          <w:sz w:val="24"/>
          <w:szCs w:val="24"/>
        </w:rPr>
      </w:pPr>
      <w:r w:rsidRPr="00070B0C">
        <w:rPr>
          <w:sz w:val="24"/>
          <w:szCs w:val="24"/>
        </w:rPr>
        <w:t>The first of the Commitment</w:t>
      </w:r>
      <w:r w:rsidR="006B1688" w:rsidRPr="00070B0C">
        <w:rPr>
          <w:sz w:val="24"/>
          <w:szCs w:val="24"/>
        </w:rPr>
        <w:t>’</w:t>
      </w:r>
      <w:r w:rsidRPr="00070B0C">
        <w:rPr>
          <w:sz w:val="24"/>
          <w:szCs w:val="24"/>
        </w:rPr>
        <w:t xml:space="preserve">s principles is that </w:t>
      </w:r>
      <w:r w:rsidRPr="00070B0C">
        <w:rPr>
          <w:i/>
          <w:sz w:val="24"/>
          <w:szCs w:val="24"/>
        </w:rPr>
        <w:t>Children and young people should neither benefit nor suffer because of their culture, differing ability, ethnicity, birth status and gender, political or other opinion</w:t>
      </w:r>
      <w:r w:rsidRPr="00070B0C">
        <w:rPr>
          <w:sz w:val="24"/>
          <w:szCs w:val="24"/>
        </w:rPr>
        <w:t>.</w:t>
      </w:r>
      <w:r w:rsidRPr="00070B0C">
        <w:rPr>
          <w:rStyle w:val="FootnoteReference"/>
          <w:sz w:val="24"/>
          <w:szCs w:val="24"/>
        </w:rPr>
        <w:footnoteReference w:id="4"/>
      </w:r>
      <w:r w:rsidRPr="00070B0C">
        <w:rPr>
          <w:sz w:val="24"/>
          <w:szCs w:val="24"/>
        </w:rPr>
        <w:t xml:space="preserve"> Th</w:t>
      </w:r>
      <w:r w:rsidR="006B1688" w:rsidRPr="00070B0C">
        <w:rPr>
          <w:sz w:val="24"/>
          <w:szCs w:val="24"/>
        </w:rPr>
        <w:t>e</w:t>
      </w:r>
      <w:r w:rsidRPr="00070B0C">
        <w:rPr>
          <w:sz w:val="24"/>
          <w:szCs w:val="24"/>
        </w:rPr>
        <w:t xml:space="preserve"> </w:t>
      </w:r>
      <w:r w:rsidR="004B675C">
        <w:rPr>
          <w:sz w:val="24"/>
          <w:szCs w:val="24"/>
        </w:rPr>
        <w:t xml:space="preserve">2016 </w:t>
      </w:r>
      <w:r w:rsidR="001135FA" w:rsidRPr="00070B0C">
        <w:rPr>
          <w:sz w:val="24"/>
          <w:szCs w:val="24"/>
        </w:rPr>
        <w:t>Review</w:t>
      </w:r>
      <w:r w:rsidRPr="00070B0C">
        <w:rPr>
          <w:sz w:val="24"/>
          <w:szCs w:val="24"/>
        </w:rPr>
        <w:t xml:space="preserve"> </w:t>
      </w:r>
      <w:r w:rsidR="006B1688" w:rsidRPr="00070B0C">
        <w:rPr>
          <w:sz w:val="24"/>
          <w:szCs w:val="24"/>
        </w:rPr>
        <w:t>found</w:t>
      </w:r>
      <w:r w:rsidRPr="00070B0C">
        <w:rPr>
          <w:sz w:val="24"/>
          <w:szCs w:val="24"/>
        </w:rPr>
        <w:t xml:space="preserve"> that access</w:t>
      </w:r>
      <w:r w:rsidR="001135FA" w:rsidRPr="00070B0C">
        <w:rPr>
          <w:sz w:val="24"/>
          <w:szCs w:val="24"/>
        </w:rPr>
        <w:t xml:space="preserve"> to</w:t>
      </w:r>
      <w:r w:rsidRPr="00070B0C">
        <w:rPr>
          <w:sz w:val="24"/>
          <w:szCs w:val="24"/>
        </w:rPr>
        <w:t xml:space="preserve"> early childhood education in the ACT is not open to all children and that</w:t>
      </w:r>
      <w:r w:rsidR="006B1688" w:rsidRPr="00070B0C">
        <w:rPr>
          <w:sz w:val="24"/>
          <w:szCs w:val="24"/>
        </w:rPr>
        <w:t>,</w:t>
      </w:r>
      <w:r w:rsidRPr="00070B0C">
        <w:rPr>
          <w:sz w:val="24"/>
          <w:szCs w:val="24"/>
        </w:rPr>
        <w:t xml:space="preserve"> in addition to the factors out</w:t>
      </w:r>
      <w:r w:rsidR="006B1688" w:rsidRPr="00070B0C">
        <w:rPr>
          <w:sz w:val="24"/>
          <w:szCs w:val="24"/>
        </w:rPr>
        <w:t>lined above, financial hardship, along with exclusion due to membership of a marginalised cohort, are</w:t>
      </w:r>
      <w:r w:rsidRPr="00070B0C">
        <w:rPr>
          <w:sz w:val="24"/>
          <w:szCs w:val="24"/>
        </w:rPr>
        <w:t xml:space="preserve"> factor</w:t>
      </w:r>
      <w:r w:rsidR="006B1688" w:rsidRPr="00070B0C">
        <w:rPr>
          <w:sz w:val="24"/>
          <w:szCs w:val="24"/>
        </w:rPr>
        <w:t>s</w:t>
      </w:r>
      <w:r w:rsidRPr="00070B0C">
        <w:rPr>
          <w:sz w:val="24"/>
          <w:szCs w:val="24"/>
        </w:rPr>
        <w:t xml:space="preserve"> that </w:t>
      </w:r>
      <w:r w:rsidR="006B1688" w:rsidRPr="00070B0C">
        <w:rPr>
          <w:sz w:val="24"/>
          <w:szCs w:val="24"/>
        </w:rPr>
        <w:t>limit</w:t>
      </w:r>
      <w:r w:rsidRPr="00070B0C">
        <w:rPr>
          <w:sz w:val="24"/>
          <w:szCs w:val="24"/>
        </w:rPr>
        <w:t xml:space="preserve"> the opportunity of many</w:t>
      </w:r>
      <w:r w:rsidR="006B1688" w:rsidRPr="00070B0C">
        <w:rPr>
          <w:sz w:val="24"/>
          <w:szCs w:val="24"/>
        </w:rPr>
        <w:t xml:space="preserve"> ACT</w:t>
      </w:r>
      <w:r w:rsidRPr="00070B0C">
        <w:rPr>
          <w:sz w:val="24"/>
          <w:szCs w:val="24"/>
        </w:rPr>
        <w:t xml:space="preserve"> families and their children to access a quality, structured, early education experience.</w:t>
      </w:r>
    </w:p>
    <w:p w:rsidR="003D3A71" w:rsidRPr="00AE4411" w:rsidRDefault="003D3A71" w:rsidP="00DA6281">
      <w:pPr>
        <w:spacing w:before="120"/>
        <w:rPr>
          <w:sz w:val="24"/>
          <w:szCs w:val="24"/>
        </w:rPr>
      </w:pPr>
      <w:r w:rsidRPr="00070B0C">
        <w:rPr>
          <w:sz w:val="24"/>
          <w:szCs w:val="24"/>
        </w:rPr>
        <w:t xml:space="preserve">The ACT Government has a </w:t>
      </w:r>
      <w:r w:rsidRPr="00AE4411">
        <w:rPr>
          <w:sz w:val="24"/>
          <w:szCs w:val="24"/>
        </w:rPr>
        <w:t>wide range of services and programs that support children and families in the early years of life.</w:t>
      </w:r>
      <w:r w:rsidR="0084434F">
        <w:rPr>
          <w:sz w:val="24"/>
          <w:szCs w:val="24"/>
        </w:rPr>
        <w:t xml:space="preserve"> </w:t>
      </w:r>
      <w:r w:rsidRPr="00AE4411">
        <w:rPr>
          <w:sz w:val="24"/>
          <w:szCs w:val="24"/>
        </w:rPr>
        <w:t>The Community Services Directorate provide or fund an important range of child protection and early intervention services.</w:t>
      </w:r>
      <w:r w:rsidR="0084434F">
        <w:rPr>
          <w:sz w:val="24"/>
          <w:szCs w:val="24"/>
        </w:rPr>
        <w:t xml:space="preserve"> </w:t>
      </w:r>
      <w:r w:rsidRPr="00AE4411">
        <w:rPr>
          <w:sz w:val="24"/>
          <w:szCs w:val="24"/>
        </w:rPr>
        <w:t>ACT Health provides critical midwifery as well as Maternal and Child Health services.</w:t>
      </w:r>
    </w:p>
    <w:p w:rsidR="003D3A71" w:rsidRPr="00AE4411" w:rsidRDefault="003D3A71" w:rsidP="00DA6281">
      <w:pPr>
        <w:spacing w:before="120"/>
        <w:rPr>
          <w:sz w:val="24"/>
          <w:szCs w:val="24"/>
        </w:rPr>
      </w:pPr>
      <w:r w:rsidRPr="00AE4411">
        <w:rPr>
          <w:sz w:val="24"/>
          <w:szCs w:val="24"/>
        </w:rPr>
        <w:t>Many of these services</w:t>
      </w:r>
      <w:r w:rsidR="00553839" w:rsidRPr="00AE4411">
        <w:rPr>
          <w:sz w:val="24"/>
          <w:szCs w:val="24"/>
        </w:rPr>
        <w:t xml:space="preserve"> </w:t>
      </w:r>
      <w:r w:rsidRPr="00AE4411">
        <w:rPr>
          <w:sz w:val="24"/>
          <w:szCs w:val="24"/>
        </w:rPr>
        <w:t xml:space="preserve">have established best practice relationships </w:t>
      </w:r>
      <w:r w:rsidR="00553839" w:rsidRPr="00AE4411">
        <w:rPr>
          <w:sz w:val="24"/>
          <w:szCs w:val="24"/>
        </w:rPr>
        <w:t>with services within the education</w:t>
      </w:r>
      <w:r w:rsidR="00070B0C">
        <w:rPr>
          <w:sz w:val="24"/>
          <w:szCs w:val="24"/>
        </w:rPr>
        <w:t xml:space="preserve"> and care sector, and schools. </w:t>
      </w:r>
      <w:r w:rsidR="00553839" w:rsidRPr="00AE4411">
        <w:rPr>
          <w:sz w:val="24"/>
          <w:szCs w:val="24"/>
        </w:rPr>
        <w:t>However, there the Government as a whole does not have a policy that might orient greater collaboration and use of resources.</w:t>
      </w:r>
    </w:p>
    <w:bookmarkStart w:id="21" w:name="_Toc509497642"/>
    <w:p w:rsidR="00E342A9" w:rsidRPr="00AE4411" w:rsidRDefault="004B14CF" w:rsidP="00051D94">
      <w:pPr>
        <w:pStyle w:val="PolicyHeading3-Accessible"/>
      </w:pPr>
      <w:r>
        <w:rPr>
          <w:noProof/>
          <w:sz w:val="24"/>
          <w:lang w:eastAsia="en-AU"/>
        </w:rPr>
        <w:lastRenderedPageBreak/>
        <mc:AlternateContent>
          <mc:Choice Requires="wps">
            <w:drawing>
              <wp:anchor distT="91440" distB="91440" distL="114300" distR="114300" simplePos="0" relativeHeight="251661824" behindDoc="0" locked="0" layoutInCell="0" allowOverlap="1">
                <wp:simplePos x="0" y="0"/>
                <wp:positionH relativeFrom="margin">
                  <wp:posOffset>-85725</wp:posOffset>
                </wp:positionH>
                <wp:positionV relativeFrom="margin">
                  <wp:posOffset>342900</wp:posOffset>
                </wp:positionV>
                <wp:extent cx="5913120" cy="1891665"/>
                <wp:effectExtent l="19050" t="9525" r="11430" b="13335"/>
                <wp:wrapSquare wrapText="bothSides"/>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13120" cy="18916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E0AC1" w:rsidRDefault="007E0AC1" w:rsidP="00553839">
                            <w:pPr>
                              <w:rPr>
                                <w:shd w:val="clear" w:color="auto" w:fill="D99594" w:themeFill="accent2" w:themeFillTint="99"/>
                              </w:rPr>
                            </w:pPr>
                            <w:r w:rsidRPr="00070B0C">
                              <w:rPr>
                                <w:sz w:val="24"/>
                                <w:szCs w:val="24"/>
                              </w:rPr>
                              <w:t>ISSUES</w:t>
                            </w:r>
                          </w:p>
                          <w:p w:rsidR="007E0AC1" w:rsidRDefault="007E0AC1" w:rsidP="00553839">
                            <w:pPr>
                              <w:rPr>
                                <w:color w:val="4F81BD" w:themeColor="accent1"/>
                                <w:sz w:val="20"/>
                                <w:szCs w:val="20"/>
                              </w:rPr>
                            </w:pPr>
                            <w:r>
                              <w:rPr>
                                <w:sz w:val="24"/>
                                <w:szCs w:val="24"/>
                              </w:rPr>
                              <w:t>Would the ACT community benefit from the development of an ACT specific Early Childhood Policy that would take account of the operation of National policies, and address the objectives the ACT seeks for ECEC service delivery, access to ECEC , as well as collaboration with other services that support children’s development?</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7" o:spid="_x0000_s1027" style="position:absolute;left:0;text-align:left;margin-left:-6.75pt;margin-top:27pt;width:465.6pt;height:148.95pt;flip:x;z-index:2516618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" o:allowincell="f" filled="f" fillcolor="black [3213]" strokecolor="black [3213]" strokeweight="1.5pt">
                <v:shadow color="#f79646 [3209]" opacity=".5" offset="-15pt,0"/>
                <v:textbox style="mso-fit-shape-to-text:t" inset="21.6pt,21.6pt,21.6pt,21.6pt">
                  <w:txbxContent>
                    <w:p w:rsidR="007E0AC1" w:rsidRDefault="007E0AC1" w:rsidP="00553839">
                      <w:pPr>
                        <w:rPr>
                          <w:shd w:val="clear" w:color="auto" w:fill="D99594" w:themeFill="accent2" w:themeFillTint="99"/>
                        </w:rPr>
                      </w:pPr>
                      <w:r w:rsidRPr="00070B0C">
                        <w:rPr>
                          <w:sz w:val="24"/>
                          <w:szCs w:val="24"/>
                        </w:rPr>
                        <w:t>ISSUES</w:t>
                      </w:r>
                    </w:p>
                    <w:p w:rsidR="007E0AC1" w:rsidRDefault="007E0AC1" w:rsidP="00553839">
                      <w:pPr>
                        <w:rPr>
                          <w:color w:val="4F81BD" w:themeColor="accent1"/>
                          <w:sz w:val="20"/>
                          <w:szCs w:val="20"/>
                        </w:rPr>
                      </w:pPr>
                      <w:r>
                        <w:rPr>
                          <w:sz w:val="24"/>
                          <w:szCs w:val="24"/>
                        </w:rPr>
                        <w:t>Would the ACT community benefit from the development of an ACT specific Early Childhood Policy that would take account of the operation of National policies, and address the objectives the ACT seeks for ECEC service delivery, access to ECEC , as well as collaboration with other services that support children’s development?</w:t>
                      </w:r>
                    </w:p>
                  </w:txbxContent>
                </v:textbox>
                <w10:wrap type="square" anchorx="margin" anchory="margin"/>
              </v:rect>
            </w:pict>
          </mc:Fallback>
        </mc:AlternateContent>
      </w:r>
      <w:r w:rsidR="00571F51" w:rsidRPr="00AE4411">
        <w:t>Capacity of the ECEC sector in the ACT</w:t>
      </w:r>
      <w:bookmarkEnd w:id="21"/>
    </w:p>
    <w:p w:rsidR="003D2CF9" w:rsidRPr="00AE4411" w:rsidRDefault="00D37A61" w:rsidP="00DB7B3E">
      <w:pPr>
        <w:pStyle w:val="AccessibleBody"/>
      </w:pPr>
      <w:r w:rsidRPr="00AE4411">
        <w:t>In 2016</w:t>
      </w:r>
      <w:r w:rsidR="003D2CF9" w:rsidRPr="00AE4411">
        <w:t xml:space="preserve"> there were </w:t>
      </w:r>
      <w:r w:rsidR="00D44101" w:rsidRPr="00AE4411">
        <w:t xml:space="preserve">135 </w:t>
      </w:r>
      <w:r w:rsidR="004B675C">
        <w:t>L</w:t>
      </w:r>
      <w:r w:rsidR="00D44101" w:rsidRPr="00AE4411">
        <w:t xml:space="preserve">ong </w:t>
      </w:r>
      <w:r w:rsidR="004B675C">
        <w:t>D</w:t>
      </w:r>
      <w:r w:rsidR="00D44101" w:rsidRPr="00AE4411">
        <w:t xml:space="preserve">ay </w:t>
      </w:r>
      <w:r w:rsidR="004B675C">
        <w:t>C</w:t>
      </w:r>
      <w:r w:rsidR="00D44101" w:rsidRPr="00AE4411">
        <w:t xml:space="preserve">are </w:t>
      </w:r>
      <w:r w:rsidR="004B675C">
        <w:t xml:space="preserve">(LDC) </w:t>
      </w:r>
      <w:r w:rsidR="005B4A06" w:rsidRPr="00AE4411">
        <w:t xml:space="preserve">centres </w:t>
      </w:r>
      <w:r w:rsidR="00D44101" w:rsidRPr="00AE4411">
        <w:t>in the ACT with a</w:t>
      </w:r>
      <w:r w:rsidR="003A08A8" w:rsidRPr="00AE4411">
        <w:t>n estimated</w:t>
      </w:r>
      <w:r w:rsidR="00D44101" w:rsidRPr="00AE4411">
        <w:t xml:space="preserve"> nominal capacity of 10,251 places </w:t>
      </w:r>
      <w:r w:rsidR="00DE3B69" w:rsidRPr="00AE4411">
        <w:t xml:space="preserve">that are available </w:t>
      </w:r>
      <w:r w:rsidR="00D44101" w:rsidRPr="00AE4411">
        <w:t>at an average cost of $105 per day</w:t>
      </w:r>
      <w:r w:rsidR="00DE3B69" w:rsidRPr="00AE4411">
        <w:t xml:space="preserve"> for a single child</w:t>
      </w:r>
      <w:r w:rsidR="006B1688" w:rsidRPr="00AE4411">
        <w:rPr>
          <w:rStyle w:val="FootnoteReference"/>
        </w:rPr>
        <w:footnoteReference w:id="5"/>
      </w:r>
      <w:r w:rsidR="00D44101" w:rsidRPr="00AE4411">
        <w:t xml:space="preserve">. </w:t>
      </w:r>
    </w:p>
    <w:p w:rsidR="003C1E41" w:rsidRPr="00AE4411" w:rsidRDefault="00D44101" w:rsidP="00DB7B3E">
      <w:pPr>
        <w:pStyle w:val="AccessibleBody"/>
      </w:pPr>
      <w:r w:rsidRPr="00AE4411">
        <w:t>There are a further 20 non-government preschools attached to a school with a</w:t>
      </w:r>
      <w:r w:rsidR="003A08A8" w:rsidRPr="00AE4411">
        <w:t>n estimated</w:t>
      </w:r>
      <w:r w:rsidRPr="00AE4411">
        <w:t xml:space="preserve"> nominal capacity of 1,266 places. These non-government preschool services also offer outside preschool hours care. When the costs of </w:t>
      </w:r>
      <w:r w:rsidR="00B53C5D" w:rsidRPr="00AE4411">
        <w:t xml:space="preserve">these non-government </w:t>
      </w:r>
      <w:r w:rsidRPr="00AE4411">
        <w:t xml:space="preserve">preschool </w:t>
      </w:r>
      <w:r w:rsidR="00B53C5D" w:rsidRPr="00AE4411">
        <w:t xml:space="preserve">services </w:t>
      </w:r>
      <w:r w:rsidRPr="00AE4411">
        <w:t>and the out-of-hours care option are combined the average cost is approximately $108 per day.</w:t>
      </w:r>
      <w:r w:rsidR="00BF4EE1" w:rsidRPr="00AE4411">
        <w:t xml:space="preserve"> </w:t>
      </w:r>
      <w:r w:rsidR="00DE3B69" w:rsidRPr="00AE4411">
        <w:t xml:space="preserve">Overall, this provides </w:t>
      </w:r>
      <w:r w:rsidR="00BF4EE1" w:rsidRPr="00AE4411">
        <w:t xml:space="preserve">a total of 155 </w:t>
      </w:r>
      <w:r w:rsidR="00DF2960" w:rsidRPr="00AE4411">
        <w:t>ECE</w:t>
      </w:r>
      <w:r w:rsidR="00424BCE" w:rsidRPr="00AE4411">
        <w:t>C</w:t>
      </w:r>
      <w:r w:rsidR="00DF2960" w:rsidRPr="00AE4411">
        <w:t xml:space="preserve"> </w:t>
      </w:r>
      <w:r w:rsidR="00BF4EE1" w:rsidRPr="00AE4411">
        <w:t>services combined with an estimated nominal capacity of 11,517 places</w:t>
      </w:r>
      <w:r w:rsidR="00B53C5D" w:rsidRPr="00AE4411">
        <w:t>,</w:t>
      </w:r>
      <w:r w:rsidR="00BF4EE1" w:rsidRPr="00AE4411">
        <w:t xml:space="preserve"> also at average cost of $105 per day.</w:t>
      </w:r>
    </w:p>
    <w:p w:rsidR="005527BA" w:rsidRPr="00AE4411" w:rsidRDefault="00080BBD" w:rsidP="00DB7B3E">
      <w:pPr>
        <w:pStyle w:val="AccessibleBody"/>
      </w:pPr>
      <w:r w:rsidRPr="00AE4411">
        <w:t>Forty-one</w:t>
      </w:r>
      <w:r w:rsidR="008D58F4" w:rsidRPr="00AE4411">
        <w:t xml:space="preserve"> new ECE</w:t>
      </w:r>
      <w:r w:rsidR="00CA52B4" w:rsidRPr="00AE4411">
        <w:t xml:space="preserve">C </w:t>
      </w:r>
      <w:r w:rsidR="008D58F4" w:rsidRPr="00AE4411">
        <w:t xml:space="preserve">services </w:t>
      </w:r>
      <w:r w:rsidRPr="00AE4411">
        <w:t xml:space="preserve">have commenced </w:t>
      </w:r>
      <w:r w:rsidR="008D58F4" w:rsidRPr="00AE4411">
        <w:t>operating in the ACT since the introduction of the NQF in 2012. These new services account for 3,230</w:t>
      </w:r>
      <w:r w:rsidR="00230C21" w:rsidRPr="00AE4411">
        <w:t xml:space="preserve"> or </w:t>
      </w:r>
      <w:r w:rsidR="00331C61" w:rsidRPr="00AE4411">
        <w:t>28%</w:t>
      </w:r>
      <w:r w:rsidR="008D58F4" w:rsidRPr="00AE4411">
        <w:t xml:space="preserve"> of all available places</w:t>
      </w:r>
      <w:r w:rsidR="002557A3" w:rsidRPr="00AE4411">
        <w:t>, representing a</w:t>
      </w:r>
      <w:r w:rsidR="00C8508C" w:rsidRPr="00AE4411">
        <w:t>n</w:t>
      </w:r>
      <w:r w:rsidR="00952A9A" w:rsidRPr="00AE4411">
        <w:t xml:space="preserve"> </w:t>
      </w:r>
      <w:r w:rsidR="002557A3" w:rsidRPr="00AE4411">
        <w:t>increase of 39%</w:t>
      </w:r>
      <w:r w:rsidR="006B1688" w:rsidRPr="00AE4411">
        <w:t xml:space="preserve"> in the number of places available in the ACT</w:t>
      </w:r>
      <w:r w:rsidR="008D58F4" w:rsidRPr="00AE4411">
        <w:t>.</w:t>
      </w:r>
      <w:r w:rsidR="00AF143A" w:rsidRPr="00AE4411">
        <w:t xml:space="preserve"> </w:t>
      </w:r>
    </w:p>
    <w:p w:rsidR="00A12310" w:rsidRPr="00AE4411" w:rsidRDefault="003D2CF9" w:rsidP="003D2CF9">
      <w:pPr>
        <w:pStyle w:val="AccessibleBody"/>
        <w:spacing w:after="120"/>
      </w:pPr>
      <w:r w:rsidRPr="00AE4411">
        <w:t>Since January 2016,</w:t>
      </w:r>
      <w:r w:rsidR="00D37A61" w:rsidRPr="00AE4411">
        <w:t xml:space="preserve"> nine new long day care centres commenced operating in the ACT.</w:t>
      </w:r>
      <w:r w:rsidR="0084434F">
        <w:t xml:space="preserve"> </w:t>
      </w:r>
      <w:r w:rsidR="00D37A61" w:rsidRPr="00AE4411">
        <w:t>T</w:t>
      </w:r>
      <w:r w:rsidRPr="00AE4411">
        <w:t xml:space="preserve">here </w:t>
      </w:r>
      <w:r w:rsidR="00D37A61" w:rsidRPr="00AE4411">
        <w:t xml:space="preserve">were also 25 </w:t>
      </w:r>
      <w:r w:rsidRPr="00AE4411">
        <w:t xml:space="preserve">development applications (DAs) </w:t>
      </w:r>
      <w:r w:rsidR="00D37A61" w:rsidRPr="00AE4411">
        <w:t xml:space="preserve">which </w:t>
      </w:r>
      <w:r w:rsidRPr="00AE4411">
        <w:t xml:space="preserve">for </w:t>
      </w:r>
      <w:r w:rsidR="00D37A61" w:rsidRPr="00AE4411">
        <w:t xml:space="preserve">26 </w:t>
      </w:r>
      <w:r w:rsidRPr="00AE4411">
        <w:t xml:space="preserve">centres, with a </w:t>
      </w:r>
      <w:r w:rsidR="00D37A61" w:rsidRPr="00AE4411">
        <w:t xml:space="preserve">nominal </w:t>
      </w:r>
      <w:r w:rsidRPr="00AE4411">
        <w:t xml:space="preserve">additional capacity of </w:t>
      </w:r>
      <w:r w:rsidR="00D37A61" w:rsidRPr="00AE4411">
        <w:t>1,978 places.</w:t>
      </w:r>
      <w:r w:rsidR="00483D80">
        <w:t xml:space="preserve"> </w:t>
      </w:r>
    </w:p>
    <w:p w:rsidR="005527BA" w:rsidRPr="00AE4411" w:rsidRDefault="005527BA" w:rsidP="003D2CF9">
      <w:pPr>
        <w:pStyle w:val="AccessibleBody"/>
        <w:spacing w:after="120"/>
      </w:pPr>
      <w:r w:rsidRPr="00AE4411">
        <w:t>The property market</w:t>
      </w:r>
      <w:r w:rsidR="00D37A61" w:rsidRPr="00AE4411">
        <w:t xml:space="preserve"> continues to </w:t>
      </w:r>
      <w:r w:rsidRPr="00AE4411">
        <w:t>encourag</w:t>
      </w:r>
      <w:r w:rsidR="00D37A61" w:rsidRPr="00AE4411">
        <w:t xml:space="preserve">e </w:t>
      </w:r>
      <w:r w:rsidRPr="00AE4411">
        <w:t xml:space="preserve">the establishment of further capacity in the sector, including through </w:t>
      </w:r>
      <w:r w:rsidR="004B675C">
        <w:t xml:space="preserve">press </w:t>
      </w:r>
      <w:r w:rsidRPr="00AE4411">
        <w:t>articles that advertised the potential returns to investors in ECEC facilities</w:t>
      </w:r>
      <w:r w:rsidR="00A30AAB" w:rsidRPr="00AE4411">
        <w:t>. These articles also make statements as to the potential future demand for ECEC services that is not matched by any data that the</w:t>
      </w:r>
      <w:r w:rsidR="00D37A61" w:rsidRPr="00AE4411">
        <w:t xml:space="preserve"> 2016</w:t>
      </w:r>
      <w:r w:rsidR="00A30AAB" w:rsidRPr="00AE4411">
        <w:t xml:space="preserve"> </w:t>
      </w:r>
      <w:r w:rsidR="001135FA" w:rsidRPr="00AE4411">
        <w:t>Review</w:t>
      </w:r>
      <w:r w:rsidR="00A30AAB" w:rsidRPr="00AE4411">
        <w:t xml:space="preserve"> </w:t>
      </w:r>
      <w:r w:rsidR="00D37A61" w:rsidRPr="00AE4411">
        <w:t>considered.</w:t>
      </w:r>
    </w:p>
    <w:p w:rsidR="00A30AAB" w:rsidRPr="00AE4411" w:rsidRDefault="00A30AAB" w:rsidP="00A30AAB">
      <w:pPr>
        <w:pStyle w:val="AccessibleBody"/>
      </w:pPr>
      <w:r w:rsidRPr="00AE4411">
        <w:rPr>
          <w:b/>
        </w:rPr>
        <w:t xml:space="preserve">Figure </w:t>
      </w:r>
      <w:r w:rsidR="00D268D2" w:rsidRPr="00AE4411">
        <w:rPr>
          <w:b/>
        </w:rPr>
        <w:t>2</w:t>
      </w:r>
      <w:r w:rsidRPr="00AE4411">
        <w:t xml:space="preserve"> below shows the increase in both the number of services and in the number of places in the ACT between 1998 and 2016, along with an estimate of </w:t>
      </w:r>
      <w:r w:rsidR="00A35F28" w:rsidRPr="00AE4411">
        <w:t xml:space="preserve">the likely increase in capacity to 2018, drawn </w:t>
      </w:r>
      <w:r w:rsidRPr="00AE4411">
        <w:t xml:space="preserve">from DAs approved, but not yet </w:t>
      </w:r>
      <w:r w:rsidR="006B1688" w:rsidRPr="00AE4411">
        <w:t>completed or operational</w:t>
      </w:r>
      <w:r w:rsidRPr="00AE4411">
        <w:t xml:space="preserve">. </w:t>
      </w:r>
    </w:p>
    <w:p w:rsidR="00A30AAB" w:rsidRPr="00AE4411" w:rsidRDefault="00A30AAB" w:rsidP="00A30AAB">
      <w:pPr>
        <w:pStyle w:val="AccessibleBody"/>
      </w:pPr>
      <w:r w:rsidRPr="00AE4411">
        <w:rPr>
          <w:noProof/>
          <w:lang w:eastAsia="en-AU"/>
        </w:rPr>
        <w:lastRenderedPageBreak/>
        <w:drawing>
          <wp:inline distT="0" distB="0" distL="0" distR="0">
            <wp:extent cx="5986667" cy="3686783"/>
            <wp:effectExtent l="19050" t="0" r="0" b="0"/>
            <wp:docPr id="9" name="Picture 2" descr="cid:image002.jpg@01D1E286.9B4D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E286.9B4D1430"/>
                    <pic:cNvPicPr>
                      <a:picLocks noChangeAspect="1" noChangeArrowheads="1"/>
                    </pic:cNvPicPr>
                  </pic:nvPicPr>
                  <pic:blipFill>
                    <a:blip r:embed="rId16" r:link="rId17" cstate="print"/>
                    <a:srcRect/>
                    <a:stretch>
                      <a:fillRect/>
                    </a:stretch>
                  </pic:blipFill>
                  <pic:spPr bwMode="auto">
                    <a:xfrm>
                      <a:off x="0" y="0"/>
                      <a:ext cx="5991748" cy="3689912"/>
                    </a:xfrm>
                    <a:prstGeom prst="rect">
                      <a:avLst/>
                    </a:prstGeom>
                    <a:noFill/>
                    <a:ln w="9525">
                      <a:noFill/>
                      <a:miter lim="800000"/>
                      <a:headEnd/>
                      <a:tailEnd/>
                    </a:ln>
                  </pic:spPr>
                </pic:pic>
              </a:graphicData>
            </a:graphic>
          </wp:inline>
        </w:drawing>
      </w:r>
    </w:p>
    <w:p w:rsidR="00F94F2D" w:rsidRPr="004D0A6D" w:rsidRDefault="00A30AAB" w:rsidP="000F6ECE">
      <w:pPr>
        <w:pStyle w:val="AccessibleBody"/>
        <w:rPr>
          <w:sz w:val="18"/>
          <w:szCs w:val="18"/>
        </w:rPr>
      </w:pPr>
      <w:r w:rsidRPr="00AE4411">
        <w:rPr>
          <w:sz w:val="18"/>
          <w:szCs w:val="18"/>
        </w:rPr>
        <w:t xml:space="preserve">Fig </w:t>
      </w:r>
      <w:r w:rsidR="00D268D2" w:rsidRPr="00AE4411">
        <w:rPr>
          <w:sz w:val="18"/>
          <w:szCs w:val="18"/>
        </w:rPr>
        <w:t>2</w:t>
      </w:r>
      <w:r w:rsidR="00DA6281" w:rsidRPr="00AE4411">
        <w:rPr>
          <w:sz w:val="18"/>
          <w:szCs w:val="18"/>
        </w:rPr>
        <w:t xml:space="preserve"> - </w:t>
      </w:r>
      <w:r w:rsidRPr="00AE4411">
        <w:rPr>
          <w:sz w:val="18"/>
          <w:szCs w:val="18"/>
        </w:rPr>
        <w:t>Number of Long Day Care Centres and non-government preschools operating in the ACT between 1998 and 2016 and an estimate for the number of additional centres and places to 2018</w:t>
      </w:r>
    </w:p>
    <w:p w:rsidR="00D20D37" w:rsidRPr="00AE4411" w:rsidRDefault="00D37A61" w:rsidP="00841FED">
      <w:pPr>
        <w:pStyle w:val="PolicyHeading3-Accessible"/>
      </w:pPr>
      <w:bookmarkStart w:id="22" w:name="_Toc509497643"/>
      <w:bookmarkStart w:id="23" w:name="_Toc453155101"/>
      <w:r w:rsidRPr="00AE4411">
        <w:t>Capacity Management</w:t>
      </w:r>
      <w:bookmarkEnd w:id="22"/>
    </w:p>
    <w:p w:rsidR="00D20D37" w:rsidRPr="00AE4411" w:rsidRDefault="00D20D37" w:rsidP="00D20D37">
      <w:pPr>
        <w:pStyle w:val="AccessibleBody"/>
      </w:pPr>
      <w:r w:rsidRPr="00AE4411">
        <w:t>The ACT has historically high levels of demand for ECEC services arising from a comparative</w:t>
      </w:r>
      <w:r w:rsidR="006B1688" w:rsidRPr="00AE4411">
        <w:t>ly</w:t>
      </w:r>
      <w:r w:rsidRPr="00AE4411">
        <w:t xml:space="preserve"> young population, as well as having a higher proportion of children accessing care than in most other jurisdictions. This higher demand is partly driven by traditionally higher levels of female participation in the workforce in the ACT. The national female participation rate is currently 59.2%, while the current female participation rate is considerably higher </w:t>
      </w:r>
      <w:r w:rsidR="006B1688" w:rsidRPr="00AE4411">
        <w:t xml:space="preserve">in the ACT </w:t>
      </w:r>
      <w:r w:rsidRPr="00AE4411">
        <w:t>at 67.3%</w:t>
      </w:r>
      <w:r w:rsidR="00D05A72" w:rsidRPr="00AE4411">
        <w:t>.</w:t>
      </w:r>
      <w:r w:rsidRPr="00AE4411">
        <w:rPr>
          <w:vertAlign w:val="superscript"/>
        </w:rPr>
        <w:footnoteReference w:id="6"/>
      </w:r>
      <w:r w:rsidR="000F6ECE" w:rsidRPr="00AE4411">
        <w:t xml:space="preserve"> </w:t>
      </w:r>
    </w:p>
    <w:p w:rsidR="00D20D37" w:rsidRPr="00AE4411" w:rsidRDefault="00D20D37" w:rsidP="00D20D37">
      <w:pPr>
        <w:pStyle w:val="AccessibleBody"/>
      </w:pPr>
      <w:r w:rsidRPr="00AE4411">
        <w:t xml:space="preserve">There were significant and </w:t>
      </w:r>
      <w:r w:rsidR="00D05A72" w:rsidRPr="00AE4411">
        <w:t>widespread</w:t>
      </w:r>
      <w:r w:rsidRPr="00AE4411">
        <w:t xml:space="preserve"> shortages of ECEC places for children in the ACT between, at least, 2008 and 2012. During this period, and since, there have been a number of mechanisms introduced to simplify the process of bringing an ECEC service into operation and to overcome what was a shortage of places that impacted negatively on parents.</w:t>
      </w:r>
    </w:p>
    <w:p w:rsidR="000055C1" w:rsidRPr="00AE4411" w:rsidRDefault="00D20D37" w:rsidP="00D20D37">
      <w:pPr>
        <w:pStyle w:val="AccessibleBody"/>
      </w:pPr>
      <w:r w:rsidRPr="00AE4411">
        <w:t xml:space="preserve">These strategies have succeeded and the </w:t>
      </w:r>
      <w:r w:rsidR="00D37A61" w:rsidRPr="00AE4411">
        <w:t xml:space="preserve">2016 </w:t>
      </w:r>
      <w:r w:rsidR="001135FA" w:rsidRPr="00AE4411">
        <w:t>Review</w:t>
      </w:r>
      <w:r w:rsidRPr="00AE4411">
        <w:t xml:space="preserve"> found </w:t>
      </w:r>
      <w:r w:rsidR="006F5710" w:rsidRPr="00AE4411">
        <w:t xml:space="preserve">evidence </w:t>
      </w:r>
      <w:r w:rsidRPr="00AE4411">
        <w:t xml:space="preserve">that shortages no longer exist at the whole of ACT level, and indeed that capacity shortages </w:t>
      </w:r>
      <w:r w:rsidR="00626FE4" w:rsidRPr="00AE4411">
        <w:t xml:space="preserve">may </w:t>
      </w:r>
      <w:r w:rsidRPr="00AE4411">
        <w:t>have been replaced by an over-supply of capacity</w:t>
      </w:r>
      <w:r w:rsidR="00F7660B" w:rsidRPr="00AE4411">
        <w:t xml:space="preserve"> based on the current level of demand</w:t>
      </w:r>
      <w:r w:rsidRPr="00AE4411">
        <w:t>.</w:t>
      </w:r>
    </w:p>
    <w:p w:rsidR="00D20D37" w:rsidRPr="00AE4411" w:rsidRDefault="00D20D37" w:rsidP="00D20D37">
      <w:pPr>
        <w:pStyle w:val="AccessibleBody"/>
      </w:pPr>
      <w:r w:rsidRPr="00AE4411">
        <w:t xml:space="preserve">Participants at the </w:t>
      </w:r>
      <w:r w:rsidR="008C1EAF" w:rsidRPr="00AE4411">
        <w:t>Forum</w:t>
      </w:r>
      <w:r w:rsidRPr="00AE4411">
        <w:t xml:space="preserve"> of ECEC service providers held on 1 July 2016 </w:t>
      </w:r>
      <w:r w:rsidR="006F5710" w:rsidRPr="00AE4411">
        <w:t xml:space="preserve">stated </w:t>
      </w:r>
      <w:r w:rsidRPr="00AE4411">
        <w:t>that there was overcapacity in the sector in 2016</w:t>
      </w:r>
      <w:r w:rsidR="000055C1" w:rsidRPr="00AE4411">
        <w:t xml:space="preserve">, </w:t>
      </w:r>
      <w:r w:rsidR="004037F5" w:rsidRPr="00AE4411">
        <w:t>although the</w:t>
      </w:r>
      <w:r w:rsidRPr="00AE4411">
        <w:t xml:space="preserve"> extent of overcapacity was not described by participants in </w:t>
      </w:r>
      <w:r w:rsidR="000055C1" w:rsidRPr="00AE4411">
        <w:t xml:space="preserve">quantified </w:t>
      </w:r>
      <w:r w:rsidRPr="00AE4411">
        <w:t xml:space="preserve">terms. </w:t>
      </w:r>
      <w:r w:rsidR="008C1EAF" w:rsidRPr="00AE4411">
        <w:t>Forum</w:t>
      </w:r>
      <w:r w:rsidRPr="00AE4411">
        <w:t xml:space="preserve"> participants also pointed to particular </w:t>
      </w:r>
      <w:r w:rsidRPr="00AE4411">
        <w:lastRenderedPageBreak/>
        <w:t>days of the week, Monday and Friday</w:t>
      </w:r>
      <w:r w:rsidR="00D05A72" w:rsidRPr="00AE4411">
        <w:t xml:space="preserve"> as days with </w:t>
      </w:r>
      <w:r w:rsidRPr="00AE4411">
        <w:t xml:space="preserve">lower demand </w:t>
      </w:r>
      <w:r w:rsidR="00D05A72" w:rsidRPr="00AE4411">
        <w:t>and hence</w:t>
      </w:r>
      <w:r w:rsidRPr="00AE4411">
        <w:t xml:space="preserve"> greater over-supply</w:t>
      </w:r>
      <w:r w:rsidR="00D05A72" w:rsidRPr="00AE4411">
        <w:t>,</w:t>
      </w:r>
      <w:r w:rsidRPr="00AE4411">
        <w:t xml:space="preserve"> and Wednesdays, </w:t>
      </w:r>
      <w:r w:rsidR="000055C1" w:rsidRPr="00AE4411">
        <w:t xml:space="preserve">and suggested this was </w:t>
      </w:r>
      <w:r w:rsidRPr="00AE4411">
        <w:t xml:space="preserve">due to the interaction between the </w:t>
      </w:r>
      <w:r w:rsidR="00D05A72" w:rsidRPr="00AE4411">
        <w:t>ECEC services</w:t>
      </w:r>
      <w:r w:rsidRPr="00AE4411">
        <w:t xml:space="preserve"> and </w:t>
      </w:r>
      <w:r w:rsidR="00D05A72" w:rsidRPr="00AE4411">
        <w:t xml:space="preserve">ACT </w:t>
      </w:r>
      <w:r w:rsidRPr="00AE4411">
        <w:t>Government preschools.</w:t>
      </w:r>
    </w:p>
    <w:p w:rsidR="00D20D37" w:rsidRPr="00AE4411" w:rsidRDefault="00D20D37" w:rsidP="00D20D37">
      <w:pPr>
        <w:pStyle w:val="AccessibleBody"/>
      </w:pPr>
      <w:r w:rsidRPr="00AE4411">
        <w:t xml:space="preserve">Despite the considerable growth in capacity at the whole of ACT level between 2012 and 2016, </w:t>
      </w:r>
      <w:r w:rsidR="00D05A72" w:rsidRPr="00AE4411">
        <w:t xml:space="preserve">submissions to the </w:t>
      </w:r>
      <w:r w:rsidR="006F5710" w:rsidRPr="00AE4411">
        <w:t xml:space="preserve">2016 </w:t>
      </w:r>
      <w:r w:rsidR="001135FA" w:rsidRPr="00AE4411">
        <w:t>Review</w:t>
      </w:r>
      <w:r w:rsidR="00D05A72" w:rsidRPr="00AE4411">
        <w:t xml:space="preserve"> indicate that not all ECEC service providers are facing a shortage of clients and that </w:t>
      </w:r>
      <w:r w:rsidRPr="00AE4411">
        <w:t xml:space="preserve">there may still be some competition for places </w:t>
      </w:r>
      <w:r w:rsidR="000055C1" w:rsidRPr="00AE4411">
        <w:t xml:space="preserve">among </w:t>
      </w:r>
      <w:r w:rsidRPr="00AE4411">
        <w:t xml:space="preserve">ECEC providers whose locations lead to particularly high demand, such as within close proximity to the major employment centres, or convenient proximity to the main transport thoroughfares. </w:t>
      </w:r>
    </w:p>
    <w:p w:rsidR="000A1BF3" w:rsidRPr="00AE4411" w:rsidRDefault="000A1BF3" w:rsidP="004D0A6D">
      <w:pPr>
        <w:pStyle w:val="AccessibleBody"/>
      </w:pPr>
      <w:r w:rsidRPr="00AE4411">
        <w:t xml:space="preserve">The Australian Government keeps data on the utilisation of ECEC places by families; however this data is not currently available to the </w:t>
      </w:r>
      <w:r w:rsidR="000055C1" w:rsidRPr="00AE4411">
        <w:t>ACT Government</w:t>
      </w:r>
      <w:r w:rsidRPr="00AE4411">
        <w:t>.</w:t>
      </w:r>
      <w:r w:rsidR="009109F0" w:rsidRPr="00AE4411">
        <w:t xml:space="preserve"> There is also no framework for conducting a </w:t>
      </w:r>
      <w:r w:rsidR="006F5710" w:rsidRPr="00AE4411">
        <w:t xml:space="preserve">verifiable </w:t>
      </w:r>
      <w:r w:rsidR="009109F0" w:rsidRPr="00AE4411">
        <w:t>census of enrolments in ECEC services.</w:t>
      </w:r>
      <w:r w:rsidRPr="00AE4411">
        <w:t xml:space="preserve"> </w:t>
      </w:r>
      <w:r w:rsidR="00351077" w:rsidRPr="00AE4411">
        <w:t xml:space="preserve">The ACT must therefore rely on </w:t>
      </w:r>
      <w:r w:rsidRPr="00AE4411">
        <w:t>estimate</w:t>
      </w:r>
      <w:r w:rsidR="00A9194C" w:rsidRPr="00AE4411">
        <w:t>s</w:t>
      </w:r>
      <w:r w:rsidRPr="00AE4411">
        <w:t xml:space="preserve"> of capacity utilisation across the sector in the ACT.</w:t>
      </w:r>
    </w:p>
    <w:p w:rsidR="000F6ECE" w:rsidRPr="00AE4411" w:rsidRDefault="009109F0" w:rsidP="00D20D37">
      <w:pPr>
        <w:pStyle w:val="AccessibleBody"/>
        <w:rPr>
          <w:rFonts w:cs="Calibri"/>
          <w:color w:val="000000"/>
        </w:rPr>
      </w:pPr>
      <w:r w:rsidRPr="004D0A6D">
        <w:t>T</w:t>
      </w:r>
      <w:r w:rsidR="000A1BF3" w:rsidRPr="00AE4411">
        <w:t xml:space="preserve">he </w:t>
      </w:r>
      <w:r w:rsidR="0062456A" w:rsidRPr="00AE4411">
        <w:t xml:space="preserve">2016 </w:t>
      </w:r>
      <w:r w:rsidR="001135FA" w:rsidRPr="00AE4411">
        <w:t>Review</w:t>
      </w:r>
      <w:r w:rsidR="004D0A6D">
        <w:t xml:space="preserve"> team </w:t>
      </w:r>
      <w:r w:rsidR="000A1BF3" w:rsidRPr="00AE4411">
        <w:t>estimate</w:t>
      </w:r>
      <w:r w:rsidR="0062456A" w:rsidRPr="00AE4411">
        <w:t>d a</w:t>
      </w:r>
      <w:r w:rsidR="000A1BF3" w:rsidRPr="00AE4411">
        <w:t xml:space="preserve"> sector</w:t>
      </w:r>
      <w:r w:rsidR="00766311" w:rsidRPr="00AE4411">
        <w:t xml:space="preserve"> over</w:t>
      </w:r>
      <w:r w:rsidR="002D6B65" w:rsidRPr="00AE4411">
        <w:t>-</w:t>
      </w:r>
      <w:r w:rsidR="00766311" w:rsidRPr="00AE4411">
        <w:t>capacity in the ACT. Australian Government data on attendance at ECEC services</w:t>
      </w:r>
      <w:r w:rsidR="00766311" w:rsidRPr="00AE4411">
        <w:rPr>
          <w:rStyle w:val="FootnoteReference"/>
        </w:rPr>
        <w:footnoteReference w:id="7"/>
      </w:r>
      <w:r w:rsidR="00D20D37" w:rsidRPr="00AE4411">
        <w:t xml:space="preserve"> </w:t>
      </w:r>
      <w:r w:rsidR="002D6B65" w:rsidRPr="00AE4411">
        <w:t>show</w:t>
      </w:r>
      <w:r w:rsidR="0062456A" w:rsidRPr="00AE4411">
        <w:t>ed</w:t>
      </w:r>
      <w:r w:rsidR="00766311" w:rsidRPr="00AE4411">
        <w:t xml:space="preserve"> </w:t>
      </w:r>
      <w:r w:rsidR="00D20D37" w:rsidRPr="00AE4411">
        <w:t xml:space="preserve">total </w:t>
      </w:r>
      <w:r w:rsidR="00766311" w:rsidRPr="00AE4411">
        <w:t>attendance</w:t>
      </w:r>
      <w:r w:rsidR="00D20D37" w:rsidRPr="00AE4411">
        <w:t xml:space="preserve"> in the ACT</w:t>
      </w:r>
      <w:r w:rsidR="00766311" w:rsidRPr="00AE4411">
        <w:t xml:space="preserve"> of 14,160 children</w:t>
      </w:r>
      <w:r w:rsidR="00766311" w:rsidRPr="00AE4411">
        <w:rPr>
          <w:rFonts w:cs="Calibri"/>
          <w:color w:val="000000"/>
        </w:rPr>
        <w:t>.</w:t>
      </w:r>
      <w:r w:rsidR="002D6B65" w:rsidRPr="00AE4411">
        <w:rPr>
          <w:rFonts w:cs="Calibri"/>
          <w:color w:val="000000"/>
        </w:rPr>
        <w:t xml:space="preserve"> </w:t>
      </w:r>
      <w:r w:rsidR="000F6ECE" w:rsidRPr="00AE4411">
        <w:rPr>
          <w:rFonts w:cs="Calibri"/>
          <w:color w:val="000000"/>
        </w:rPr>
        <w:t xml:space="preserve">Attendance at ECEC services is mixed, with some families using only a few hours per week, while other families use fifty or more hours per week. </w:t>
      </w:r>
    </w:p>
    <w:p w:rsidR="00D20D37" w:rsidRPr="00AE4411" w:rsidRDefault="002D6B65" w:rsidP="00D20D37">
      <w:pPr>
        <w:pStyle w:val="AccessibleBody"/>
      </w:pPr>
      <w:r w:rsidRPr="00AE4411">
        <w:rPr>
          <w:rFonts w:cs="Calibri"/>
          <w:b/>
          <w:color w:val="000000"/>
        </w:rPr>
        <w:t xml:space="preserve">Figure </w:t>
      </w:r>
      <w:r w:rsidR="00D268D2" w:rsidRPr="00AE4411">
        <w:rPr>
          <w:rFonts w:cs="Calibri"/>
          <w:b/>
          <w:color w:val="000000"/>
        </w:rPr>
        <w:t>3</w:t>
      </w:r>
      <w:r w:rsidRPr="00AE4411">
        <w:rPr>
          <w:rFonts w:cs="Calibri"/>
          <w:color w:val="000000"/>
        </w:rPr>
        <w:t xml:space="preserve"> below shows the </w:t>
      </w:r>
      <w:r w:rsidR="00D20D37" w:rsidRPr="00AE4411">
        <w:t>national breakdown of hours purchased by families</w:t>
      </w:r>
      <w:r w:rsidRPr="00AE4411">
        <w:t>. This data is not available for the ACT.</w:t>
      </w:r>
      <w:r w:rsidR="000F6ECE" w:rsidRPr="00AE4411">
        <w:t xml:space="preserve"> The </w:t>
      </w:r>
      <w:r w:rsidR="001135FA" w:rsidRPr="00AE4411">
        <w:t>Review</w:t>
      </w:r>
      <w:r w:rsidR="000F6ECE" w:rsidRPr="00AE4411">
        <w:t xml:space="preserve"> has used the National breakdown of hours used by families as a proxy for hours used by ACT families, noting that there may be some differences in attendance patterns in the ACT.</w:t>
      </w:r>
    </w:p>
    <w:p w:rsidR="000A1BF3" w:rsidRPr="00AE4411" w:rsidRDefault="000A1BF3" w:rsidP="000A1BF3">
      <w:r w:rsidRPr="00AE4411">
        <w:rPr>
          <w:noProof/>
          <w:lang w:eastAsia="en-AU"/>
        </w:rPr>
        <w:drawing>
          <wp:inline distT="0" distB="0" distL="0" distR="0">
            <wp:extent cx="4446072" cy="2505693"/>
            <wp:effectExtent l="19050" t="0" r="0" b="0"/>
            <wp:docPr id="14" name="Picture 14" descr="This pie chart shows the proportion of average hours per week of children using Long Day Care by state and territory for the June quarter 2015.&#10;&#10;See table below for long description of data shown in pie 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l="2882" t="3125" r="2519" b="2679"/>
                    <a:stretch>
                      <a:fillRect/>
                    </a:stretch>
                  </pic:blipFill>
                  <pic:spPr bwMode="auto">
                    <a:xfrm>
                      <a:off x="0" y="0"/>
                      <a:ext cx="4446072" cy="2505693"/>
                    </a:xfrm>
                    <a:prstGeom prst="rect">
                      <a:avLst/>
                    </a:prstGeom>
                    <a:noFill/>
                  </pic:spPr>
                </pic:pic>
              </a:graphicData>
            </a:graphic>
          </wp:inline>
        </w:drawing>
      </w:r>
    </w:p>
    <w:p w:rsidR="000A1BF3" w:rsidRPr="00AE4411" w:rsidRDefault="000A1BF3" w:rsidP="00D20D37">
      <w:pPr>
        <w:pStyle w:val="AccessibleBody"/>
        <w:rPr>
          <w:sz w:val="18"/>
          <w:szCs w:val="18"/>
        </w:rPr>
      </w:pPr>
      <w:r w:rsidRPr="00AE4411">
        <w:rPr>
          <w:sz w:val="18"/>
          <w:szCs w:val="18"/>
        </w:rPr>
        <w:t xml:space="preserve">Fig </w:t>
      </w:r>
      <w:r w:rsidR="00D268D2" w:rsidRPr="00AE4411">
        <w:rPr>
          <w:sz w:val="18"/>
          <w:szCs w:val="18"/>
        </w:rPr>
        <w:t>3</w:t>
      </w:r>
      <w:r w:rsidR="00DA6281" w:rsidRPr="00AE4411">
        <w:rPr>
          <w:sz w:val="18"/>
          <w:szCs w:val="18"/>
        </w:rPr>
        <w:t xml:space="preserve"> -</w:t>
      </w:r>
      <w:r w:rsidRPr="00AE4411">
        <w:rPr>
          <w:sz w:val="18"/>
          <w:szCs w:val="18"/>
        </w:rPr>
        <w:t xml:space="preserve"> Children using Long Day Care by average hours per week</w:t>
      </w:r>
      <w:r w:rsidR="00766311" w:rsidRPr="00AE4411">
        <w:rPr>
          <w:sz w:val="18"/>
          <w:szCs w:val="18"/>
        </w:rPr>
        <w:t xml:space="preserve"> -</w:t>
      </w:r>
      <w:r w:rsidRPr="00AE4411">
        <w:rPr>
          <w:sz w:val="18"/>
          <w:szCs w:val="18"/>
        </w:rPr>
        <w:t xml:space="preserve"> </w:t>
      </w:r>
      <w:r w:rsidR="00766311" w:rsidRPr="00AE4411">
        <w:rPr>
          <w:sz w:val="18"/>
          <w:szCs w:val="18"/>
        </w:rPr>
        <w:t>Early childhood and Child Care in Summary June Quarter 2015</w:t>
      </w:r>
    </w:p>
    <w:p w:rsidR="000A1BF3" w:rsidRPr="00AE4411" w:rsidRDefault="002D6B65" w:rsidP="00D20D37">
      <w:pPr>
        <w:pStyle w:val="AccessibleBody"/>
      </w:pPr>
      <w:r w:rsidRPr="00AE4411">
        <w:rPr>
          <w:b/>
        </w:rPr>
        <w:lastRenderedPageBreak/>
        <w:t xml:space="preserve">Figure </w:t>
      </w:r>
      <w:r w:rsidR="00D268D2" w:rsidRPr="00AE4411">
        <w:rPr>
          <w:b/>
        </w:rPr>
        <w:t>4</w:t>
      </w:r>
      <w:r w:rsidRPr="00AE4411">
        <w:t xml:space="preserve"> below shows the conversion of a the national usage by percentage against the total available places in the ACT of 11,517</w:t>
      </w:r>
      <w:r w:rsidR="00936347" w:rsidRPr="00AE4411">
        <w:t>, with places at 40 hours or more being considered full use of a place.</w:t>
      </w:r>
    </w:p>
    <w:tbl>
      <w:tblPr>
        <w:tblStyle w:val="MediumShading1-Accent4"/>
        <w:tblW w:w="5000" w:type="pct"/>
        <w:tblLook w:val="04A0" w:firstRow="1" w:lastRow="0" w:firstColumn="1" w:lastColumn="0" w:noHBand="0" w:noVBand="1"/>
      </w:tblPr>
      <w:tblGrid>
        <w:gridCol w:w="2454"/>
        <w:gridCol w:w="1135"/>
        <w:gridCol w:w="1151"/>
        <w:gridCol w:w="1083"/>
        <w:gridCol w:w="1119"/>
        <w:gridCol w:w="1107"/>
        <w:gridCol w:w="977"/>
      </w:tblGrid>
      <w:tr w:rsidR="00766311" w:rsidRPr="00AE4411" w:rsidTr="00D7636D">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89" w:type="pct"/>
            <w:hideMark/>
          </w:tcPr>
          <w:p w:rsidR="00766311" w:rsidRPr="00AE4411" w:rsidRDefault="00766311" w:rsidP="007F7908">
            <w:pPr>
              <w:rPr>
                <w:lang w:eastAsia="en-AU"/>
              </w:rPr>
            </w:pPr>
            <w:r w:rsidRPr="00AE4411">
              <w:rPr>
                <w:lang w:eastAsia="en-AU"/>
              </w:rPr>
              <w:t>Over Capacity Estimate for the ACT</w:t>
            </w:r>
          </w:p>
        </w:tc>
        <w:tc>
          <w:tcPr>
            <w:tcW w:w="724" w:type="pct"/>
            <w:hideMark/>
          </w:tcPr>
          <w:p w:rsidR="00766311" w:rsidRPr="00AE4411" w:rsidRDefault="00766311" w:rsidP="007F7908">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0 to less than 10 hours</w:t>
            </w:r>
          </w:p>
        </w:tc>
        <w:tc>
          <w:tcPr>
            <w:tcW w:w="733" w:type="pct"/>
            <w:hideMark/>
          </w:tcPr>
          <w:p w:rsidR="00766311" w:rsidRPr="00AE4411" w:rsidRDefault="00766311" w:rsidP="007F7908">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10 to less than 20 hours</w:t>
            </w:r>
          </w:p>
        </w:tc>
        <w:tc>
          <w:tcPr>
            <w:tcW w:w="695" w:type="pct"/>
            <w:hideMark/>
          </w:tcPr>
          <w:p w:rsidR="00766311" w:rsidRPr="00AE4411" w:rsidRDefault="00766311" w:rsidP="007F7908">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20 to less than 30 hours</w:t>
            </w:r>
          </w:p>
        </w:tc>
        <w:tc>
          <w:tcPr>
            <w:tcW w:w="715" w:type="pct"/>
            <w:hideMark/>
          </w:tcPr>
          <w:p w:rsidR="00766311" w:rsidRPr="00AE4411" w:rsidRDefault="00766311" w:rsidP="007F7908">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30 to less than 40 hours</w:t>
            </w:r>
          </w:p>
        </w:tc>
        <w:tc>
          <w:tcPr>
            <w:tcW w:w="708" w:type="pct"/>
            <w:hideMark/>
          </w:tcPr>
          <w:p w:rsidR="00766311" w:rsidRPr="00AE4411" w:rsidRDefault="00766311" w:rsidP="007F7908">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40 to less than 50 hours</w:t>
            </w:r>
          </w:p>
        </w:tc>
        <w:tc>
          <w:tcPr>
            <w:tcW w:w="636" w:type="pct"/>
            <w:hideMark/>
          </w:tcPr>
          <w:p w:rsidR="00766311" w:rsidRPr="00AE4411" w:rsidRDefault="00766311" w:rsidP="007F7908">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50 or more hours</w:t>
            </w:r>
          </w:p>
        </w:tc>
      </w:tr>
      <w:tr w:rsidR="00766311" w:rsidRPr="00AE4411" w:rsidTr="00D76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9" w:type="pct"/>
            <w:noWrap/>
            <w:hideMark/>
          </w:tcPr>
          <w:p w:rsidR="00766311" w:rsidRPr="00AE4411" w:rsidRDefault="00766311" w:rsidP="007F7908">
            <w:pPr>
              <w:rPr>
                <w:color w:val="000000"/>
                <w:lang w:eastAsia="en-AU"/>
              </w:rPr>
            </w:pPr>
            <w:r w:rsidRPr="00AE4411">
              <w:rPr>
                <w:color w:val="000000"/>
                <w:lang w:eastAsia="en-AU"/>
              </w:rPr>
              <w:t>National % Usage</w:t>
            </w:r>
          </w:p>
        </w:tc>
        <w:tc>
          <w:tcPr>
            <w:tcW w:w="724" w:type="pct"/>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5.20%</w:t>
            </w:r>
          </w:p>
        </w:tc>
        <w:tc>
          <w:tcPr>
            <w:tcW w:w="733" w:type="pct"/>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20.10%</w:t>
            </w:r>
          </w:p>
        </w:tc>
        <w:tc>
          <w:tcPr>
            <w:tcW w:w="695" w:type="pct"/>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34.60%</w:t>
            </w:r>
          </w:p>
        </w:tc>
        <w:tc>
          <w:tcPr>
            <w:tcW w:w="715" w:type="pct"/>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21.60%</w:t>
            </w:r>
          </w:p>
        </w:tc>
        <w:tc>
          <w:tcPr>
            <w:tcW w:w="708" w:type="pct"/>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12.30%</w:t>
            </w:r>
          </w:p>
        </w:tc>
        <w:tc>
          <w:tcPr>
            <w:tcW w:w="636" w:type="pct"/>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6.30%</w:t>
            </w:r>
          </w:p>
        </w:tc>
      </w:tr>
      <w:tr w:rsidR="00766311" w:rsidRPr="00AE4411" w:rsidTr="00D7636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9" w:type="pct"/>
            <w:noWrap/>
            <w:hideMark/>
          </w:tcPr>
          <w:p w:rsidR="00766311" w:rsidRPr="00AE4411" w:rsidRDefault="00936347" w:rsidP="007F7908">
            <w:pPr>
              <w:rPr>
                <w:color w:val="000000"/>
                <w:lang w:eastAsia="en-AU"/>
              </w:rPr>
            </w:pPr>
            <w:r w:rsidRPr="00AE4411">
              <w:rPr>
                <w:color w:val="000000"/>
                <w:lang w:eastAsia="en-AU"/>
              </w:rPr>
              <w:t>Current ACT Usage</w:t>
            </w:r>
          </w:p>
        </w:tc>
        <w:tc>
          <w:tcPr>
            <w:tcW w:w="724" w:type="pct"/>
            <w:noWrap/>
            <w:hideMark/>
          </w:tcPr>
          <w:p w:rsidR="00766311" w:rsidRPr="00AE4411" w:rsidRDefault="00766311" w:rsidP="007F7908">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AE4411">
              <w:rPr>
                <w:sz w:val="20"/>
                <w:szCs w:val="20"/>
                <w:lang w:eastAsia="en-AU"/>
              </w:rPr>
              <w:t xml:space="preserve">736 </w:t>
            </w:r>
          </w:p>
        </w:tc>
        <w:tc>
          <w:tcPr>
            <w:tcW w:w="733" w:type="pct"/>
            <w:noWrap/>
            <w:hideMark/>
          </w:tcPr>
          <w:p w:rsidR="00766311" w:rsidRPr="00AE4411" w:rsidRDefault="00766311" w:rsidP="007F7908">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AE4411">
              <w:rPr>
                <w:sz w:val="20"/>
                <w:szCs w:val="20"/>
                <w:lang w:eastAsia="en-AU"/>
              </w:rPr>
              <w:t xml:space="preserve">2,846 </w:t>
            </w:r>
          </w:p>
        </w:tc>
        <w:tc>
          <w:tcPr>
            <w:tcW w:w="695" w:type="pct"/>
            <w:noWrap/>
            <w:hideMark/>
          </w:tcPr>
          <w:p w:rsidR="00766311" w:rsidRPr="00AE4411" w:rsidRDefault="00766311" w:rsidP="007F7908">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AE4411">
              <w:rPr>
                <w:sz w:val="20"/>
                <w:szCs w:val="20"/>
                <w:lang w:eastAsia="en-AU"/>
              </w:rPr>
              <w:t xml:space="preserve">4,899 </w:t>
            </w:r>
          </w:p>
        </w:tc>
        <w:tc>
          <w:tcPr>
            <w:tcW w:w="715" w:type="pct"/>
            <w:noWrap/>
            <w:hideMark/>
          </w:tcPr>
          <w:p w:rsidR="00766311" w:rsidRPr="00AE4411" w:rsidRDefault="00766311" w:rsidP="007F7908">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AE4411">
              <w:rPr>
                <w:sz w:val="20"/>
                <w:szCs w:val="20"/>
                <w:lang w:eastAsia="en-AU"/>
              </w:rPr>
              <w:t xml:space="preserve">3,059 </w:t>
            </w:r>
          </w:p>
        </w:tc>
        <w:tc>
          <w:tcPr>
            <w:tcW w:w="708" w:type="pct"/>
            <w:noWrap/>
            <w:hideMark/>
          </w:tcPr>
          <w:p w:rsidR="00766311" w:rsidRPr="00AE4411" w:rsidRDefault="00766311" w:rsidP="007F7908">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AE4411">
              <w:rPr>
                <w:sz w:val="20"/>
                <w:szCs w:val="20"/>
                <w:lang w:eastAsia="en-AU"/>
              </w:rPr>
              <w:t xml:space="preserve">1,742 </w:t>
            </w:r>
          </w:p>
        </w:tc>
        <w:tc>
          <w:tcPr>
            <w:tcW w:w="636" w:type="pct"/>
            <w:noWrap/>
            <w:hideMark/>
          </w:tcPr>
          <w:p w:rsidR="00766311" w:rsidRPr="00AE4411" w:rsidRDefault="00766311" w:rsidP="007F7908">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AE4411">
              <w:rPr>
                <w:sz w:val="20"/>
                <w:szCs w:val="20"/>
                <w:lang w:eastAsia="en-AU"/>
              </w:rPr>
              <w:t xml:space="preserve">892 </w:t>
            </w:r>
          </w:p>
        </w:tc>
      </w:tr>
      <w:tr w:rsidR="00766311" w:rsidRPr="00AE4411" w:rsidTr="00D76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9" w:type="pct"/>
            <w:noWrap/>
            <w:hideMark/>
          </w:tcPr>
          <w:p w:rsidR="00766311" w:rsidRPr="00AE4411" w:rsidRDefault="00936347" w:rsidP="007F7908">
            <w:pPr>
              <w:rPr>
                <w:color w:val="000000"/>
                <w:lang w:eastAsia="en-AU"/>
              </w:rPr>
            </w:pPr>
            <w:r w:rsidRPr="00AE4411">
              <w:rPr>
                <w:color w:val="000000"/>
                <w:lang w:eastAsia="en-AU"/>
              </w:rPr>
              <w:t xml:space="preserve">ACT Usage as </w:t>
            </w:r>
            <w:r w:rsidR="00766311" w:rsidRPr="00AE4411">
              <w:rPr>
                <w:color w:val="000000"/>
                <w:lang w:eastAsia="en-AU"/>
              </w:rPr>
              <w:t>Places</w:t>
            </w:r>
          </w:p>
        </w:tc>
        <w:tc>
          <w:tcPr>
            <w:tcW w:w="724" w:type="pct"/>
            <w:noWrap/>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 xml:space="preserve">147 </w:t>
            </w:r>
          </w:p>
        </w:tc>
        <w:tc>
          <w:tcPr>
            <w:tcW w:w="733" w:type="pct"/>
            <w:noWrap/>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 xml:space="preserve">1,138 </w:t>
            </w:r>
          </w:p>
        </w:tc>
        <w:tc>
          <w:tcPr>
            <w:tcW w:w="695" w:type="pct"/>
            <w:noWrap/>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 xml:space="preserve">2,940 </w:t>
            </w:r>
          </w:p>
        </w:tc>
        <w:tc>
          <w:tcPr>
            <w:tcW w:w="715" w:type="pct"/>
            <w:noWrap/>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 xml:space="preserve">2,447 </w:t>
            </w:r>
          </w:p>
        </w:tc>
        <w:tc>
          <w:tcPr>
            <w:tcW w:w="708" w:type="pct"/>
            <w:noWrap/>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 xml:space="preserve">1,742 </w:t>
            </w:r>
          </w:p>
        </w:tc>
        <w:tc>
          <w:tcPr>
            <w:tcW w:w="636" w:type="pct"/>
            <w:noWrap/>
            <w:hideMark/>
          </w:tcPr>
          <w:p w:rsidR="00766311" w:rsidRPr="00AE4411" w:rsidRDefault="00766311" w:rsidP="007F790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E4411">
              <w:rPr>
                <w:sz w:val="20"/>
                <w:szCs w:val="20"/>
                <w:lang w:eastAsia="en-AU"/>
              </w:rPr>
              <w:t xml:space="preserve">892 </w:t>
            </w:r>
          </w:p>
        </w:tc>
      </w:tr>
    </w:tbl>
    <w:p w:rsidR="000A1BF3" w:rsidRPr="00AE4411" w:rsidRDefault="00936347" w:rsidP="007F7908">
      <w:pPr>
        <w:rPr>
          <w:sz w:val="18"/>
          <w:szCs w:val="18"/>
        </w:rPr>
      </w:pPr>
      <w:r w:rsidRPr="00AE4411">
        <w:rPr>
          <w:sz w:val="18"/>
          <w:szCs w:val="18"/>
        </w:rPr>
        <w:t xml:space="preserve">Fig </w:t>
      </w:r>
      <w:r w:rsidR="00D268D2" w:rsidRPr="00AE4411">
        <w:rPr>
          <w:sz w:val="18"/>
          <w:szCs w:val="18"/>
        </w:rPr>
        <w:t>4</w:t>
      </w:r>
      <w:r w:rsidR="00DA6281" w:rsidRPr="00AE4411">
        <w:rPr>
          <w:sz w:val="18"/>
          <w:szCs w:val="18"/>
        </w:rPr>
        <w:t xml:space="preserve"> -</w:t>
      </w:r>
      <w:r w:rsidRPr="00AE4411">
        <w:rPr>
          <w:sz w:val="18"/>
          <w:szCs w:val="18"/>
        </w:rPr>
        <w:t xml:space="preserve"> Calculation of the potential overcapacity in the ACT ECEC market</w:t>
      </w:r>
    </w:p>
    <w:p w:rsidR="00D20D37" w:rsidRPr="00AE4411" w:rsidRDefault="00936347" w:rsidP="00D20D37">
      <w:pPr>
        <w:pStyle w:val="AccessibleBody"/>
      </w:pPr>
      <w:r w:rsidRPr="00AE4411">
        <w:t>This calculat</w:t>
      </w:r>
      <w:r w:rsidR="004D0A6D">
        <w:t>ion provides an estimated utilis</w:t>
      </w:r>
      <w:r w:rsidRPr="00AE4411">
        <w:t xml:space="preserve">ation of available places in 2016 of 81%. If the capacity projected from those Development Applications with specified capacity is included, the potential utilization of places in 2018 falls to 74.95%, assuming no other changes in capacity over that period. </w:t>
      </w:r>
      <w:r w:rsidR="00D20D37" w:rsidRPr="00AE4411">
        <w:t xml:space="preserve">Participants at the 1 July </w:t>
      </w:r>
      <w:r w:rsidR="008C1EAF" w:rsidRPr="00AE4411">
        <w:t>Forum</w:t>
      </w:r>
      <w:r w:rsidR="00D20D37" w:rsidRPr="00AE4411">
        <w:t xml:space="preserve"> did not disagree with </w:t>
      </w:r>
      <w:r w:rsidR="000F6ECE" w:rsidRPr="00AE4411">
        <w:t xml:space="preserve">an overall ACT </w:t>
      </w:r>
      <w:r w:rsidR="00D20D37" w:rsidRPr="00AE4411">
        <w:t>estimate of capacity</w:t>
      </w:r>
      <w:r w:rsidR="000F6ECE" w:rsidRPr="00AE4411">
        <w:t xml:space="preserve"> utilisation of 81%</w:t>
      </w:r>
      <w:r w:rsidR="00D20D37" w:rsidRPr="00AE4411">
        <w:t>.</w:t>
      </w:r>
    </w:p>
    <w:p w:rsidR="0043390A" w:rsidRPr="00AE4411" w:rsidRDefault="00936347" w:rsidP="00D05A72">
      <w:pPr>
        <w:pStyle w:val="AccessibleBody"/>
      </w:pPr>
      <w:r w:rsidRPr="00AE4411">
        <w:t>It is not possible from this analysis at the overall ACT level to determine how overcapacity might be distributed</w:t>
      </w:r>
      <w:r w:rsidR="000F6ECE" w:rsidRPr="00AE4411">
        <w:t xml:space="preserve"> across service providers in the ACT</w:t>
      </w:r>
      <w:r w:rsidRPr="00AE4411">
        <w:t xml:space="preserve">. Feedback from </w:t>
      </w:r>
      <w:r w:rsidR="008C1EAF" w:rsidRPr="00AE4411">
        <w:t>Forum</w:t>
      </w:r>
      <w:r w:rsidRPr="00AE4411">
        <w:t xml:space="preserve"> participants, and other evidence collected by the </w:t>
      </w:r>
      <w:r w:rsidR="001135FA" w:rsidRPr="00AE4411">
        <w:t>Review</w:t>
      </w:r>
      <w:r w:rsidR="000F6ECE" w:rsidRPr="00AE4411">
        <w:t xml:space="preserve"> suggests that some ECEC service providers are maintaining waiting lists, and are operating at, or near, capacity</w:t>
      </w:r>
      <w:r w:rsidR="0043390A" w:rsidRPr="00AE4411">
        <w:t>, while others were operating at much lower levels of capacity</w:t>
      </w:r>
      <w:r w:rsidR="000F6ECE" w:rsidRPr="00AE4411">
        <w:t xml:space="preserve">. </w:t>
      </w:r>
    </w:p>
    <w:p w:rsidR="00D05A72" w:rsidRDefault="0043390A" w:rsidP="00D05A72">
      <w:pPr>
        <w:pStyle w:val="AccessibleBody"/>
      </w:pPr>
      <w:r w:rsidRPr="00AE4411">
        <w:t>T</w:t>
      </w:r>
      <w:r w:rsidR="000F6ECE" w:rsidRPr="00AE4411">
        <w:t xml:space="preserve">he </w:t>
      </w:r>
      <w:r w:rsidR="00B75CE4">
        <w:t xml:space="preserve">2016 </w:t>
      </w:r>
      <w:r w:rsidR="001135FA" w:rsidRPr="00AE4411">
        <w:t>Review</w:t>
      </w:r>
      <w:r w:rsidR="000F6ECE" w:rsidRPr="00AE4411">
        <w:t xml:space="preserve"> did not consider this an unusual pattern and was of the view that the most likely pattern is that some ECEC service providers, due to location and other factors, were less able to attract clients and had higher levels of under-utilization of places tha</w:t>
      </w:r>
      <w:r w:rsidR="008C1EAF" w:rsidRPr="00AE4411">
        <w:t>n</w:t>
      </w:r>
      <w:r w:rsidR="000F6ECE" w:rsidRPr="00AE4411">
        <w:t xml:space="preserve"> an ACT wide estimate of 19% would suggest.</w:t>
      </w:r>
      <w:r w:rsidRPr="00AE4411">
        <w:t xml:space="preserve"> </w:t>
      </w:r>
      <w:r w:rsidR="000F6ECE" w:rsidRPr="00AE4411">
        <w:t xml:space="preserve">The </w:t>
      </w:r>
      <w:r w:rsidR="001135FA" w:rsidRPr="00AE4411">
        <w:t>Review</w:t>
      </w:r>
      <w:r w:rsidR="000F6ECE" w:rsidRPr="00AE4411">
        <w:t xml:space="preserve"> </w:t>
      </w:r>
      <w:r w:rsidRPr="00AE4411">
        <w:t xml:space="preserve">also </w:t>
      </w:r>
      <w:r w:rsidR="00D05A72" w:rsidRPr="00AE4411">
        <w:t xml:space="preserve">considers that it would be valuable to be able to determine any pattern to the overcapacity that appears to exist in the sector in the ACT, including whether any of the four ECEC sub-sectors described </w:t>
      </w:r>
      <w:r w:rsidR="008C1EAF" w:rsidRPr="00AE4411">
        <w:t>below</w:t>
      </w:r>
      <w:r w:rsidR="00D05A72" w:rsidRPr="00AE4411">
        <w:t xml:space="preserve"> is disproportionately impacted by overcapacity issues. </w:t>
      </w:r>
    </w:p>
    <w:p w:rsidR="004B675C" w:rsidRPr="00AE4411" w:rsidRDefault="004B14CF" w:rsidP="00D05A72">
      <w:pPr>
        <w:pStyle w:val="AccessibleBody"/>
      </w:pPr>
      <w:r>
        <w:rPr>
          <w:noProof/>
          <w:lang w:eastAsia="en-AU"/>
        </w:rPr>
        <w:lastRenderedPageBreak/>
        <mc:AlternateContent>
          <mc:Choice Requires="wps">
            <w:drawing>
              <wp:anchor distT="91440" distB="91440" distL="114300" distR="114300" simplePos="0" relativeHeight="251662848" behindDoc="0" locked="0" layoutInCell="0" allowOverlap="1">
                <wp:simplePos x="0" y="0"/>
                <wp:positionH relativeFrom="margin">
                  <wp:posOffset>-19050</wp:posOffset>
                </wp:positionH>
                <wp:positionV relativeFrom="margin">
                  <wp:posOffset>228600</wp:posOffset>
                </wp:positionV>
                <wp:extent cx="5913120" cy="2240280"/>
                <wp:effectExtent l="19050" t="9525" r="11430" b="17145"/>
                <wp:wrapSquare wrapText="bothSides"/>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13120" cy="224028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E0AC1" w:rsidRPr="00B75CE4" w:rsidRDefault="007E0AC1" w:rsidP="006F5710">
                            <w:pPr>
                              <w:rPr>
                                <w:sz w:val="24"/>
                                <w:szCs w:val="24"/>
                              </w:rPr>
                            </w:pPr>
                            <w:r w:rsidRPr="00B75CE4">
                              <w:rPr>
                                <w:sz w:val="24"/>
                                <w:szCs w:val="24"/>
                              </w:rPr>
                              <w:t>ISSUES</w:t>
                            </w:r>
                          </w:p>
                          <w:p w:rsidR="007E0AC1" w:rsidRPr="00B75CE4" w:rsidRDefault="007E0AC1" w:rsidP="006F5710">
                            <w:pPr>
                              <w:rPr>
                                <w:sz w:val="24"/>
                                <w:szCs w:val="24"/>
                              </w:rPr>
                            </w:pPr>
                            <w:r w:rsidRPr="00B75CE4">
                              <w:rPr>
                                <w:sz w:val="24"/>
                                <w:szCs w:val="24"/>
                              </w:rPr>
                              <w:t>Reliable, quantifiable data about the utilisation of ECEC places is not available to the ACT Government to inform capacity management across the ACT.</w:t>
                            </w:r>
                          </w:p>
                          <w:p w:rsidR="007E0AC1" w:rsidRPr="006F5710" w:rsidRDefault="007E0AC1" w:rsidP="006F5710">
                            <w:pPr>
                              <w:rPr>
                                <w:sz w:val="24"/>
                                <w:szCs w:val="24"/>
                              </w:rPr>
                            </w:pPr>
                            <w:r>
                              <w:rPr>
                                <w:sz w:val="24"/>
                                <w:szCs w:val="24"/>
                              </w:rPr>
                              <w:t>Would the sector and community benefit from a means to record reliable data on capacity? Should that information inform a means to manage capacity, such as decisions on service approvals, or be readily available to prospective developers and providers?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o:spid="_x0000_s1028" style="position:absolute;margin-left:-1.5pt;margin-top:18pt;width:465.6pt;height:176.4pt;flip:x;z-index:251662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" o:allowincell="f" filled="f" fillcolor="black [3213]" strokecolor="black [3213]" strokeweight="1.5pt">
                <v:shadow color="#f79646 [3209]" opacity=".5" offset="-15pt,0"/>
                <v:textbox inset="21.6pt,21.6pt,21.6pt,21.6pt">
                  <w:txbxContent>
                    <w:p w:rsidR="007E0AC1" w:rsidRPr="00B75CE4" w:rsidRDefault="007E0AC1" w:rsidP="006F5710">
                      <w:pPr>
                        <w:rPr>
                          <w:sz w:val="24"/>
                          <w:szCs w:val="24"/>
                        </w:rPr>
                      </w:pPr>
                      <w:r w:rsidRPr="00B75CE4">
                        <w:rPr>
                          <w:sz w:val="24"/>
                          <w:szCs w:val="24"/>
                        </w:rPr>
                        <w:t>ISSUES</w:t>
                      </w:r>
                    </w:p>
                    <w:p w:rsidR="007E0AC1" w:rsidRPr="00B75CE4" w:rsidRDefault="007E0AC1" w:rsidP="006F5710">
                      <w:pPr>
                        <w:rPr>
                          <w:sz w:val="24"/>
                          <w:szCs w:val="24"/>
                        </w:rPr>
                      </w:pPr>
                      <w:r w:rsidRPr="00B75CE4">
                        <w:rPr>
                          <w:sz w:val="24"/>
                          <w:szCs w:val="24"/>
                        </w:rPr>
                        <w:t>Reliable, quantifiable data about the utilisation of ECEC places is not available to the ACT Government to inform capacity management across the ACT.</w:t>
                      </w:r>
                    </w:p>
                    <w:p w:rsidR="007E0AC1" w:rsidRPr="006F5710" w:rsidRDefault="007E0AC1" w:rsidP="006F5710">
                      <w:pPr>
                        <w:rPr>
                          <w:sz w:val="24"/>
                          <w:szCs w:val="24"/>
                        </w:rPr>
                      </w:pPr>
                      <w:r>
                        <w:rPr>
                          <w:sz w:val="24"/>
                          <w:szCs w:val="24"/>
                        </w:rPr>
                        <w:t>Would the sector and community benefit from a means to record reliable data on capacity? Should that information inform a means to manage capacity, such as decisions on service approvals, or be readily available to prospective developers and providers?</w:t>
                      </w:r>
                    </w:p>
                  </w:txbxContent>
                </v:textbox>
                <w10:wrap type="square" anchorx="margin" anchory="margin"/>
              </v:rect>
            </w:pict>
          </mc:Fallback>
        </mc:AlternateContent>
      </w:r>
    </w:p>
    <w:p w:rsidR="00D346B6" w:rsidRPr="00AE4411" w:rsidRDefault="00D346B6" w:rsidP="00841FED">
      <w:pPr>
        <w:pStyle w:val="PolicyHeading3-Accessible"/>
      </w:pPr>
      <w:bookmarkStart w:id="24" w:name="_Toc509497644"/>
      <w:r w:rsidRPr="00AE4411">
        <w:t>Sector structure</w:t>
      </w:r>
      <w:bookmarkEnd w:id="23"/>
      <w:r w:rsidR="00BC10FC" w:rsidRPr="00AE4411">
        <w:t xml:space="preserve"> – Who owns ECEC services in the ACT?</w:t>
      </w:r>
      <w:bookmarkEnd w:id="24"/>
    </w:p>
    <w:p w:rsidR="0043390A" w:rsidRPr="00AE4411" w:rsidRDefault="00210ECC" w:rsidP="00AF143A">
      <w:pPr>
        <w:pStyle w:val="AccessibleBody"/>
        <w:spacing w:after="360"/>
        <w:contextualSpacing/>
      </w:pPr>
      <w:r w:rsidRPr="00AE4411">
        <w:t xml:space="preserve">Historically in the ACT </w:t>
      </w:r>
      <w:r w:rsidR="0043390A" w:rsidRPr="00AE4411">
        <w:t>not-for-profit service providers delivered most of the ECEC services</w:t>
      </w:r>
      <w:r w:rsidRPr="00AE4411">
        <w:t>.</w:t>
      </w:r>
      <w:r w:rsidR="002242DF">
        <w:t xml:space="preserve"> </w:t>
      </w:r>
      <w:r w:rsidRPr="00AE4411">
        <w:t>M</w:t>
      </w:r>
      <w:r w:rsidR="0043390A" w:rsidRPr="00AE4411">
        <w:t xml:space="preserve">uch of the new capacity in the ECEC market since 2012 </w:t>
      </w:r>
      <w:r w:rsidRPr="00AE4411">
        <w:t xml:space="preserve">was </w:t>
      </w:r>
      <w:r w:rsidR="0043390A" w:rsidRPr="00AE4411">
        <w:t>established by for-profit service providers, many new to the ACT</w:t>
      </w:r>
      <w:r w:rsidR="002242DF">
        <w:t>.</w:t>
      </w:r>
    </w:p>
    <w:p w:rsidR="0043390A" w:rsidRPr="00AE4411" w:rsidRDefault="0043390A" w:rsidP="00AF143A">
      <w:pPr>
        <w:pStyle w:val="AccessibleBody"/>
        <w:spacing w:after="360"/>
        <w:contextualSpacing/>
      </w:pPr>
    </w:p>
    <w:p w:rsidR="00121484" w:rsidRPr="00AE4411" w:rsidRDefault="00210ECC" w:rsidP="00AF143A">
      <w:pPr>
        <w:pStyle w:val="AccessibleBody"/>
        <w:spacing w:after="360"/>
        <w:contextualSpacing/>
      </w:pPr>
      <w:r w:rsidRPr="00AE4411">
        <w:t xml:space="preserve">The 2016 </w:t>
      </w:r>
      <w:r w:rsidR="001135FA" w:rsidRPr="00AE4411">
        <w:t>Review</w:t>
      </w:r>
      <w:r w:rsidR="00AF143A" w:rsidRPr="00AE4411">
        <w:t xml:space="preserve"> found </w:t>
      </w:r>
      <w:r w:rsidR="00D346B6" w:rsidRPr="00AE4411">
        <w:t>a distinc</w:t>
      </w:r>
      <w:r w:rsidR="009148EB" w:rsidRPr="00AE4411">
        <w:t>t pattern to the</w:t>
      </w:r>
      <w:r w:rsidR="00AF143A" w:rsidRPr="00AE4411">
        <w:t xml:space="preserve"> </w:t>
      </w:r>
      <w:r w:rsidR="00292036" w:rsidRPr="00AE4411">
        <w:t xml:space="preserve">ownership </w:t>
      </w:r>
      <w:r w:rsidR="00AF143A" w:rsidRPr="00AE4411">
        <w:t xml:space="preserve">structure of the sector </w:t>
      </w:r>
      <w:r w:rsidR="00D346B6" w:rsidRPr="00AE4411">
        <w:t>in the ACT.</w:t>
      </w:r>
      <w:r w:rsidR="00121484" w:rsidRPr="00AE4411">
        <w:t xml:space="preserve"> </w:t>
      </w:r>
      <w:r w:rsidRPr="00AE4411">
        <w:t>E</w:t>
      </w:r>
      <w:r w:rsidR="00121484" w:rsidRPr="00AE4411">
        <w:t>ach of the</w:t>
      </w:r>
      <w:r w:rsidR="00AF143A" w:rsidRPr="00AE4411">
        <w:t xml:space="preserve"> 155</w:t>
      </w:r>
      <w:r w:rsidR="00361283" w:rsidRPr="00AE4411">
        <w:t xml:space="preserve"> </w:t>
      </w:r>
      <w:r w:rsidR="00121484" w:rsidRPr="00AE4411">
        <w:t>ECEC services</w:t>
      </w:r>
      <w:r w:rsidR="00AF143A" w:rsidRPr="00AE4411">
        <w:t xml:space="preserve"> in the ACT</w:t>
      </w:r>
      <w:r w:rsidRPr="00AE4411">
        <w:t xml:space="preserve"> fit</w:t>
      </w:r>
      <w:r w:rsidR="00D346B6" w:rsidRPr="00AE4411">
        <w:t xml:space="preserve"> </w:t>
      </w:r>
      <w:r w:rsidR="00121484" w:rsidRPr="00AE4411">
        <w:t xml:space="preserve">into one of the following </w:t>
      </w:r>
      <w:r w:rsidR="006547E6" w:rsidRPr="00AE4411">
        <w:t>sub-sector provider</w:t>
      </w:r>
      <w:r w:rsidR="00AF143A" w:rsidRPr="00AE4411">
        <w:t xml:space="preserve"> groups</w:t>
      </w:r>
      <w:r w:rsidR="00FF0C04" w:rsidRPr="00AE4411">
        <w:t>:</w:t>
      </w:r>
    </w:p>
    <w:p w:rsidR="00A439E9" w:rsidRPr="00AE4411" w:rsidRDefault="008C1EAF" w:rsidP="00421DCC">
      <w:pPr>
        <w:pStyle w:val="AccessibleBody"/>
        <w:numPr>
          <w:ilvl w:val="0"/>
          <w:numId w:val="6"/>
        </w:numPr>
        <w:tabs>
          <w:tab w:val="num" w:pos="360"/>
        </w:tabs>
        <w:spacing w:before="240" w:after="120"/>
        <w:ind w:left="714" w:hanging="357"/>
        <w:contextualSpacing/>
      </w:pPr>
      <w:r w:rsidRPr="00AE4411">
        <w:t>s</w:t>
      </w:r>
      <w:r w:rsidR="00AF143A" w:rsidRPr="00AE4411">
        <w:t xml:space="preserve">ervices provided by </w:t>
      </w:r>
      <w:r w:rsidR="00121484" w:rsidRPr="00AE4411">
        <w:t>for-profit</w:t>
      </w:r>
      <w:r w:rsidR="00AF143A" w:rsidRPr="00AE4411">
        <w:t xml:space="preserve"> providers</w:t>
      </w:r>
    </w:p>
    <w:p w:rsidR="00A439E9" w:rsidRPr="00AE4411" w:rsidRDefault="00AF143A" w:rsidP="00421DCC">
      <w:pPr>
        <w:pStyle w:val="AccessibleBody"/>
        <w:numPr>
          <w:ilvl w:val="0"/>
          <w:numId w:val="6"/>
        </w:numPr>
        <w:tabs>
          <w:tab w:val="num" w:pos="360"/>
        </w:tabs>
        <w:spacing w:before="120" w:after="120"/>
        <w:ind w:left="714" w:hanging="357"/>
        <w:contextualSpacing/>
      </w:pPr>
      <w:r w:rsidRPr="00AE4411">
        <w:t xml:space="preserve">services provided by </w:t>
      </w:r>
      <w:r w:rsidR="00121484" w:rsidRPr="00AE4411">
        <w:t>community service not-for-profit</w:t>
      </w:r>
    </w:p>
    <w:p w:rsidR="00A439E9" w:rsidRPr="00AE4411" w:rsidRDefault="00AF143A" w:rsidP="00421DCC">
      <w:pPr>
        <w:pStyle w:val="AccessibleBody"/>
        <w:numPr>
          <w:ilvl w:val="0"/>
          <w:numId w:val="6"/>
        </w:numPr>
        <w:tabs>
          <w:tab w:val="num" w:pos="360"/>
        </w:tabs>
        <w:spacing w:before="120" w:after="120"/>
        <w:ind w:left="714" w:hanging="357"/>
        <w:contextualSpacing/>
      </w:pPr>
      <w:r w:rsidRPr="00AE4411">
        <w:t xml:space="preserve">services provided by </w:t>
      </w:r>
      <w:r w:rsidR="00121484" w:rsidRPr="00AE4411">
        <w:t>independent not</w:t>
      </w:r>
      <w:r w:rsidRPr="00AE4411">
        <w:t>-</w:t>
      </w:r>
      <w:r w:rsidR="00121484" w:rsidRPr="00AE4411">
        <w:t>for</w:t>
      </w:r>
      <w:r w:rsidRPr="00AE4411">
        <w:t>-</w:t>
      </w:r>
      <w:r w:rsidR="00121484" w:rsidRPr="00AE4411">
        <w:t>profit</w:t>
      </w:r>
      <w:r w:rsidRPr="00AE4411">
        <w:t xml:space="preserve"> providers</w:t>
      </w:r>
    </w:p>
    <w:p w:rsidR="00A439E9" w:rsidRPr="00AE4411" w:rsidRDefault="00AF143A" w:rsidP="00421DCC">
      <w:pPr>
        <w:pStyle w:val="AccessibleBody"/>
        <w:numPr>
          <w:ilvl w:val="0"/>
          <w:numId w:val="6"/>
        </w:numPr>
        <w:tabs>
          <w:tab w:val="num" w:pos="360"/>
        </w:tabs>
        <w:spacing w:before="120" w:after="120"/>
        <w:ind w:left="714" w:hanging="357"/>
      </w:pPr>
      <w:r w:rsidRPr="00AE4411">
        <w:t xml:space="preserve">services provided in conjunction with </w:t>
      </w:r>
      <w:r w:rsidR="00121484" w:rsidRPr="00AE4411">
        <w:t xml:space="preserve">non-government </w:t>
      </w:r>
      <w:r w:rsidR="00FF0C04" w:rsidRPr="00AE4411">
        <w:t>preschool</w:t>
      </w:r>
      <w:r w:rsidRPr="00AE4411">
        <w:t>s</w:t>
      </w:r>
      <w:r w:rsidR="00CD08C4" w:rsidRPr="00AE4411">
        <w:t>.</w:t>
      </w:r>
    </w:p>
    <w:p w:rsidR="00561293" w:rsidRPr="00AE4411" w:rsidRDefault="00AF143A" w:rsidP="00DB7B3E">
      <w:pPr>
        <w:pStyle w:val="AccessibleBody"/>
      </w:pPr>
      <w:r w:rsidRPr="00AE4411">
        <w:t>A little more</w:t>
      </w:r>
      <w:r w:rsidR="003B26ED" w:rsidRPr="00AE4411">
        <w:t xml:space="preserve"> than </w:t>
      </w:r>
      <w:r w:rsidR="00D346B6" w:rsidRPr="00AE4411">
        <w:t>one third of the</w:t>
      </w:r>
      <w:r w:rsidR="004A2570" w:rsidRPr="00AE4411">
        <w:t xml:space="preserve"> </w:t>
      </w:r>
      <w:r w:rsidRPr="00AE4411">
        <w:t xml:space="preserve">in scope </w:t>
      </w:r>
      <w:r w:rsidR="00D346B6" w:rsidRPr="00AE4411">
        <w:t>services</w:t>
      </w:r>
      <w:r w:rsidR="0043390A" w:rsidRPr="00AE4411">
        <w:t xml:space="preserve"> delivered in the ACT</w:t>
      </w:r>
      <w:r w:rsidR="00D346B6" w:rsidRPr="00AE4411">
        <w:t xml:space="preserve"> are owned by </w:t>
      </w:r>
      <w:r w:rsidR="00561293" w:rsidRPr="00AE4411">
        <w:t>for-profit entities</w:t>
      </w:r>
      <w:r w:rsidR="00FE395D" w:rsidRPr="00AE4411">
        <w:t>.</w:t>
      </w:r>
      <w:r w:rsidR="00DE3B69" w:rsidRPr="00AE4411">
        <w:t xml:space="preserve"> Since 1 January 2012</w:t>
      </w:r>
      <w:r w:rsidR="004804C5" w:rsidRPr="00AE4411">
        <w:t>,</w:t>
      </w:r>
      <w:r w:rsidR="00561293" w:rsidRPr="00AE4411">
        <w:t xml:space="preserve"> </w:t>
      </w:r>
      <w:r w:rsidR="00DE3B69" w:rsidRPr="00AE4411">
        <w:t xml:space="preserve">there have been </w:t>
      </w:r>
      <w:r w:rsidR="00930075" w:rsidRPr="00AE4411">
        <w:t xml:space="preserve">19 </w:t>
      </w:r>
      <w:r w:rsidR="00DE3B69" w:rsidRPr="00AE4411">
        <w:t xml:space="preserve">new for-profit </w:t>
      </w:r>
      <w:r w:rsidR="00A94208" w:rsidRPr="00AE4411">
        <w:t xml:space="preserve">services </w:t>
      </w:r>
      <w:r w:rsidR="00FE395D" w:rsidRPr="00AE4411">
        <w:t xml:space="preserve">established in </w:t>
      </w:r>
      <w:r w:rsidR="00DE3B69" w:rsidRPr="00AE4411">
        <w:t>the ACT market</w:t>
      </w:r>
      <w:r w:rsidR="00210ECC" w:rsidRPr="00AE4411">
        <w:t>.</w:t>
      </w:r>
      <w:r w:rsidR="00FE395D" w:rsidRPr="00AE4411">
        <w:t xml:space="preserve"> Th</w:t>
      </w:r>
      <w:r w:rsidR="00292036" w:rsidRPr="00AE4411">
        <w:t>o</w:t>
      </w:r>
      <w:r w:rsidR="00FE395D" w:rsidRPr="00AE4411">
        <w:t xml:space="preserve">se new services </w:t>
      </w:r>
      <w:r w:rsidR="00292036" w:rsidRPr="00AE4411">
        <w:t xml:space="preserve">already operating </w:t>
      </w:r>
      <w:r w:rsidR="00FE395D" w:rsidRPr="00AE4411">
        <w:t>account for 1,654, or just over half of the new places that have become available in the ACT since 2012.</w:t>
      </w:r>
      <w:r w:rsidR="00B02586" w:rsidRPr="00AE4411">
        <w:t xml:space="preserve"> </w:t>
      </w:r>
      <w:r w:rsidR="00FE395D" w:rsidRPr="00AE4411">
        <w:t xml:space="preserve">These new </w:t>
      </w:r>
      <w:r w:rsidR="00B30E7B" w:rsidRPr="00AE4411">
        <w:t>services</w:t>
      </w:r>
      <w:r w:rsidR="00831814" w:rsidRPr="00AE4411">
        <w:t xml:space="preserve"> </w:t>
      </w:r>
      <w:r w:rsidR="00561293" w:rsidRPr="00AE4411">
        <w:t xml:space="preserve">often occupy new, purpose-built, premises. </w:t>
      </w:r>
      <w:r w:rsidR="004804C5" w:rsidRPr="00AE4411">
        <w:t xml:space="preserve">Of these new </w:t>
      </w:r>
      <w:r w:rsidR="00B30E7B" w:rsidRPr="00AE4411">
        <w:t>services</w:t>
      </w:r>
      <w:r w:rsidR="004804C5" w:rsidRPr="00AE4411">
        <w:t xml:space="preserve">, </w:t>
      </w:r>
      <w:r w:rsidR="00930075" w:rsidRPr="00AE4411">
        <w:t>15</w:t>
      </w:r>
      <w:r w:rsidR="004804C5" w:rsidRPr="00AE4411">
        <w:t xml:space="preserve"> have a </w:t>
      </w:r>
      <w:r w:rsidR="00322E9A" w:rsidRPr="00AE4411">
        <w:t xml:space="preserve">nominal </w:t>
      </w:r>
      <w:r w:rsidR="004804C5" w:rsidRPr="00AE4411">
        <w:t xml:space="preserve">capacity </w:t>
      </w:r>
      <w:r w:rsidR="00322E9A" w:rsidRPr="00AE4411">
        <w:t xml:space="preserve">for </w:t>
      </w:r>
      <w:r w:rsidR="004804C5" w:rsidRPr="00AE4411">
        <w:t xml:space="preserve">60 or more </w:t>
      </w:r>
      <w:r w:rsidR="00B02586" w:rsidRPr="00AE4411">
        <w:t>places</w:t>
      </w:r>
      <w:r w:rsidR="00322E9A" w:rsidRPr="00AE4411">
        <w:t xml:space="preserve">. </w:t>
      </w:r>
      <w:r w:rsidR="00292036" w:rsidRPr="00AE4411">
        <w:t>E</w:t>
      </w:r>
      <w:r w:rsidR="00322E9A" w:rsidRPr="00AE4411">
        <w:t>ight of these services have</w:t>
      </w:r>
      <w:r w:rsidR="00E6661F" w:rsidRPr="00AE4411">
        <w:t xml:space="preserve"> a nominal capacity</w:t>
      </w:r>
      <w:r w:rsidR="00322E9A" w:rsidRPr="00AE4411">
        <w:t xml:space="preserve"> for well over 100 </w:t>
      </w:r>
      <w:r w:rsidR="00B02586" w:rsidRPr="00AE4411">
        <w:t>places</w:t>
      </w:r>
      <w:r w:rsidR="00322E9A" w:rsidRPr="00AE4411">
        <w:t>.</w:t>
      </w:r>
      <w:r w:rsidR="004804C5" w:rsidRPr="00AE4411">
        <w:t xml:space="preserve"> </w:t>
      </w:r>
      <w:r w:rsidR="00561293" w:rsidRPr="00AE4411">
        <w:t xml:space="preserve">As can be seen from </w:t>
      </w:r>
      <w:r w:rsidR="00561293" w:rsidRPr="00AE4411">
        <w:rPr>
          <w:b/>
        </w:rPr>
        <w:t>Fig</w:t>
      </w:r>
      <w:r w:rsidR="00363090" w:rsidRPr="00AE4411">
        <w:rPr>
          <w:b/>
        </w:rPr>
        <w:t>ure</w:t>
      </w:r>
      <w:r w:rsidR="00561293" w:rsidRPr="00AE4411">
        <w:rPr>
          <w:b/>
        </w:rPr>
        <w:t xml:space="preserve"> </w:t>
      </w:r>
      <w:r w:rsidR="009259A2" w:rsidRPr="00AE4411">
        <w:rPr>
          <w:b/>
        </w:rPr>
        <w:t>5</w:t>
      </w:r>
      <w:r w:rsidR="00561293" w:rsidRPr="00AE4411">
        <w:t xml:space="preserve"> below, </w:t>
      </w:r>
      <w:r w:rsidR="0016584B" w:rsidRPr="00AE4411">
        <w:t>the for-profits are</w:t>
      </w:r>
      <w:r w:rsidR="00561293" w:rsidRPr="00AE4411">
        <w:t xml:space="preserve"> the fastest growing category of service provider</w:t>
      </w:r>
      <w:r w:rsidR="00FE395D" w:rsidRPr="00AE4411">
        <w:t xml:space="preserve"> in the ACT</w:t>
      </w:r>
      <w:r w:rsidR="00DB7B3E" w:rsidRPr="00AE4411">
        <w:t>.</w:t>
      </w:r>
    </w:p>
    <w:p w:rsidR="00AF143A" w:rsidRPr="00AE4411" w:rsidRDefault="00561293" w:rsidP="00DB7B3E">
      <w:pPr>
        <w:pStyle w:val="AccessibleBody"/>
      </w:pPr>
      <w:r w:rsidRPr="00AE4411">
        <w:t xml:space="preserve">A further third of total capacity is made up </w:t>
      </w:r>
      <w:r w:rsidR="00AF143A" w:rsidRPr="00AE4411">
        <w:t>by</w:t>
      </w:r>
      <w:r w:rsidRPr="00AE4411">
        <w:t xml:space="preserve"> </w:t>
      </w:r>
      <w:r w:rsidR="00D346B6" w:rsidRPr="00AE4411">
        <w:t xml:space="preserve">community </w:t>
      </w:r>
      <w:r w:rsidR="001B7404" w:rsidRPr="00AE4411">
        <w:t xml:space="preserve">service </w:t>
      </w:r>
      <w:r w:rsidR="00CF4A33" w:rsidRPr="00AE4411">
        <w:t xml:space="preserve">not-for-profit </w:t>
      </w:r>
      <w:r w:rsidR="00D346B6" w:rsidRPr="00AE4411">
        <w:t>providers</w:t>
      </w:r>
      <w:r w:rsidRPr="00AE4411">
        <w:t>.</w:t>
      </w:r>
      <w:r w:rsidR="00937E82" w:rsidRPr="00AE4411">
        <w:t xml:space="preserve"> </w:t>
      </w:r>
      <w:r w:rsidR="00236E8F" w:rsidRPr="00AE4411">
        <w:t>The entities that own and operate the services in this category are a mix of public companies</w:t>
      </w:r>
      <w:r w:rsidR="00BB7B05" w:rsidRPr="00AE4411">
        <w:t>;</w:t>
      </w:r>
      <w:r w:rsidR="00236E8F" w:rsidRPr="00AE4411">
        <w:t xml:space="preserve"> companies limited by guarantee</w:t>
      </w:r>
      <w:r w:rsidR="00BB7B05" w:rsidRPr="00AE4411">
        <w:t>;</w:t>
      </w:r>
      <w:r w:rsidR="00236E8F" w:rsidRPr="00AE4411">
        <w:t xml:space="preserve"> and incorporated associations. </w:t>
      </w:r>
      <w:r w:rsidR="00937E82" w:rsidRPr="00AE4411">
        <w:t>Their unifying characteristic is that they are</w:t>
      </w:r>
      <w:r w:rsidR="00AF143A" w:rsidRPr="00AE4411">
        <w:t xml:space="preserve"> all</w:t>
      </w:r>
      <w:r w:rsidR="00937E82" w:rsidRPr="00AE4411">
        <w:t xml:space="preserve"> also charities.</w:t>
      </w:r>
      <w:r w:rsidR="000055D1" w:rsidRPr="00AE4411">
        <w:t xml:space="preserve"> As charities, these services typically reflect the corporate characteristics of such entities, including Fringe Benefits Tax, Goods and </w:t>
      </w:r>
      <w:r w:rsidR="000055D1" w:rsidRPr="00AE4411">
        <w:lastRenderedPageBreak/>
        <w:t>Services Tax and Income Tax exemptions or concessions along with</w:t>
      </w:r>
      <w:r w:rsidR="00727100" w:rsidRPr="00AE4411">
        <w:t>,</w:t>
      </w:r>
      <w:r w:rsidR="000055D1" w:rsidRPr="00AE4411">
        <w:t xml:space="preserve"> </w:t>
      </w:r>
      <w:r w:rsidR="0016584B" w:rsidRPr="00AE4411">
        <w:t>in some</w:t>
      </w:r>
      <w:r w:rsidR="000055D1" w:rsidRPr="00AE4411">
        <w:t xml:space="preserve"> cases</w:t>
      </w:r>
      <w:r w:rsidR="00727100" w:rsidRPr="00AE4411">
        <w:t>,</w:t>
      </w:r>
      <w:r w:rsidR="000055D1" w:rsidRPr="00AE4411">
        <w:t xml:space="preserve"> also having </w:t>
      </w:r>
      <w:r w:rsidR="00727100" w:rsidRPr="00AE4411">
        <w:t xml:space="preserve">Public Benefit Institution and </w:t>
      </w:r>
      <w:r w:rsidR="000055D1" w:rsidRPr="00AE4411">
        <w:t>Deductible Gift Recipient status.</w:t>
      </w:r>
      <w:r w:rsidR="00121484" w:rsidRPr="00AE4411">
        <w:t xml:space="preserve"> </w:t>
      </w:r>
    </w:p>
    <w:p w:rsidR="00F428B8" w:rsidRPr="00AE4411" w:rsidRDefault="00937E82" w:rsidP="00DB7B3E">
      <w:pPr>
        <w:pStyle w:val="AccessibleBody"/>
      </w:pPr>
      <w:r w:rsidRPr="00AE4411">
        <w:t xml:space="preserve">These community not-for-profit service providers operate services in multiple locations across the ACT. </w:t>
      </w:r>
      <w:r w:rsidR="00FE395D" w:rsidRPr="00AE4411">
        <w:t xml:space="preserve">Since January 2012, there have been </w:t>
      </w:r>
      <w:r w:rsidR="00CD48AA" w:rsidRPr="00AE4411">
        <w:t>13</w:t>
      </w:r>
      <w:r w:rsidR="00FE395D" w:rsidRPr="00AE4411">
        <w:t xml:space="preserve"> new community sector not-for-profit centres established in the ACT. Of the 3,230 new places established in the ACT since 2012, these </w:t>
      </w:r>
      <w:r w:rsidR="006101C8" w:rsidRPr="00AE4411">
        <w:t xml:space="preserve">community </w:t>
      </w:r>
      <w:r w:rsidR="00FE395D" w:rsidRPr="00AE4411">
        <w:t xml:space="preserve">services represent </w:t>
      </w:r>
      <w:r w:rsidR="00884E31" w:rsidRPr="00AE4411">
        <w:t>35%</w:t>
      </w:r>
      <w:r w:rsidR="00FE395D" w:rsidRPr="00AE4411">
        <w:t xml:space="preserve"> </w:t>
      </w:r>
      <w:r w:rsidR="00884E31" w:rsidRPr="00AE4411">
        <w:t xml:space="preserve">of </w:t>
      </w:r>
      <w:r w:rsidR="00993C90" w:rsidRPr="00AE4411">
        <w:t>the increase</w:t>
      </w:r>
      <w:r w:rsidR="00AF143A" w:rsidRPr="00AE4411">
        <w:t xml:space="preserve"> in services</w:t>
      </w:r>
      <w:r w:rsidR="00993C90" w:rsidRPr="00AE4411">
        <w:t>.</w:t>
      </w:r>
      <w:r w:rsidR="000A69F9" w:rsidRPr="00AE4411">
        <w:t xml:space="preserve"> While decisions around establishing services in the ACT are commercial decisions taken by service providers, </w:t>
      </w:r>
      <w:r w:rsidR="00210ECC" w:rsidRPr="00AE4411">
        <w:t xml:space="preserve">the evidence suggests </w:t>
      </w:r>
      <w:r w:rsidR="002242DF">
        <w:t xml:space="preserve">that </w:t>
      </w:r>
      <w:r w:rsidR="000A69F9" w:rsidRPr="00AE4411">
        <w:t>significant growth in services reflected a level of competition for market share between these two categories of provider.</w:t>
      </w:r>
    </w:p>
    <w:p w:rsidR="001B35D8" w:rsidRPr="00AE4411" w:rsidRDefault="001B35D8" w:rsidP="003D0953">
      <w:pPr>
        <w:pStyle w:val="AccessibleBody"/>
      </w:pPr>
      <w:r w:rsidRPr="00AE4411">
        <w:t xml:space="preserve">The last two </w:t>
      </w:r>
      <w:r w:rsidR="000A69F9" w:rsidRPr="00AE4411">
        <w:t xml:space="preserve">service provider </w:t>
      </w:r>
      <w:r w:rsidRPr="00AE4411">
        <w:t>categories</w:t>
      </w:r>
      <w:r w:rsidR="00727100" w:rsidRPr="00AE4411">
        <w:t>, independent not</w:t>
      </w:r>
      <w:r w:rsidR="008C1EAF" w:rsidRPr="00AE4411">
        <w:t>-</w:t>
      </w:r>
      <w:r w:rsidR="00727100" w:rsidRPr="00AE4411">
        <w:t>for</w:t>
      </w:r>
      <w:r w:rsidR="008C1EAF" w:rsidRPr="00AE4411">
        <w:t>-</w:t>
      </w:r>
      <w:r w:rsidR="00727100" w:rsidRPr="00AE4411">
        <w:t>profit providers and services provided in conjunction with non-government preschools,</w:t>
      </w:r>
      <w:r w:rsidRPr="00AE4411">
        <w:t xml:space="preserve"> account between them for the final third of capacity in the sector. Unlike the first two categories, however, the third and fourth </w:t>
      </w:r>
      <w:r w:rsidR="00B23A5E" w:rsidRPr="00AE4411">
        <w:t>categories are</w:t>
      </w:r>
      <w:r w:rsidRPr="00AE4411">
        <w:t xml:space="preserve"> both growing at a much slower rate than </w:t>
      </w:r>
      <w:r w:rsidR="00993C90" w:rsidRPr="00AE4411">
        <w:t>the first two categories above.</w:t>
      </w:r>
    </w:p>
    <w:p w:rsidR="00727100" w:rsidRPr="00AE4411" w:rsidRDefault="00727100" w:rsidP="003D0953">
      <w:pPr>
        <w:pStyle w:val="AccessibleBody"/>
      </w:pPr>
      <w:r w:rsidRPr="00AE4411">
        <w:t>I</w:t>
      </w:r>
      <w:r w:rsidR="00B338B1" w:rsidRPr="00AE4411">
        <w:t>ndependent not</w:t>
      </w:r>
      <w:r w:rsidR="009148EB" w:rsidRPr="00AE4411">
        <w:t>-for-profit</w:t>
      </w:r>
      <w:r w:rsidRPr="00AE4411">
        <w:t xml:space="preserve"> is a category developed for this </w:t>
      </w:r>
      <w:r w:rsidR="001135FA" w:rsidRPr="00AE4411">
        <w:t>Review</w:t>
      </w:r>
      <w:r w:rsidRPr="00AE4411">
        <w:t xml:space="preserve"> that is defined by their not-for-profit status and by their being single premises operations</w:t>
      </w:r>
      <w:r w:rsidR="00302E52" w:rsidRPr="00AE4411">
        <w:t xml:space="preserve">. </w:t>
      </w:r>
      <w:r w:rsidR="002F4477" w:rsidRPr="00AE4411">
        <w:t>These services are delivered through various models of incorporation, although incorporated associations form the majority</w:t>
      </w:r>
      <w:r w:rsidRPr="00AE4411">
        <w:t>, and they are generally governed by volunteer boards drawn from the parent body of children attending the centre.</w:t>
      </w:r>
    </w:p>
    <w:p w:rsidR="0006077B" w:rsidRPr="00AE4411" w:rsidRDefault="00BB7B05" w:rsidP="003D0953">
      <w:pPr>
        <w:pStyle w:val="AccessibleBody"/>
      </w:pPr>
      <w:r w:rsidRPr="00AE4411">
        <w:t>T</w:t>
      </w:r>
      <w:r w:rsidR="002F4477" w:rsidRPr="00AE4411">
        <w:t xml:space="preserve">he majority of these </w:t>
      </w:r>
      <w:r w:rsidR="00727100" w:rsidRPr="00AE4411">
        <w:t xml:space="preserve">independent not-for-profit </w:t>
      </w:r>
      <w:r w:rsidR="002F4477" w:rsidRPr="00AE4411">
        <w:t xml:space="preserve">services are also </w:t>
      </w:r>
      <w:r w:rsidRPr="00AE4411">
        <w:t>charities</w:t>
      </w:r>
      <w:r w:rsidR="00727100" w:rsidRPr="00AE4411">
        <w:t xml:space="preserve">. </w:t>
      </w:r>
      <w:r w:rsidR="00884E31" w:rsidRPr="00AE4411">
        <w:t xml:space="preserve">Of the 3,230 new places established in the ACT since 2012, these </w:t>
      </w:r>
      <w:r w:rsidR="009F3752" w:rsidRPr="00AE4411">
        <w:t>independent</w:t>
      </w:r>
      <w:r w:rsidR="000A69F9" w:rsidRPr="00AE4411">
        <w:t>, not-for-profit</w:t>
      </w:r>
      <w:r w:rsidR="009F3752" w:rsidRPr="00AE4411">
        <w:t xml:space="preserve"> </w:t>
      </w:r>
      <w:r w:rsidR="00884E31" w:rsidRPr="00AE4411">
        <w:t>service</w:t>
      </w:r>
      <w:r w:rsidR="00993C90" w:rsidRPr="00AE4411">
        <w:t xml:space="preserve">s represent </w:t>
      </w:r>
      <w:r w:rsidR="000A69F9" w:rsidRPr="00AE4411">
        <w:t xml:space="preserve">only </w:t>
      </w:r>
      <w:r w:rsidR="00993C90" w:rsidRPr="00AE4411">
        <w:t>8% of the increase.</w:t>
      </w:r>
    </w:p>
    <w:p w:rsidR="008773BE" w:rsidRPr="00AE4411" w:rsidRDefault="008773BE" w:rsidP="0043390A">
      <w:pPr>
        <w:pStyle w:val="AccessibleBody"/>
        <w:spacing w:after="0"/>
      </w:pPr>
      <w:r w:rsidRPr="00AE4411">
        <w:t>The</w:t>
      </w:r>
      <w:r w:rsidR="001B35D8" w:rsidRPr="00AE4411">
        <w:t xml:space="preserve"> final category</w:t>
      </w:r>
      <w:r w:rsidR="000A69F9" w:rsidRPr="00AE4411">
        <w:t xml:space="preserve"> of service provision are </w:t>
      </w:r>
      <w:r w:rsidR="001B35D8" w:rsidRPr="00AE4411">
        <w:t>services provided through</w:t>
      </w:r>
      <w:r w:rsidRPr="00AE4411">
        <w:t xml:space="preserve"> non-government </w:t>
      </w:r>
      <w:r w:rsidR="001B35D8" w:rsidRPr="00AE4411">
        <w:t>schools and related arrangements. This category</w:t>
      </w:r>
      <w:r w:rsidRPr="00AE4411">
        <w:t xml:space="preserve"> account</w:t>
      </w:r>
      <w:r w:rsidR="001B35D8" w:rsidRPr="00AE4411">
        <w:t>s</w:t>
      </w:r>
      <w:r w:rsidRPr="00AE4411">
        <w:t xml:space="preserve"> for the remaining 6% increase </w:t>
      </w:r>
      <w:r w:rsidR="000A69F9" w:rsidRPr="00AE4411">
        <w:t xml:space="preserve">in </w:t>
      </w:r>
      <w:r w:rsidRPr="00AE4411">
        <w:t>new places in the ACT since 2012.</w:t>
      </w:r>
    </w:p>
    <w:p w:rsidR="00A439E9" w:rsidRPr="00AE4411" w:rsidRDefault="00D7636D">
      <w:pPr>
        <w:pStyle w:val="AccessibleBody"/>
        <w:spacing w:after="0"/>
        <w:rPr>
          <w:rFonts w:cs="Calibri"/>
          <w:sz w:val="16"/>
          <w:szCs w:val="18"/>
        </w:rPr>
      </w:pPr>
      <w:r>
        <w:rPr>
          <w:rFonts w:cs="Calibri"/>
          <w:noProof/>
          <w:sz w:val="16"/>
          <w:szCs w:val="18"/>
          <w:lang w:eastAsia="en-AU"/>
        </w:rPr>
        <w:lastRenderedPageBreak/>
        <w:drawing>
          <wp:anchor distT="0" distB="0" distL="114300" distR="114300" simplePos="0" relativeHeight="251657728" behindDoc="0" locked="0" layoutInCell="1" allowOverlap="1">
            <wp:simplePos x="0" y="0"/>
            <wp:positionH relativeFrom="column">
              <wp:posOffset>88900</wp:posOffset>
            </wp:positionH>
            <wp:positionV relativeFrom="paragraph">
              <wp:posOffset>477520</wp:posOffset>
            </wp:positionV>
            <wp:extent cx="5191760" cy="2840990"/>
            <wp:effectExtent l="19050" t="0" r="8890" b="0"/>
            <wp:wrapSquare wrapText="bothSides"/>
            <wp:docPr id="4"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9" cstate="print"/>
                    <a:srcRect l="1956" t="3264" r="1191" b="1993"/>
                    <a:stretch>
                      <a:fillRect/>
                    </a:stretch>
                  </pic:blipFill>
                  <pic:spPr bwMode="auto">
                    <a:xfrm>
                      <a:off x="0" y="0"/>
                      <a:ext cx="5191760" cy="2840990"/>
                    </a:xfrm>
                    <a:prstGeom prst="rect">
                      <a:avLst/>
                    </a:prstGeom>
                    <a:noFill/>
                    <a:ln w="9525">
                      <a:noFill/>
                      <a:miter lim="800000"/>
                      <a:headEnd/>
                      <a:tailEnd/>
                    </a:ln>
                  </pic:spPr>
                </pic:pic>
              </a:graphicData>
            </a:graphic>
          </wp:anchor>
        </w:drawing>
      </w:r>
    </w:p>
    <w:p w:rsidR="00DE3EDE" w:rsidRPr="00AE4411" w:rsidRDefault="00F428B8" w:rsidP="00407C1B">
      <w:pPr>
        <w:pStyle w:val="AccessibleBody"/>
        <w:rPr>
          <w:rFonts w:cs="Calibri"/>
          <w:sz w:val="18"/>
          <w:szCs w:val="18"/>
        </w:rPr>
      </w:pPr>
      <w:r w:rsidRPr="00AE4411">
        <w:rPr>
          <w:rFonts w:cs="Calibri"/>
          <w:sz w:val="18"/>
          <w:szCs w:val="18"/>
        </w:rPr>
        <w:t xml:space="preserve">Fig </w:t>
      </w:r>
      <w:r w:rsidR="009259A2" w:rsidRPr="00AE4411">
        <w:rPr>
          <w:rFonts w:cs="Calibri"/>
          <w:sz w:val="18"/>
          <w:szCs w:val="18"/>
        </w:rPr>
        <w:t>5</w:t>
      </w:r>
      <w:r w:rsidRPr="00AE4411">
        <w:rPr>
          <w:rFonts w:cs="Calibri"/>
          <w:sz w:val="18"/>
          <w:szCs w:val="18"/>
        </w:rPr>
        <w:t xml:space="preserve"> Share of total ECE</w:t>
      </w:r>
      <w:r w:rsidR="00231E40" w:rsidRPr="00AE4411">
        <w:rPr>
          <w:rFonts w:cs="Calibri"/>
          <w:sz w:val="18"/>
          <w:szCs w:val="18"/>
        </w:rPr>
        <w:t>C</w:t>
      </w:r>
      <w:r w:rsidRPr="00AE4411">
        <w:rPr>
          <w:rFonts w:cs="Calibri"/>
          <w:sz w:val="18"/>
          <w:szCs w:val="18"/>
        </w:rPr>
        <w:t xml:space="preserve"> capacity</w:t>
      </w:r>
      <w:r w:rsidR="0043390A" w:rsidRPr="00AE4411">
        <w:rPr>
          <w:rFonts w:cs="Calibri"/>
          <w:sz w:val="18"/>
          <w:szCs w:val="18"/>
        </w:rPr>
        <w:t xml:space="preserve"> in t he ACT</w:t>
      </w:r>
      <w:r w:rsidRPr="00AE4411">
        <w:rPr>
          <w:rFonts w:cs="Calibri"/>
          <w:sz w:val="18"/>
          <w:szCs w:val="18"/>
        </w:rPr>
        <w:t xml:space="preserve"> by entity type</w:t>
      </w:r>
    </w:p>
    <w:p w:rsidR="0043390A" w:rsidRPr="00AE4411" w:rsidRDefault="0043390A" w:rsidP="00407C1B">
      <w:pPr>
        <w:pStyle w:val="AccessibleBody"/>
        <w:rPr>
          <w:rFonts w:cs="Calibri"/>
          <w:sz w:val="18"/>
          <w:szCs w:val="18"/>
        </w:rPr>
      </w:pPr>
    </w:p>
    <w:p w:rsidR="00D20D37" w:rsidRPr="00AE4411" w:rsidRDefault="00D20D37" w:rsidP="00D20D37">
      <w:pPr>
        <w:sectPr w:rsidR="00D20D37" w:rsidRPr="00AE4411" w:rsidSect="004D0A6D">
          <w:pgSz w:w="11906" w:h="16838"/>
          <w:pgMar w:top="1440" w:right="1440" w:bottom="1276" w:left="1440"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bookmarkStart w:id="25" w:name="_Toc453155103"/>
    </w:p>
    <w:p w:rsidR="002C7746" w:rsidRPr="00AE4411" w:rsidRDefault="002C7746" w:rsidP="00E6205F">
      <w:pPr>
        <w:pStyle w:val="PolicyHeading2-Accessible"/>
      </w:pPr>
      <w:bookmarkStart w:id="26" w:name="_Toc509497645"/>
      <w:r w:rsidRPr="0084434F">
        <w:lastRenderedPageBreak/>
        <w:t>Ac</w:t>
      </w:r>
      <w:r w:rsidRPr="00AE4411">
        <w:t xml:space="preserve">cess to Early Childhood Education </w:t>
      </w:r>
      <w:r w:rsidR="009B1A4C" w:rsidRPr="00AE4411">
        <w:t xml:space="preserve">and Care </w:t>
      </w:r>
      <w:r w:rsidRPr="00AE4411">
        <w:t>in the ACT</w:t>
      </w:r>
      <w:bookmarkEnd w:id="25"/>
      <w:bookmarkEnd w:id="26"/>
    </w:p>
    <w:p w:rsidR="00727100" w:rsidRPr="00AE4411" w:rsidRDefault="00210ECC" w:rsidP="00727100">
      <w:pPr>
        <w:rPr>
          <w:sz w:val="24"/>
          <w:szCs w:val="24"/>
        </w:rPr>
      </w:pPr>
      <w:r w:rsidRPr="00AE4411">
        <w:rPr>
          <w:sz w:val="24"/>
          <w:szCs w:val="24"/>
        </w:rPr>
        <w:t xml:space="preserve">Access </w:t>
      </w:r>
      <w:r w:rsidR="00727100" w:rsidRPr="00AE4411">
        <w:rPr>
          <w:sz w:val="24"/>
          <w:szCs w:val="24"/>
        </w:rPr>
        <w:t xml:space="preserve">addresses the extent to which clients and prospective clients of ECEC services in the ACT have reasonable access to services. Access to ECEC services </w:t>
      </w:r>
      <w:r w:rsidRPr="00AE4411">
        <w:rPr>
          <w:sz w:val="24"/>
          <w:szCs w:val="24"/>
        </w:rPr>
        <w:t xml:space="preserve">is considered to be </w:t>
      </w:r>
      <w:r w:rsidR="00727100" w:rsidRPr="00AE4411">
        <w:rPr>
          <w:sz w:val="24"/>
          <w:szCs w:val="24"/>
        </w:rPr>
        <w:t>the ability of a person to reasonably gain access for their child/children to an in-scope service. ‘Reasonable’ includes consideration of the location of such services, the hours of opening, and the cost of access. All access considerations are considered relative to a person/family’s social, economic, and other factors that may impact on accessibility</w:t>
      </w:r>
      <w:r w:rsidR="008C1EAF" w:rsidRPr="00AE4411">
        <w:rPr>
          <w:sz w:val="24"/>
          <w:szCs w:val="24"/>
        </w:rPr>
        <w:t>.</w:t>
      </w:r>
    </w:p>
    <w:p w:rsidR="00087916" w:rsidRPr="00AE4411" w:rsidRDefault="00087916" w:rsidP="00841FED">
      <w:pPr>
        <w:pStyle w:val="PolicyHeading3-Accessible"/>
      </w:pPr>
      <w:bookmarkStart w:id="27" w:name="_Toc453155104"/>
      <w:bookmarkStart w:id="28" w:name="_Toc509497646"/>
      <w:r w:rsidRPr="00AE4411">
        <w:t>Location</w:t>
      </w:r>
      <w:r w:rsidR="00302E52" w:rsidRPr="00AE4411">
        <w:t xml:space="preserve"> of services</w:t>
      </w:r>
      <w:bookmarkEnd w:id="27"/>
      <w:bookmarkEnd w:id="28"/>
    </w:p>
    <w:p w:rsidR="001F77A4" w:rsidRPr="00AE4411" w:rsidRDefault="001F77A4" w:rsidP="001F77A4">
      <w:pPr>
        <w:pStyle w:val="AccessibleBody"/>
      </w:pPr>
      <w:r w:rsidRPr="00AE4411">
        <w:t>Services provided by for-profit providers, community service providers</w:t>
      </w:r>
      <w:r w:rsidR="008B22D8" w:rsidRPr="00AE4411">
        <w:t>,</w:t>
      </w:r>
      <w:r w:rsidR="00536CE8" w:rsidRPr="00AE4411">
        <w:t xml:space="preserve"> </w:t>
      </w:r>
      <w:r w:rsidRPr="00AE4411">
        <w:t>and non-government preschools are reasonably well distributed across the ACT. However, the twenty nine services provided by</w:t>
      </w:r>
      <w:r w:rsidR="00727100" w:rsidRPr="00AE4411">
        <w:t xml:space="preserve"> the</w:t>
      </w:r>
      <w:r w:rsidRPr="00AE4411">
        <w:t xml:space="preserve"> independent not-for-profit</w:t>
      </w:r>
      <w:r w:rsidR="00727100" w:rsidRPr="00AE4411">
        <w:t xml:space="preserve"> category of</w:t>
      </w:r>
      <w:r w:rsidRPr="00AE4411">
        <w:t xml:space="preserve"> providers are, with very few exceptions, concentrated in the older, more central suburbs of Canberra, with </w:t>
      </w:r>
      <w:r w:rsidR="00810024" w:rsidRPr="00AE4411">
        <w:t xml:space="preserve">only </w:t>
      </w:r>
      <w:r w:rsidRPr="00AE4411">
        <w:t xml:space="preserve">one in the Tuggeranong area and one in the Gungahlin area. </w:t>
      </w:r>
    </w:p>
    <w:p w:rsidR="008F64E7" w:rsidRPr="00AE4411" w:rsidRDefault="00D346B6" w:rsidP="00DB7B3E">
      <w:pPr>
        <w:pStyle w:val="AccessibleBody"/>
      </w:pPr>
      <w:r w:rsidRPr="00AE4411">
        <w:t>Spatial analysis of the locations of ECE</w:t>
      </w:r>
      <w:r w:rsidR="00424BCE" w:rsidRPr="00AE4411">
        <w:t>C</w:t>
      </w:r>
      <w:r w:rsidRPr="00AE4411">
        <w:t xml:space="preserve"> services in the ACT shows that services are broadly located </w:t>
      </w:r>
      <w:r w:rsidR="001F5CF7" w:rsidRPr="00AE4411">
        <w:t>throughout</w:t>
      </w:r>
      <w:r w:rsidRPr="00AE4411">
        <w:t xml:space="preserve"> the ACT</w:t>
      </w:r>
      <w:r w:rsidR="003638DE" w:rsidRPr="00AE4411">
        <w:t>.</w:t>
      </w:r>
      <w:r w:rsidRPr="00AE4411">
        <w:t xml:space="preserve"> </w:t>
      </w:r>
      <w:r w:rsidR="003638DE" w:rsidRPr="00AE4411">
        <w:t>R</w:t>
      </w:r>
      <w:r w:rsidRPr="00AE4411">
        <w:t xml:space="preserve">elative to the location of current and potential clients, most </w:t>
      </w:r>
      <w:r w:rsidR="000F7B56" w:rsidRPr="00AE4411">
        <w:t xml:space="preserve">families </w:t>
      </w:r>
      <w:r w:rsidR="003638DE" w:rsidRPr="00AE4411">
        <w:t>are within</w:t>
      </w:r>
      <w:r w:rsidRPr="00AE4411">
        <w:t xml:space="preserve"> reasonable </w:t>
      </w:r>
      <w:r w:rsidR="003638DE" w:rsidRPr="00AE4411">
        <w:t>proximity</w:t>
      </w:r>
      <w:r w:rsidRPr="00AE4411">
        <w:t xml:space="preserve"> to ECE</w:t>
      </w:r>
      <w:r w:rsidR="00424BCE" w:rsidRPr="00AE4411">
        <w:t>C</w:t>
      </w:r>
      <w:r w:rsidRPr="00AE4411">
        <w:t xml:space="preserve"> services</w:t>
      </w:r>
      <w:r w:rsidR="003638DE" w:rsidRPr="00AE4411">
        <w:t xml:space="preserve"> </w:t>
      </w:r>
      <w:r w:rsidR="008A4E22" w:rsidRPr="00AE4411">
        <w:t>showing</w:t>
      </w:r>
      <w:r w:rsidR="003638DE" w:rsidRPr="00AE4411">
        <w:t xml:space="preserve"> that proximity is not a significant access issue</w:t>
      </w:r>
      <w:r w:rsidRPr="00AE4411">
        <w:t>.</w:t>
      </w:r>
    </w:p>
    <w:p w:rsidR="00D52940" w:rsidRPr="00AE4411" w:rsidRDefault="0040376E" w:rsidP="00DB7B3E">
      <w:pPr>
        <w:pStyle w:val="AccessibleBody"/>
      </w:pPr>
      <w:r w:rsidRPr="00AE4411">
        <w:t>Spatial analysis suggests that the location of ECE</w:t>
      </w:r>
      <w:r w:rsidR="00424BCE" w:rsidRPr="00AE4411">
        <w:t>C</w:t>
      </w:r>
      <w:r w:rsidRPr="00AE4411">
        <w:t xml:space="preserve"> services is determined b</w:t>
      </w:r>
      <w:r w:rsidR="00DB7B3E" w:rsidRPr="00AE4411">
        <w:t>y one of three business models.</w:t>
      </w:r>
      <w:r w:rsidR="008F64E7" w:rsidRPr="00AE4411">
        <w:t xml:space="preserve"> </w:t>
      </w:r>
      <w:r w:rsidR="000F7B56" w:rsidRPr="00AE4411">
        <w:t>The first model shows t</w:t>
      </w:r>
      <w:r w:rsidRPr="00AE4411">
        <w:t xml:space="preserve">he majority of services are distributed primarily by proximity to the major </w:t>
      </w:r>
      <w:r w:rsidR="00455CFB" w:rsidRPr="00AE4411">
        <w:t xml:space="preserve">concentrations </w:t>
      </w:r>
      <w:r w:rsidRPr="00AE4411">
        <w:t xml:space="preserve">of workers in the ACT, such as around Civic, Barton, Belconnen, Gungahlin, Woden and Tuggeranong. </w:t>
      </w:r>
      <w:r w:rsidR="000F7B56" w:rsidRPr="00AE4411">
        <w:t>The second model shows a</w:t>
      </w:r>
      <w:r w:rsidRPr="00AE4411">
        <w:t xml:space="preserve"> significant number of services are located along the major transport routes between where people live and work. </w:t>
      </w:r>
      <w:r w:rsidR="008D235B" w:rsidRPr="00AE4411">
        <w:t>Most prominently</w:t>
      </w:r>
      <w:r w:rsidRPr="00AE4411">
        <w:t xml:space="preserve">, </w:t>
      </w:r>
      <w:r w:rsidR="000F7B56" w:rsidRPr="00AE4411">
        <w:t xml:space="preserve">a high concentration can be seen </w:t>
      </w:r>
      <w:r w:rsidR="008D235B" w:rsidRPr="00AE4411">
        <w:t xml:space="preserve">in the suburbs </w:t>
      </w:r>
      <w:r w:rsidRPr="00AE4411">
        <w:t xml:space="preserve">on either side of Northbourne Avenue between Watson and Barton and </w:t>
      </w:r>
      <w:r w:rsidR="008D235B" w:rsidRPr="00AE4411">
        <w:t>in the suburbs on either side of Adelaide Avenue between Woden and Yarral</w:t>
      </w:r>
      <w:r w:rsidR="00DB7B3E" w:rsidRPr="00AE4411">
        <w:t>umla.</w:t>
      </w:r>
      <w:r w:rsidR="00AB4690" w:rsidRPr="00AE4411">
        <w:t xml:space="preserve"> </w:t>
      </w:r>
      <w:r w:rsidR="008D235B" w:rsidRPr="00AE4411">
        <w:t xml:space="preserve">The third model underpinning the location of services </w:t>
      </w:r>
      <w:r w:rsidR="00655B2D" w:rsidRPr="00AE4411">
        <w:t xml:space="preserve">shows </w:t>
      </w:r>
      <w:r w:rsidR="008D235B" w:rsidRPr="00AE4411">
        <w:t>reasonable proximity to local shopping centres.</w:t>
      </w:r>
      <w:r w:rsidR="00643DEF" w:rsidRPr="00AE4411">
        <w:t xml:space="preserve"> </w:t>
      </w:r>
    </w:p>
    <w:p w:rsidR="002328ED" w:rsidRDefault="00D52940" w:rsidP="00DB7B3E">
      <w:pPr>
        <w:pStyle w:val="AccessibleBody"/>
      </w:pPr>
      <w:r w:rsidRPr="00AE4411">
        <w:t xml:space="preserve">While there are some suburban based ECEC providers, the majority are very clearly distributed along, or near, major transport routes, or are located in, or near, major work centres, and townships. However, </w:t>
      </w:r>
      <w:r w:rsidR="002328ED">
        <w:t>t</w:t>
      </w:r>
      <w:r w:rsidR="008D235B" w:rsidRPr="00AE4411">
        <w:t xml:space="preserve">his distribution model is quite different </w:t>
      </w:r>
      <w:r w:rsidR="00750C74" w:rsidRPr="00AE4411">
        <w:t xml:space="preserve">from </w:t>
      </w:r>
      <w:r w:rsidR="008D235B" w:rsidRPr="00AE4411">
        <w:t xml:space="preserve">that </w:t>
      </w:r>
      <w:r w:rsidR="008B1086" w:rsidRPr="00AE4411">
        <w:t>applying to ACT Government preschools, which are located on a suburb basis and are consequently distributed evenly across Canberra</w:t>
      </w:r>
      <w:r w:rsidR="004B675C">
        <w:t xml:space="preserve">. </w:t>
      </w:r>
    </w:p>
    <w:p w:rsidR="008D235B" w:rsidRPr="00AE4411" w:rsidRDefault="00DF72A3" w:rsidP="00DB7B3E">
      <w:pPr>
        <w:pStyle w:val="AccessibleBody"/>
      </w:pPr>
      <w:r w:rsidRPr="00AE4411">
        <w:t>The different distribution of long day care and Government preschools creates a significant practical impact on the extent to which long day care services and Government preschools can spontaneously work together.</w:t>
      </w:r>
    </w:p>
    <w:p w:rsidR="00D52940" w:rsidRPr="00AE4411" w:rsidRDefault="00B56CBD" w:rsidP="00B56CBD">
      <w:pPr>
        <w:pStyle w:val="AccessibleBody"/>
      </w:pPr>
      <w:r w:rsidRPr="00AE4411">
        <w:lastRenderedPageBreak/>
        <w:t xml:space="preserve">There are very few examples of </w:t>
      </w:r>
      <w:r w:rsidR="00643DEF" w:rsidRPr="00AE4411">
        <w:t xml:space="preserve">Government </w:t>
      </w:r>
      <w:r w:rsidRPr="00AE4411">
        <w:t xml:space="preserve">preschools and ECEC services being co-located, with the exceptions </w:t>
      </w:r>
      <w:r w:rsidR="00643DEF" w:rsidRPr="00AE4411">
        <w:t>including</w:t>
      </w:r>
      <w:r w:rsidRPr="00AE4411">
        <w:t xml:space="preserve"> ECEC located within non-government schools, and some ECEC co-located with ACT early childhood schools. </w:t>
      </w:r>
    </w:p>
    <w:p w:rsidR="00B56CBD" w:rsidRPr="00AE4411" w:rsidRDefault="00B56CBD" w:rsidP="00B56CBD">
      <w:pPr>
        <w:pStyle w:val="AccessibleBody"/>
      </w:pPr>
      <w:r w:rsidRPr="00AE4411">
        <w:t>Where this does occur, it provides a considerable advantage to the parties involved, including parents</w:t>
      </w:r>
      <w:r w:rsidR="00DD36E2" w:rsidRPr="00AE4411">
        <w:t>, through the facilitation of ‘wrap around’ services that mean parents are not obliged to access separate services for the periods where a child is not in a government preschool.</w:t>
      </w:r>
    </w:p>
    <w:p w:rsidR="00D346B6" w:rsidRPr="00AE4411" w:rsidRDefault="00302E52" w:rsidP="00DB7B3E">
      <w:pPr>
        <w:pStyle w:val="AccessibleBody"/>
      </w:pPr>
      <w:r w:rsidRPr="00AE4411">
        <w:t>Despite the generally broad distribution of ECE</w:t>
      </w:r>
      <w:r w:rsidR="00424BCE" w:rsidRPr="00AE4411">
        <w:t>C</w:t>
      </w:r>
      <w:r w:rsidRPr="00AE4411">
        <w:t xml:space="preserve"> services</w:t>
      </w:r>
      <w:r w:rsidR="00D346B6" w:rsidRPr="00AE4411">
        <w:t>, there are a number of areas of the ACT</w:t>
      </w:r>
      <w:r w:rsidR="00810024" w:rsidRPr="00AE4411">
        <w:t xml:space="preserve"> with persistent and entrenched disadvantage</w:t>
      </w:r>
      <w:r w:rsidR="00D346B6" w:rsidRPr="00AE4411">
        <w:t xml:space="preserve"> that appear to have relatively lower representation of ECE</w:t>
      </w:r>
      <w:r w:rsidR="00424BCE" w:rsidRPr="00AE4411">
        <w:t>C</w:t>
      </w:r>
      <w:r w:rsidR="00D346B6" w:rsidRPr="00AE4411">
        <w:t xml:space="preserve"> services. In particular, West Belconnen and South Tuggeranong have lower concentrations of service</w:t>
      </w:r>
      <w:r w:rsidR="00791B71" w:rsidRPr="00AE4411">
        <w:t>s</w:t>
      </w:r>
      <w:r w:rsidR="00D346B6" w:rsidRPr="00AE4411">
        <w:t xml:space="preserve"> relative to other parts of the ACT. The lower representation of ECE</w:t>
      </w:r>
      <w:r w:rsidR="00424BCE" w:rsidRPr="00AE4411">
        <w:t>C</w:t>
      </w:r>
      <w:r w:rsidR="00D346B6" w:rsidRPr="00AE4411">
        <w:t xml:space="preserve"> services in these suburbs</w:t>
      </w:r>
      <w:r w:rsidR="00810024" w:rsidRPr="00AE4411">
        <w:t xml:space="preserve"> may reflect the lower capacity of families able to access the services, but is also </w:t>
      </w:r>
      <w:r w:rsidR="00D346B6" w:rsidRPr="00AE4411">
        <w:t>likely to create an access restriction for those families with no, or poor, transport options.</w:t>
      </w:r>
    </w:p>
    <w:p w:rsidR="002E2409" w:rsidRPr="00AE4411" w:rsidRDefault="00111D3A" w:rsidP="002328ED">
      <w:pPr>
        <w:pStyle w:val="PolicyHeading3-Accessible"/>
        <w:tabs>
          <w:tab w:val="clear" w:pos="563"/>
        </w:tabs>
        <w:ind w:left="709" w:hanging="709"/>
      </w:pPr>
      <w:bookmarkStart w:id="29" w:name="_Toc509497647"/>
      <w:r w:rsidRPr="00AE4411">
        <w:t>Vulnerable Children</w:t>
      </w:r>
      <w:bookmarkEnd w:id="29"/>
    </w:p>
    <w:p w:rsidR="00005F15" w:rsidRPr="00AE4411" w:rsidRDefault="00813D99" w:rsidP="00DB7B3E">
      <w:pPr>
        <w:pStyle w:val="AccessibleBody"/>
      </w:pPr>
      <w:r w:rsidRPr="00AE4411">
        <w:t>The l</w:t>
      </w:r>
      <w:r w:rsidR="00D346B6" w:rsidRPr="00AE4411">
        <w:t>ocation of ECE</w:t>
      </w:r>
      <w:r w:rsidR="00231E40" w:rsidRPr="00AE4411">
        <w:t>C</w:t>
      </w:r>
      <w:r w:rsidR="006820E7" w:rsidRPr="00AE4411">
        <w:t xml:space="preserve"> services</w:t>
      </w:r>
      <w:r w:rsidR="00D346B6" w:rsidRPr="00AE4411">
        <w:t xml:space="preserve"> in proximity to low socio-economic clients is difficult to measure in the ACT, due to the highly dispersed nature of disadvantage across Canberra. </w:t>
      </w:r>
      <w:r w:rsidR="00D346B6" w:rsidRPr="002328ED">
        <w:t xml:space="preserve">A measure of the </w:t>
      </w:r>
      <w:r w:rsidR="00A53514" w:rsidRPr="002328ED">
        <w:t xml:space="preserve">proximity </w:t>
      </w:r>
      <w:r w:rsidR="00D346B6" w:rsidRPr="002328ED">
        <w:t>of less expensive ECE</w:t>
      </w:r>
      <w:r w:rsidR="00424BCE" w:rsidRPr="002328ED">
        <w:t>C</w:t>
      </w:r>
      <w:r w:rsidR="00D346B6" w:rsidRPr="002328ED">
        <w:t xml:space="preserve"> services to low socio-economic clients and potential clients can be estimated by mapping the location of the services that comprise the </w:t>
      </w:r>
      <w:r w:rsidR="00235399" w:rsidRPr="002328ED">
        <w:t>lowest two</w:t>
      </w:r>
      <w:r w:rsidR="00D346B6" w:rsidRPr="002328ED">
        <w:t xml:space="preserve"> ECE</w:t>
      </w:r>
      <w:r w:rsidR="00231E40" w:rsidRPr="002328ED">
        <w:t>C</w:t>
      </w:r>
      <w:r w:rsidR="00D346B6" w:rsidRPr="002328ED">
        <w:t xml:space="preserve"> service quintile</w:t>
      </w:r>
      <w:r w:rsidR="00235399" w:rsidRPr="002328ED">
        <w:t>s</w:t>
      </w:r>
      <w:r w:rsidR="00D346B6" w:rsidRPr="002328ED">
        <w:t xml:space="preserve"> against the location of </w:t>
      </w:r>
      <w:r w:rsidR="00235399" w:rsidRPr="002328ED">
        <w:t xml:space="preserve">0-8 year olds in </w:t>
      </w:r>
      <w:r w:rsidR="00D346B6" w:rsidRPr="002328ED">
        <w:t>public housing in the ACT. Public housing is used in this instance as a proxy for disadvantage, but should not imply that all public housing tenants are</w:t>
      </w:r>
      <w:r w:rsidR="00D52940" w:rsidRPr="002328ED">
        <w:t xml:space="preserve"> necessarily</w:t>
      </w:r>
      <w:r w:rsidR="00D346B6" w:rsidRPr="002328ED">
        <w:t xml:space="preserve"> disadvantaged. </w:t>
      </w:r>
    </w:p>
    <w:p w:rsidR="00816DC3" w:rsidRPr="00AE4411" w:rsidRDefault="004B675C" w:rsidP="002328ED">
      <w:pPr>
        <w:pStyle w:val="AccessibleBody"/>
      </w:pPr>
      <w:r>
        <w:t>W</w:t>
      </w:r>
      <w:r w:rsidR="00D346B6" w:rsidRPr="00AE4411">
        <w:t>ith few exceptions</w:t>
      </w:r>
      <w:r w:rsidR="00235399" w:rsidRPr="00AE4411">
        <w:t>,</w:t>
      </w:r>
      <w:r w:rsidR="00D346B6" w:rsidRPr="00AE4411">
        <w:t xml:space="preserve"> ECE</w:t>
      </w:r>
      <w:r w:rsidR="00424BCE" w:rsidRPr="00AE4411">
        <w:t>C</w:t>
      </w:r>
      <w:r w:rsidR="00D346B6" w:rsidRPr="00AE4411">
        <w:t xml:space="preserve"> services are not conveniently located </w:t>
      </w:r>
      <w:r w:rsidR="000F7583" w:rsidRPr="00AE4411">
        <w:t xml:space="preserve">in relation </w:t>
      </w:r>
      <w:r w:rsidR="00D346B6" w:rsidRPr="00AE4411">
        <w:t xml:space="preserve">to the primary areas of disadvantage in the ACT. There are services in Narrabundah, Barton and Acton that are </w:t>
      </w:r>
      <w:r w:rsidR="00005F15" w:rsidRPr="00AE4411">
        <w:t>at the lowest cost quintile, however, the</w:t>
      </w:r>
      <w:r w:rsidR="00D346B6" w:rsidRPr="00AE4411">
        <w:t xml:space="preserve"> lowe</w:t>
      </w:r>
      <w:r w:rsidR="00D97E4C" w:rsidRPr="00AE4411">
        <w:t>st</w:t>
      </w:r>
      <w:r w:rsidR="00D346B6" w:rsidRPr="00AE4411">
        <w:t xml:space="preserve"> cost </w:t>
      </w:r>
      <w:r w:rsidR="00005F15" w:rsidRPr="00AE4411">
        <w:t xml:space="preserve">quintile </w:t>
      </w:r>
      <w:r w:rsidR="00D346B6" w:rsidRPr="00AE4411">
        <w:t>providers comprise</w:t>
      </w:r>
      <w:r w:rsidR="00D813F5" w:rsidRPr="00AE4411">
        <w:t xml:space="preserve"> approximately</w:t>
      </w:r>
      <w:r w:rsidR="00D346B6" w:rsidRPr="00AE4411">
        <w:t xml:space="preserve"> </w:t>
      </w:r>
      <w:r w:rsidR="000F7583" w:rsidRPr="00AE4411">
        <w:t xml:space="preserve">just </w:t>
      </w:r>
      <w:r w:rsidR="00D97E4C" w:rsidRPr="00AE4411">
        <w:t xml:space="preserve">9% </w:t>
      </w:r>
      <w:r w:rsidR="005E058E" w:rsidRPr="00AE4411">
        <w:t xml:space="preserve">or 1,059 </w:t>
      </w:r>
      <w:r w:rsidR="00D346B6" w:rsidRPr="00AE4411">
        <w:t>of the total supply</w:t>
      </w:r>
      <w:r w:rsidR="005E058E" w:rsidRPr="00AE4411">
        <w:t xml:space="preserve"> of available places</w:t>
      </w:r>
      <w:r w:rsidR="00005F15" w:rsidRPr="00AE4411">
        <w:t>,</w:t>
      </w:r>
      <w:r w:rsidR="00D346B6" w:rsidRPr="00AE4411">
        <w:t xml:space="preserve"> and th</w:t>
      </w:r>
      <w:r w:rsidR="00005F15" w:rsidRPr="00AE4411">
        <w:t>ese</w:t>
      </w:r>
      <w:r w:rsidR="00D346B6" w:rsidRPr="00AE4411">
        <w:t xml:space="preserve"> are located in high demand areas where places are likely to be limited.</w:t>
      </w:r>
      <w:r w:rsidR="00810024" w:rsidRPr="00AE4411">
        <w:t xml:space="preserve"> </w:t>
      </w:r>
    </w:p>
    <w:p w:rsidR="00D52940" w:rsidRPr="00AE4411" w:rsidRDefault="00810024" w:rsidP="00816DC3">
      <w:pPr>
        <w:pStyle w:val="AccessibleBody"/>
        <w:spacing w:before="120" w:after="120"/>
      </w:pPr>
      <w:r w:rsidRPr="00AE4411">
        <w:t>It should also be noted that proximity to a lower cost service provider does not indicate access</w:t>
      </w:r>
      <w:r w:rsidR="00816DC3" w:rsidRPr="00AE4411">
        <w:t xml:space="preserve">. Many of </w:t>
      </w:r>
      <w:r w:rsidRPr="00AE4411">
        <w:t>the lower cost providers are located in highly desirable locations</w:t>
      </w:r>
      <w:r w:rsidR="00D52940" w:rsidRPr="00AE4411">
        <w:t>, particularly around major employment centres and on the major transport routes between these employment centres and dormitory suburbs</w:t>
      </w:r>
      <w:r w:rsidR="000335DD" w:rsidRPr="00AE4411">
        <w:t>, and therefore face higher demand</w:t>
      </w:r>
      <w:r w:rsidR="00D52940" w:rsidRPr="00AE4411">
        <w:t xml:space="preserve">. </w:t>
      </w:r>
    </w:p>
    <w:p w:rsidR="00643DEF" w:rsidRPr="00AE4411" w:rsidRDefault="00D52940" w:rsidP="00816DC3">
      <w:pPr>
        <w:pStyle w:val="AccessibleBody"/>
        <w:spacing w:before="120" w:after="120"/>
      </w:pPr>
      <w:r w:rsidRPr="00AE4411">
        <w:t>In other major Australian cities, there are ECEC service providers located in low socio-economic suburbs that generally offer lower prices and are unlikely to face competition for those places from families in higher socio-economic suburbs. In the ACT, the distribution of lower price ECEC services in relation to employment centres and transport routes means that f</w:t>
      </w:r>
      <w:r w:rsidR="00FF44D5" w:rsidRPr="00AE4411">
        <w:t xml:space="preserve">amilies with higher incomes will be competing for places in these services due to the convenience of the location. </w:t>
      </w:r>
      <w:r w:rsidR="00816DC3" w:rsidRPr="00AE4411">
        <w:t xml:space="preserve">This creates the potential for clients who are not able to afford </w:t>
      </w:r>
      <w:r w:rsidR="00816DC3" w:rsidRPr="00AE4411">
        <w:lastRenderedPageBreak/>
        <w:t>the higher cost providers to be crowded out by client</w:t>
      </w:r>
      <w:r w:rsidRPr="00AE4411">
        <w:t>s</w:t>
      </w:r>
      <w:r w:rsidR="00816DC3" w:rsidRPr="00AE4411">
        <w:t xml:space="preserve"> who prioritise the convenience of a central location.</w:t>
      </w:r>
    </w:p>
    <w:p w:rsidR="00444FD4" w:rsidRPr="00AE4411" w:rsidRDefault="00444FD4" w:rsidP="00841FED">
      <w:pPr>
        <w:pStyle w:val="PolicyHeading3-Accessible"/>
      </w:pPr>
      <w:bookmarkStart w:id="30" w:name="_Toc453155108"/>
      <w:bookmarkStart w:id="31" w:name="_Toc509497648"/>
      <w:r w:rsidRPr="00AE4411">
        <w:t>Hours of Operation</w:t>
      </w:r>
      <w:bookmarkEnd w:id="30"/>
      <w:bookmarkEnd w:id="31"/>
    </w:p>
    <w:p w:rsidR="00444FD4" w:rsidRPr="00AE4411" w:rsidRDefault="00444FD4" w:rsidP="00444FD4">
      <w:pPr>
        <w:pStyle w:val="AccessibleBody"/>
      </w:pPr>
      <w:r w:rsidRPr="00AE4411">
        <w:t>The majority of families in the ACT work between 8:00am and 5:00pm. However, there are a proportion of families that work unusual hours</w:t>
      </w:r>
      <w:r w:rsidR="00E97C84">
        <w:t xml:space="preserve">. </w:t>
      </w:r>
      <w:r w:rsidRPr="00AE4411">
        <w:t>Many of the 135 Long Day Care services have hours of operation starting by 7:30am and closing from 5:30pm. There are only three services, with a total capacity of 239 places that open before 7:00am, and none that open prior to 6:30am. There are eight services, with a total capacity of 613 places that remain open past 6:00pm, with none remaining open later than 6:30pm. One service remains open over the weekend.</w:t>
      </w:r>
    </w:p>
    <w:p w:rsidR="006820E7" w:rsidRPr="00AE4411" w:rsidRDefault="00111D3A" w:rsidP="00444FD4">
      <w:pPr>
        <w:pStyle w:val="AccessibleBody"/>
      </w:pPr>
      <w:r w:rsidRPr="00AE4411">
        <w:t>T</w:t>
      </w:r>
      <w:r w:rsidR="006820E7" w:rsidRPr="00AE4411">
        <w:t xml:space="preserve">here is a strong interrelationship between hours of opening and the operation of Australian Government rebates. Rebates are tied to the opening hours of a service. In other words, if a centre is open for ten hours per day, the rebate is consumed at the rate of ten hours per day, even if a child attends for, say, eight hours. </w:t>
      </w:r>
    </w:p>
    <w:p w:rsidR="006820E7" w:rsidRPr="00AE4411" w:rsidRDefault="006820E7" w:rsidP="00444FD4">
      <w:pPr>
        <w:pStyle w:val="AccessibleBody"/>
      </w:pPr>
      <w:r w:rsidRPr="00AE4411">
        <w:t xml:space="preserve">The operation of this mechanism means that an annual rebate can be exhausted before the end of the (financial) year, meaning that parents in this situation are required to pay the full cost of the service, without rebate assistance, for the period between the exhaustion of their rebate and the end of the financial year. In some cases, this may be three months or more. </w:t>
      </w:r>
    </w:p>
    <w:p w:rsidR="00BB3CDF" w:rsidRPr="00AE4411" w:rsidRDefault="00BB3CDF" w:rsidP="00841FED">
      <w:pPr>
        <w:pStyle w:val="PolicyHeading3-Accessible"/>
      </w:pPr>
      <w:bookmarkStart w:id="32" w:name="_Toc509497649"/>
      <w:r w:rsidRPr="00AE4411">
        <w:t>Exclusion for social or stigma reasons</w:t>
      </w:r>
      <w:bookmarkEnd w:id="32"/>
    </w:p>
    <w:p w:rsidR="00BB3CDF" w:rsidRPr="00AE4411" w:rsidRDefault="00BB3CDF" w:rsidP="00BB3CDF">
      <w:pPr>
        <w:rPr>
          <w:sz w:val="24"/>
          <w:szCs w:val="24"/>
        </w:rPr>
      </w:pPr>
      <w:r w:rsidRPr="00AE4411">
        <w:rPr>
          <w:sz w:val="24"/>
          <w:szCs w:val="24"/>
        </w:rPr>
        <w:t>Exclusion from access to ECEC services i</w:t>
      </w:r>
      <w:r w:rsidR="008C1EAF" w:rsidRPr="00AE4411">
        <w:rPr>
          <w:sz w:val="24"/>
          <w:szCs w:val="24"/>
        </w:rPr>
        <w:t>s</w:t>
      </w:r>
      <w:r w:rsidRPr="00AE4411">
        <w:rPr>
          <w:sz w:val="24"/>
          <w:szCs w:val="24"/>
        </w:rPr>
        <w:t xml:space="preserve"> not necessarily due to issues of cost, hours of operation, or the location of services. There are a number of children in the ACT who live in families that are marginalised, and suffer from deep and persistent disadvantage, or are at significant risk of falling into this situation.</w:t>
      </w:r>
    </w:p>
    <w:p w:rsidR="00BB3CDF" w:rsidRPr="00AE4411" w:rsidRDefault="00BB3CDF" w:rsidP="00BB3CDF">
      <w:pPr>
        <w:rPr>
          <w:sz w:val="24"/>
          <w:szCs w:val="24"/>
        </w:rPr>
      </w:pPr>
      <w:r w:rsidRPr="00AE4411">
        <w:rPr>
          <w:sz w:val="24"/>
          <w:szCs w:val="24"/>
        </w:rPr>
        <w:t xml:space="preserve">Advice from </w:t>
      </w:r>
      <w:r w:rsidR="005D01F1" w:rsidRPr="00AE4411">
        <w:rPr>
          <w:sz w:val="24"/>
          <w:szCs w:val="24"/>
        </w:rPr>
        <w:t xml:space="preserve">research commissioned in 2013 by the </w:t>
      </w:r>
      <w:r w:rsidRPr="00AE4411">
        <w:rPr>
          <w:sz w:val="24"/>
          <w:szCs w:val="24"/>
        </w:rPr>
        <w:t>C</w:t>
      </w:r>
      <w:r w:rsidR="005D01F1" w:rsidRPr="00AE4411">
        <w:rPr>
          <w:sz w:val="24"/>
          <w:szCs w:val="24"/>
        </w:rPr>
        <w:t>ommunity Services Directorate</w:t>
      </w:r>
      <w:r w:rsidR="005D01F1" w:rsidRPr="00AE4411">
        <w:rPr>
          <w:rStyle w:val="FootnoteReference"/>
          <w:sz w:val="24"/>
          <w:szCs w:val="24"/>
        </w:rPr>
        <w:footnoteReference w:id="8"/>
      </w:r>
      <w:r w:rsidRPr="00AE4411">
        <w:rPr>
          <w:sz w:val="24"/>
          <w:szCs w:val="24"/>
        </w:rPr>
        <w:t xml:space="preserve"> is that there are families in the ACT with children who are enduring negative early life circumstances, and for reasons of stigma, as well as poor social connectedness and financial hardship, </w:t>
      </w:r>
      <w:r w:rsidR="005D01F1" w:rsidRPr="00AE4411">
        <w:rPr>
          <w:sz w:val="24"/>
          <w:szCs w:val="24"/>
        </w:rPr>
        <w:t xml:space="preserve">are marginalised. Marginalised families and their children do not participate in many of the activities that those families with high levels of social connectedness enjoy and it is likely that this extends to a reduced participation in </w:t>
      </w:r>
      <w:r w:rsidRPr="00AE4411">
        <w:rPr>
          <w:sz w:val="24"/>
          <w:szCs w:val="24"/>
        </w:rPr>
        <w:t>ECEC services. An estimate of the number of children who fall into this category, based on work undertaken by the Productivity Commission and the University of Canberra is that approximately 11% of children, or 2,970, may fall into this category.</w:t>
      </w:r>
    </w:p>
    <w:p w:rsidR="000567A3" w:rsidRPr="00AE4411" w:rsidRDefault="000567A3" w:rsidP="00BB3CDF">
      <w:pPr>
        <w:rPr>
          <w:sz w:val="24"/>
          <w:szCs w:val="24"/>
        </w:rPr>
      </w:pPr>
      <w:r w:rsidRPr="00AE4411">
        <w:rPr>
          <w:sz w:val="24"/>
          <w:szCs w:val="24"/>
        </w:rPr>
        <w:lastRenderedPageBreak/>
        <w:t>The first challenge to address this problem is to identify children in these circumstances, followed by a meaningful engagement that builds new relationships and trust with an education and care service.</w:t>
      </w:r>
    </w:p>
    <w:p w:rsidR="00BB3CDF" w:rsidRPr="00AE4411" w:rsidRDefault="000567A3" w:rsidP="00BB3CDF">
      <w:pPr>
        <w:rPr>
          <w:sz w:val="24"/>
          <w:szCs w:val="24"/>
        </w:rPr>
      </w:pPr>
      <w:r w:rsidRPr="00AE4411">
        <w:rPr>
          <w:sz w:val="24"/>
          <w:szCs w:val="24"/>
        </w:rPr>
        <w:t xml:space="preserve">Ongoing access to education and care then engages issues of </w:t>
      </w:r>
      <w:r w:rsidR="00DE481C" w:rsidRPr="00AE4411">
        <w:rPr>
          <w:sz w:val="24"/>
          <w:szCs w:val="24"/>
        </w:rPr>
        <w:t>affordability</w:t>
      </w:r>
      <w:r w:rsidR="00E97C84">
        <w:rPr>
          <w:sz w:val="24"/>
          <w:szCs w:val="24"/>
        </w:rPr>
        <w:t xml:space="preserve">. </w:t>
      </w:r>
      <w:r w:rsidRPr="00AE4411">
        <w:rPr>
          <w:sz w:val="24"/>
          <w:szCs w:val="24"/>
        </w:rPr>
        <w:t>E</w:t>
      </w:r>
      <w:r w:rsidR="00E97C84">
        <w:rPr>
          <w:sz w:val="24"/>
          <w:szCs w:val="24"/>
        </w:rPr>
        <w:t xml:space="preserve">CEC </w:t>
      </w:r>
      <w:r w:rsidR="00BB3CDF" w:rsidRPr="00AE4411">
        <w:rPr>
          <w:sz w:val="24"/>
          <w:szCs w:val="24"/>
        </w:rPr>
        <w:t>services can be expected to have the greatest impact on that cohort of families that are primarily excluded from access to services by cost. These families will increase their use of ECEC services, or commence using ECEC services, with the expected positive contribution to the broader ACT community through higher workforce participation rates.</w:t>
      </w:r>
    </w:p>
    <w:p w:rsidR="00BB3CDF" w:rsidRDefault="004B14CF" w:rsidP="00BB3CDF">
      <w:pPr>
        <w:rPr>
          <w:sz w:val="24"/>
          <w:szCs w:val="24"/>
        </w:rPr>
      </w:pPr>
      <w:r>
        <w:rPr>
          <w:noProof/>
          <w:sz w:val="24"/>
          <w:szCs w:val="24"/>
          <w:lang w:eastAsia="en-AU"/>
        </w:rPr>
        <mc:AlternateContent>
          <mc:Choice Requires="wps">
            <w:drawing>
              <wp:anchor distT="91440" distB="91440" distL="114300" distR="114300" simplePos="0" relativeHeight="251663872" behindDoc="0" locked="0" layoutInCell="0" allowOverlap="1">
                <wp:simplePos x="0" y="0"/>
                <wp:positionH relativeFrom="margin">
                  <wp:posOffset>-41275</wp:posOffset>
                </wp:positionH>
                <wp:positionV relativeFrom="margin">
                  <wp:posOffset>3569335</wp:posOffset>
                </wp:positionV>
                <wp:extent cx="5913120" cy="1463675"/>
                <wp:effectExtent l="15875" t="16510" r="14605" b="15240"/>
                <wp:wrapSquare wrapText="bothSides"/>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13120" cy="146367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E0AC1" w:rsidRPr="00E97C84" w:rsidRDefault="007E0AC1" w:rsidP="00111D3A">
                            <w:pPr>
                              <w:rPr>
                                <w:sz w:val="24"/>
                                <w:szCs w:val="24"/>
                              </w:rPr>
                            </w:pPr>
                            <w:r w:rsidRPr="00E97C84">
                              <w:rPr>
                                <w:sz w:val="24"/>
                                <w:szCs w:val="24"/>
                              </w:rPr>
                              <w:t>ISSUES</w:t>
                            </w:r>
                          </w:p>
                          <w:p w:rsidR="007E0AC1" w:rsidRDefault="007E0AC1" w:rsidP="00111D3A">
                            <w:pPr>
                              <w:rPr>
                                <w:color w:val="4F81BD" w:themeColor="accent1"/>
                                <w:sz w:val="20"/>
                                <w:szCs w:val="20"/>
                              </w:rPr>
                            </w:pPr>
                            <w:r>
                              <w:rPr>
                                <w:sz w:val="24"/>
                                <w:szCs w:val="24"/>
                              </w:rPr>
                              <w:t>What ways and means can be developed to support marginalised families to involve their children in early childhood education and care?</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11" o:spid="_x0000_s1029" style="position:absolute;margin-left:-3.25pt;margin-top:281.05pt;width:465.6pt;height:115.25pt;flip:x;z-index:251663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" o:allowincell="f" filled="f" fillcolor="black [3213]" strokecolor="black [3213]" strokeweight="1.5pt">
                <v:shadow color="#f79646 [3209]" opacity=".5" offset="-15pt,0"/>
                <v:textbox style="mso-fit-shape-to-text:t" inset="21.6pt,21.6pt,21.6pt,21.6pt">
                  <w:txbxContent>
                    <w:p w:rsidR="007E0AC1" w:rsidRPr="00E97C84" w:rsidRDefault="007E0AC1" w:rsidP="00111D3A">
                      <w:pPr>
                        <w:rPr>
                          <w:sz w:val="24"/>
                          <w:szCs w:val="24"/>
                        </w:rPr>
                      </w:pPr>
                      <w:r w:rsidRPr="00E97C84">
                        <w:rPr>
                          <w:sz w:val="24"/>
                          <w:szCs w:val="24"/>
                        </w:rPr>
                        <w:t>ISSUES</w:t>
                      </w:r>
                    </w:p>
                    <w:p w:rsidR="007E0AC1" w:rsidRDefault="007E0AC1" w:rsidP="00111D3A">
                      <w:pPr>
                        <w:rPr>
                          <w:color w:val="4F81BD" w:themeColor="accent1"/>
                          <w:sz w:val="20"/>
                          <w:szCs w:val="20"/>
                        </w:rPr>
                      </w:pPr>
                      <w:r>
                        <w:rPr>
                          <w:sz w:val="24"/>
                          <w:szCs w:val="24"/>
                        </w:rPr>
                        <w:t>What ways and means can be developed to support marginalised families to involve their children in early childhood education and care?</w:t>
                      </w:r>
                    </w:p>
                  </w:txbxContent>
                </v:textbox>
                <w10:wrap type="square" anchorx="margin" anchory="margin"/>
              </v:rect>
            </w:pict>
          </mc:Fallback>
        </mc:AlternateContent>
      </w:r>
      <w:r w:rsidR="00BB3CDF" w:rsidRPr="00AE4411">
        <w:rPr>
          <w:sz w:val="24"/>
          <w:szCs w:val="24"/>
        </w:rPr>
        <w:t xml:space="preserve">The </w:t>
      </w:r>
      <w:r w:rsidR="00D52940" w:rsidRPr="00AE4411">
        <w:rPr>
          <w:sz w:val="24"/>
          <w:szCs w:val="24"/>
        </w:rPr>
        <w:t>categories</w:t>
      </w:r>
      <w:r w:rsidR="00BB3CDF" w:rsidRPr="00AE4411">
        <w:rPr>
          <w:sz w:val="24"/>
          <w:szCs w:val="24"/>
        </w:rPr>
        <w:t xml:space="preserve"> of families and children that will not be able to take advantage of any reduction in the cost of services</w:t>
      </w:r>
      <w:r w:rsidR="00DE481C" w:rsidRPr="00AE4411">
        <w:rPr>
          <w:sz w:val="24"/>
          <w:szCs w:val="24"/>
        </w:rPr>
        <w:t>, for example due to social isolation and unemployment,</w:t>
      </w:r>
      <w:r w:rsidR="00BB3CDF" w:rsidRPr="00AE4411">
        <w:rPr>
          <w:sz w:val="24"/>
          <w:szCs w:val="24"/>
        </w:rPr>
        <w:t xml:space="preserve"> are precisely those families that are in the most marginalised category, and it is precisely these children that would benefit the most from access to such services.</w:t>
      </w:r>
    </w:p>
    <w:p w:rsidR="00FD2343" w:rsidRDefault="00FD2343" w:rsidP="00BB3CDF">
      <w:pPr>
        <w:rPr>
          <w:sz w:val="24"/>
          <w:szCs w:val="24"/>
        </w:rPr>
      </w:pPr>
    </w:p>
    <w:p w:rsidR="006B05ED" w:rsidRDefault="006B05ED" w:rsidP="00BB3CDF">
      <w:pPr>
        <w:rPr>
          <w:sz w:val="24"/>
          <w:szCs w:val="24"/>
        </w:rPr>
      </w:pPr>
    </w:p>
    <w:p w:rsidR="00CD7E15" w:rsidRPr="00AE4411" w:rsidRDefault="00CD7E15" w:rsidP="00BB3CDF">
      <w:pPr>
        <w:rPr>
          <w:sz w:val="24"/>
          <w:szCs w:val="24"/>
        </w:rPr>
      </w:pPr>
    </w:p>
    <w:p w:rsidR="00D4562A" w:rsidRPr="00AE4411" w:rsidRDefault="00D4562A" w:rsidP="00841FED">
      <w:pPr>
        <w:pStyle w:val="PolicyHeading3-Accessible"/>
      </w:pPr>
      <w:bookmarkStart w:id="33" w:name="_Toc453155105"/>
      <w:bookmarkStart w:id="34" w:name="_Toc509497650"/>
      <w:r w:rsidRPr="00AE4411">
        <w:t>Cost</w:t>
      </w:r>
      <w:r w:rsidR="002E13C5" w:rsidRPr="00AE4411">
        <w:t xml:space="preserve"> and </w:t>
      </w:r>
      <w:r w:rsidR="00005F15" w:rsidRPr="00AE4411">
        <w:t>a</w:t>
      </w:r>
      <w:r w:rsidR="002E13C5" w:rsidRPr="00AE4411">
        <w:t>ffordability</w:t>
      </w:r>
      <w:r w:rsidR="00005F15" w:rsidRPr="00AE4411">
        <w:t xml:space="preserve"> of services</w:t>
      </w:r>
      <w:bookmarkEnd w:id="33"/>
      <w:bookmarkEnd w:id="34"/>
    </w:p>
    <w:p w:rsidR="005D52E4" w:rsidRPr="00AE4411" w:rsidRDefault="00F523CA" w:rsidP="00DB7B3E">
      <w:pPr>
        <w:pStyle w:val="AccessibleBody"/>
      </w:pPr>
      <w:r w:rsidRPr="00AE4411">
        <w:t xml:space="preserve">An important </w:t>
      </w:r>
      <w:r w:rsidR="00005F15" w:rsidRPr="00AE4411">
        <w:t xml:space="preserve">aspect of access to </w:t>
      </w:r>
      <w:r w:rsidR="001315B4" w:rsidRPr="00AE4411">
        <w:t xml:space="preserve">ACT </w:t>
      </w:r>
      <w:r w:rsidR="00005F15" w:rsidRPr="00AE4411">
        <w:t>ECE</w:t>
      </w:r>
      <w:r w:rsidR="00424BCE" w:rsidRPr="00AE4411">
        <w:t>C</w:t>
      </w:r>
      <w:r w:rsidR="00005F15" w:rsidRPr="00AE4411">
        <w:t xml:space="preserve"> services considered by the </w:t>
      </w:r>
      <w:r w:rsidR="000567A3" w:rsidRPr="00AE4411">
        <w:t xml:space="preserve">2016 </w:t>
      </w:r>
      <w:r w:rsidR="001135FA" w:rsidRPr="00AE4411">
        <w:t>Review</w:t>
      </w:r>
      <w:r w:rsidR="00FF44D5" w:rsidRPr="00AE4411">
        <w:t xml:space="preserve"> was the cost of services</w:t>
      </w:r>
      <w:r w:rsidR="00DD36E2" w:rsidRPr="00AE4411">
        <w:rPr>
          <w:rStyle w:val="FootnoteReference"/>
        </w:rPr>
        <w:footnoteReference w:id="9"/>
      </w:r>
      <w:r w:rsidR="00005F15" w:rsidRPr="00AE4411">
        <w:t xml:space="preserve">. </w:t>
      </w:r>
      <w:r w:rsidR="00D52940" w:rsidRPr="00AE4411">
        <w:t>Up to date s</w:t>
      </w:r>
      <w:r w:rsidR="00005F15" w:rsidRPr="00AE4411">
        <w:t xml:space="preserve">ervice cost data is not generally available and the </w:t>
      </w:r>
      <w:r w:rsidR="001135FA" w:rsidRPr="00AE4411">
        <w:t>Review</w:t>
      </w:r>
      <w:r w:rsidR="00005F15" w:rsidRPr="00AE4411">
        <w:t xml:space="preserve"> had to research the cost of services</w:t>
      </w:r>
      <w:r w:rsidR="005D01F1" w:rsidRPr="00AE4411">
        <w:t xml:space="preserve"> separately</w:t>
      </w:r>
      <w:r w:rsidR="00005F15" w:rsidRPr="00AE4411">
        <w:t xml:space="preserve"> </w:t>
      </w:r>
      <w:r w:rsidR="009A1E3F" w:rsidRPr="00AE4411">
        <w:t>for</w:t>
      </w:r>
      <w:r w:rsidR="00005F15" w:rsidRPr="00AE4411">
        <w:t xml:space="preserve"> each provider generally</w:t>
      </w:r>
      <w:r w:rsidR="009A1E3F" w:rsidRPr="00AE4411">
        <w:t>,</w:t>
      </w:r>
      <w:r w:rsidR="00FF44D5" w:rsidRPr="00AE4411">
        <w:t xml:space="preserve"> but not always</w:t>
      </w:r>
      <w:r w:rsidR="009A1E3F" w:rsidRPr="00AE4411">
        <w:t>,</w:t>
      </w:r>
      <w:r w:rsidR="00005F15" w:rsidRPr="00AE4411">
        <w:t xml:space="preserve"> through publicly available information on </w:t>
      </w:r>
      <w:r w:rsidR="008A43C5" w:rsidRPr="00AE4411">
        <w:t xml:space="preserve">public </w:t>
      </w:r>
      <w:r w:rsidR="00005F15" w:rsidRPr="00AE4411">
        <w:t xml:space="preserve">websites. </w:t>
      </w:r>
    </w:p>
    <w:p w:rsidR="008A43C5" w:rsidRPr="00AE4411" w:rsidRDefault="000567A3" w:rsidP="00DB7B3E">
      <w:pPr>
        <w:pStyle w:val="AccessibleBody"/>
      </w:pPr>
      <w:r w:rsidRPr="00AE4411">
        <w:t>D</w:t>
      </w:r>
      <w:r w:rsidR="00FF44D5" w:rsidRPr="00AE4411">
        <w:t xml:space="preserve">ifferent services </w:t>
      </w:r>
      <w:r w:rsidR="009A1E3F" w:rsidRPr="00AE4411">
        <w:t>can comprise</w:t>
      </w:r>
      <w:r w:rsidR="00FF44D5" w:rsidRPr="00AE4411">
        <w:t xml:space="preserve"> components that cannot always be </w:t>
      </w:r>
      <w:r w:rsidR="005D01F1" w:rsidRPr="00AE4411">
        <w:t xml:space="preserve">comparatively </w:t>
      </w:r>
      <w:r w:rsidR="00FF44D5" w:rsidRPr="00AE4411">
        <w:t xml:space="preserve">costed, such as a nappy service, and that parents may value a service in ways not reflected in the price. In some cases, services have differential pricing for different cohorts of children. </w:t>
      </w:r>
      <w:r w:rsidR="009A1E3F" w:rsidRPr="00AE4411">
        <w:t>In order to provide a price basis for comparison,</w:t>
      </w:r>
      <w:r w:rsidR="00FF44D5" w:rsidRPr="00AE4411">
        <w:t xml:space="preserve"> all prices are based on the quoted price for the service, or for an average where</w:t>
      </w:r>
      <w:r w:rsidR="009A1E3F" w:rsidRPr="00AE4411">
        <w:t xml:space="preserve"> there were differential prices.</w:t>
      </w:r>
    </w:p>
    <w:p w:rsidR="005D52E4" w:rsidRPr="00AE4411" w:rsidRDefault="00005F15" w:rsidP="00511F2C">
      <w:pPr>
        <w:pStyle w:val="AccessibleBody"/>
      </w:pPr>
      <w:r w:rsidRPr="00AE4411">
        <w:lastRenderedPageBreak/>
        <w:t xml:space="preserve">The data </w:t>
      </w:r>
      <w:r w:rsidR="00E15CAB" w:rsidRPr="00AE4411">
        <w:t xml:space="preserve">assembled by the </w:t>
      </w:r>
      <w:r w:rsidR="005F1FE3" w:rsidRPr="00AE4411">
        <w:t xml:space="preserve">2016 </w:t>
      </w:r>
      <w:r w:rsidR="001135FA" w:rsidRPr="00AE4411">
        <w:t>Review</w:t>
      </w:r>
      <w:r w:rsidR="00E15CAB" w:rsidRPr="00AE4411">
        <w:t xml:space="preserve"> </w:t>
      </w:r>
      <w:r w:rsidRPr="00AE4411">
        <w:t>show</w:t>
      </w:r>
      <w:r w:rsidR="005F1FE3" w:rsidRPr="00AE4411">
        <w:t>ed</w:t>
      </w:r>
      <w:r w:rsidRPr="00AE4411">
        <w:t xml:space="preserve"> the cost of </w:t>
      </w:r>
      <w:r w:rsidR="00320331" w:rsidRPr="00AE4411">
        <w:t>ECE</w:t>
      </w:r>
      <w:r w:rsidR="00424BCE" w:rsidRPr="00AE4411">
        <w:t>C</w:t>
      </w:r>
      <w:r w:rsidR="00320331" w:rsidRPr="00AE4411">
        <w:t xml:space="preserve"> services </w:t>
      </w:r>
      <w:r w:rsidRPr="00AE4411">
        <w:t>in the ACT range</w:t>
      </w:r>
      <w:r w:rsidR="005F1FE3" w:rsidRPr="00AE4411">
        <w:t>d</w:t>
      </w:r>
      <w:r w:rsidRPr="00AE4411">
        <w:t xml:space="preserve"> from between $82 per day and $</w:t>
      </w:r>
      <w:r w:rsidR="00FC0660" w:rsidRPr="00AE4411">
        <w:t>130.50</w:t>
      </w:r>
      <w:r w:rsidRPr="00AE4411">
        <w:t xml:space="preserve"> per day, with a</w:t>
      </w:r>
      <w:r w:rsidR="00000D61" w:rsidRPr="00AE4411">
        <w:t>n estimated</w:t>
      </w:r>
      <w:r w:rsidRPr="00AE4411">
        <w:t xml:space="preserve"> mean of $105 </w:t>
      </w:r>
      <w:r w:rsidR="008C1EAF" w:rsidRPr="00AE4411">
        <w:t xml:space="preserve">per day </w:t>
      </w:r>
      <w:r w:rsidR="00D278FF" w:rsidRPr="00AE4411">
        <w:t>in 2016</w:t>
      </w:r>
      <w:r w:rsidR="005D52E4" w:rsidRPr="00AE4411">
        <w:rPr>
          <w:rStyle w:val="FootnoteReference"/>
        </w:rPr>
        <w:footnoteReference w:id="10"/>
      </w:r>
      <w:r w:rsidRPr="00AE4411">
        <w:t>.</w:t>
      </w:r>
      <w:r w:rsidR="008A43C5" w:rsidRPr="00AE4411">
        <w:t xml:space="preserve"> </w:t>
      </w:r>
      <w:r w:rsidR="00B27F18" w:rsidRPr="00AE4411">
        <w:t xml:space="preserve">Many </w:t>
      </w:r>
      <w:r w:rsidR="00777CE4" w:rsidRPr="00AE4411">
        <w:t xml:space="preserve">ECEC </w:t>
      </w:r>
      <w:r w:rsidR="00B27F18" w:rsidRPr="00AE4411">
        <w:t xml:space="preserve">services </w:t>
      </w:r>
      <w:r w:rsidR="00777CE4" w:rsidRPr="00AE4411">
        <w:t xml:space="preserve">in the ACT </w:t>
      </w:r>
      <w:r w:rsidR="00B27F18" w:rsidRPr="00AE4411">
        <w:t>offer disc</w:t>
      </w:r>
      <w:r w:rsidR="0063286E" w:rsidRPr="00AE4411">
        <w:t xml:space="preserve">ounted rates </w:t>
      </w:r>
      <w:r w:rsidR="00B27F18" w:rsidRPr="00AE4411">
        <w:t xml:space="preserve">for children attending </w:t>
      </w:r>
      <w:r w:rsidR="00777CE4" w:rsidRPr="00AE4411">
        <w:t xml:space="preserve">multiple days </w:t>
      </w:r>
      <w:r w:rsidR="000D58FB" w:rsidRPr="00AE4411">
        <w:t>a</w:t>
      </w:r>
      <w:r w:rsidR="00777CE4" w:rsidRPr="00AE4411">
        <w:t xml:space="preserve"> week </w:t>
      </w:r>
      <w:r w:rsidR="00EE120B" w:rsidRPr="00AE4411">
        <w:t>or</w:t>
      </w:r>
      <w:r w:rsidR="00777CE4" w:rsidRPr="00AE4411">
        <w:t xml:space="preserve"> </w:t>
      </w:r>
      <w:r w:rsidR="00B27F18" w:rsidRPr="00AE4411">
        <w:t>for the full week</w:t>
      </w:r>
      <w:r w:rsidR="00777CE4" w:rsidRPr="00AE4411">
        <w:t>,</w:t>
      </w:r>
      <w:r w:rsidR="00B27F18" w:rsidRPr="00AE4411">
        <w:t xml:space="preserve"> </w:t>
      </w:r>
      <w:r w:rsidR="0063286E" w:rsidRPr="00AE4411">
        <w:t>with a</w:t>
      </w:r>
      <w:r w:rsidR="00B27F18" w:rsidRPr="00AE4411">
        <w:t xml:space="preserve"> mean of $51</w:t>
      </w:r>
      <w:r w:rsidR="0063286E" w:rsidRPr="00AE4411">
        <w:t>6</w:t>
      </w:r>
      <w:r w:rsidR="00B27F18" w:rsidRPr="00AE4411">
        <w:t xml:space="preserve"> per week</w:t>
      </w:r>
      <w:r w:rsidR="005D52E4" w:rsidRPr="00AE4411">
        <w:t xml:space="preserve"> estimated for the ACT</w:t>
      </w:r>
      <w:r w:rsidR="00EB6761" w:rsidRPr="00AE4411">
        <w:t xml:space="preserve"> for five full days of care</w:t>
      </w:r>
      <w:r w:rsidR="005D52E4" w:rsidRPr="00AE4411">
        <w:t>.</w:t>
      </w:r>
      <w:r w:rsidR="00B27F18" w:rsidRPr="00AE4411">
        <w:t xml:space="preserve"> </w:t>
      </w:r>
    </w:p>
    <w:p w:rsidR="00511F2C" w:rsidRDefault="00511F2C" w:rsidP="00511F2C">
      <w:pPr>
        <w:pStyle w:val="AccessibleBody"/>
      </w:pPr>
      <w:r w:rsidRPr="00AE4411">
        <w:t xml:space="preserve">However, </w:t>
      </w:r>
      <w:r w:rsidR="008A43C5" w:rsidRPr="00AE4411">
        <w:t>these figures include</w:t>
      </w:r>
      <w:r w:rsidRPr="00AE4411">
        <w:t xml:space="preserve"> the</w:t>
      </w:r>
      <w:r w:rsidR="008A43C5" w:rsidRPr="00AE4411">
        <w:t xml:space="preserve"> costs </w:t>
      </w:r>
      <w:r w:rsidR="002200CE" w:rsidRPr="00AE4411">
        <w:t>of</w:t>
      </w:r>
      <w:r w:rsidR="008A43C5" w:rsidRPr="00AE4411">
        <w:t xml:space="preserve"> the</w:t>
      </w:r>
      <w:r w:rsidRPr="00AE4411">
        <w:t xml:space="preserve"> combination of services </w:t>
      </w:r>
      <w:r w:rsidR="00433E36" w:rsidRPr="00AE4411">
        <w:t>offered</w:t>
      </w:r>
      <w:r w:rsidRPr="00AE4411">
        <w:t xml:space="preserve"> by non-government </w:t>
      </w:r>
      <w:r w:rsidR="008A43C5" w:rsidRPr="00AE4411">
        <w:t>pre</w:t>
      </w:r>
      <w:r w:rsidRPr="00AE4411">
        <w:t>school</w:t>
      </w:r>
      <w:r w:rsidR="008A43C5" w:rsidRPr="00AE4411">
        <w:t xml:space="preserve">s that </w:t>
      </w:r>
      <w:r w:rsidR="00433E36" w:rsidRPr="00AE4411">
        <w:t xml:space="preserve">allow </w:t>
      </w:r>
      <w:r w:rsidR="00AC4909" w:rsidRPr="00AE4411">
        <w:t xml:space="preserve">for </w:t>
      </w:r>
      <w:r w:rsidR="00433E36" w:rsidRPr="00AE4411">
        <w:t>a full day of care to be</w:t>
      </w:r>
      <w:r w:rsidR="008A43C5" w:rsidRPr="00AE4411">
        <w:t xml:space="preserve"> </w:t>
      </w:r>
      <w:r w:rsidRPr="00AE4411">
        <w:t xml:space="preserve">supplemented </w:t>
      </w:r>
      <w:r w:rsidR="008A43C5" w:rsidRPr="00AE4411">
        <w:t>by</w:t>
      </w:r>
      <w:r w:rsidRPr="00AE4411">
        <w:t xml:space="preserve"> additional outside</w:t>
      </w:r>
      <w:r w:rsidR="008A43C5" w:rsidRPr="00AE4411">
        <w:t xml:space="preserve"> school hours care arrangements</w:t>
      </w:r>
      <w:r w:rsidRPr="00AE4411">
        <w:t>.</w:t>
      </w:r>
      <w:r w:rsidR="00433E36" w:rsidRPr="00AE4411">
        <w:t xml:space="preserve"> There were </w:t>
      </w:r>
      <w:r w:rsidR="002200CE" w:rsidRPr="00AE4411">
        <w:t xml:space="preserve">also </w:t>
      </w:r>
      <w:r w:rsidR="00433E36" w:rsidRPr="00AE4411">
        <w:t>three services</w:t>
      </w:r>
      <w:r w:rsidR="008A43C5" w:rsidRPr="00AE4411">
        <w:t xml:space="preserve"> </w:t>
      </w:r>
      <w:r w:rsidR="00433E36" w:rsidRPr="00AE4411">
        <w:t xml:space="preserve">identified as outliers </w:t>
      </w:r>
      <w:r w:rsidR="002200CE" w:rsidRPr="00AE4411">
        <w:t xml:space="preserve">that </w:t>
      </w:r>
      <w:r w:rsidR="00433E36" w:rsidRPr="00AE4411">
        <w:t xml:space="preserve">were </w:t>
      </w:r>
      <w:r w:rsidR="002200CE" w:rsidRPr="00AE4411">
        <w:t xml:space="preserve">subsequently </w:t>
      </w:r>
      <w:r w:rsidR="00433E36" w:rsidRPr="00AE4411">
        <w:t>removed from these</w:t>
      </w:r>
      <w:r w:rsidR="002200CE" w:rsidRPr="00AE4411">
        <w:t xml:space="preserve"> cost</w:t>
      </w:r>
      <w:r w:rsidR="00433E36" w:rsidRPr="00AE4411">
        <w:t xml:space="preserve"> calculations</w:t>
      </w:r>
      <w:r w:rsidR="005D52E4" w:rsidRPr="00AE4411">
        <w:t xml:space="preserve"> due to highly specific arrangements</w:t>
      </w:r>
      <w:r w:rsidR="00433E36" w:rsidRPr="00AE4411">
        <w:t xml:space="preserve">. </w:t>
      </w:r>
      <w:r w:rsidR="007F7D50" w:rsidRPr="00AE4411">
        <w:t xml:space="preserve">Furthermore, these costs do not necessarily reflect the </w:t>
      </w:r>
      <w:r w:rsidR="00E07B50" w:rsidRPr="00AE4411">
        <w:t>variety of</w:t>
      </w:r>
      <w:r w:rsidR="007F7D50" w:rsidRPr="00AE4411">
        <w:t xml:space="preserve"> services provided as </w:t>
      </w:r>
      <w:r w:rsidR="002371A5" w:rsidRPr="00AE4411">
        <w:t>some</w:t>
      </w:r>
      <w:r w:rsidR="007F7D50" w:rsidRPr="00AE4411">
        <w:t xml:space="preserve"> offer </w:t>
      </w:r>
      <w:r w:rsidR="005E69CC" w:rsidRPr="00AE4411">
        <w:t xml:space="preserve">additions such as </w:t>
      </w:r>
      <w:r w:rsidR="007F7D50" w:rsidRPr="00AE4411">
        <w:t>nappies, meals</w:t>
      </w:r>
      <w:r w:rsidR="003E0506" w:rsidRPr="00AE4411">
        <w:t>,</w:t>
      </w:r>
      <w:r w:rsidR="007F7D50" w:rsidRPr="00AE4411">
        <w:t xml:space="preserve"> </w:t>
      </w:r>
      <w:r w:rsidR="00E07B50" w:rsidRPr="00AE4411">
        <w:t>formula and specialist programs</w:t>
      </w:r>
      <w:r w:rsidR="003E0506" w:rsidRPr="00AE4411">
        <w:t xml:space="preserve"> </w:t>
      </w:r>
      <w:r w:rsidR="0062320F" w:rsidRPr="00AE4411">
        <w:t>that are</w:t>
      </w:r>
      <w:r w:rsidR="00E07B50" w:rsidRPr="00AE4411">
        <w:t xml:space="preserve"> </w:t>
      </w:r>
      <w:r w:rsidR="007F7D50" w:rsidRPr="00AE4411">
        <w:t>included within their fees.</w:t>
      </w:r>
    </w:p>
    <w:p w:rsidR="00EE7D7E" w:rsidRPr="00AE4411" w:rsidRDefault="00EE7D7E" w:rsidP="00511F2C">
      <w:pPr>
        <w:pStyle w:val="AccessibleBody"/>
      </w:pPr>
      <w:r>
        <w:rPr>
          <w:noProof/>
          <w:lang w:eastAsia="en-AU"/>
        </w:rPr>
        <w:drawing>
          <wp:inline distT="0" distB="0" distL="0" distR="0" wp14:anchorId="6536213C" wp14:editId="68A5DB87">
            <wp:extent cx="4591050" cy="2752725"/>
            <wp:effectExtent l="0" t="0" r="0" b="0"/>
            <wp:docPr id="6" name="Picture 6" descr="cid:image001.png@01D31024.E057B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31024.E057BD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F71059" w:rsidRPr="00F71059" w:rsidRDefault="00F71059" w:rsidP="00DB7B3E">
      <w:pPr>
        <w:pStyle w:val="AccessibleBody"/>
        <w:rPr>
          <w:sz w:val="18"/>
          <w:szCs w:val="18"/>
        </w:rPr>
      </w:pPr>
      <w:r w:rsidRPr="00F71059">
        <w:rPr>
          <w:sz w:val="18"/>
          <w:szCs w:val="18"/>
        </w:rPr>
        <w:t>Fig 5A Costs per day of care in the ACT by Provider Type.</w:t>
      </w:r>
    </w:p>
    <w:p w:rsidR="00005F15" w:rsidRPr="00AE4411" w:rsidRDefault="00005F15" w:rsidP="00DB7B3E">
      <w:pPr>
        <w:pStyle w:val="AccessibleBody"/>
      </w:pPr>
      <w:r w:rsidRPr="00AE4411">
        <w:t>Th</w:t>
      </w:r>
      <w:r w:rsidR="002371A5" w:rsidRPr="00AE4411">
        <w:t>e cost in the ACT</w:t>
      </w:r>
      <w:r w:rsidRPr="00AE4411">
        <w:t xml:space="preserve"> is significantly higher than the national mean of $80.50 per day</w:t>
      </w:r>
      <w:r w:rsidR="002371A5" w:rsidRPr="00AE4411">
        <w:t xml:space="preserve"> and confirms the data in the </w:t>
      </w:r>
      <w:r w:rsidR="002371A5" w:rsidRPr="00AE4411">
        <w:rPr>
          <w:i/>
        </w:rPr>
        <w:t xml:space="preserve">2016 </w:t>
      </w:r>
      <w:r w:rsidR="001135FA" w:rsidRPr="00AE4411">
        <w:rPr>
          <w:i/>
        </w:rPr>
        <w:t>Report</w:t>
      </w:r>
      <w:r w:rsidR="002371A5" w:rsidRPr="00AE4411">
        <w:rPr>
          <w:i/>
        </w:rPr>
        <w:t xml:space="preserve"> on Government Services</w:t>
      </w:r>
      <w:r w:rsidR="002371A5" w:rsidRPr="00AE4411">
        <w:t xml:space="preserve"> which indicated that the ACT had the highest costs for ECEC services nationally</w:t>
      </w:r>
      <w:r w:rsidRPr="00AE4411">
        <w:t>. When compared with the prices for ECE</w:t>
      </w:r>
      <w:r w:rsidR="00424BCE" w:rsidRPr="00AE4411">
        <w:t>C</w:t>
      </w:r>
      <w:r w:rsidRPr="00AE4411">
        <w:t xml:space="preserve"> services in other jurisdictions, the </w:t>
      </w:r>
      <w:r w:rsidR="001135FA" w:rsidRPr="00AE4411">
        <w:t>Review</w:t>
      </w:r>
      <w:r w:rsidRPr="00AE4411">
        <w:t xml:space="preserve"> </w:t>
      </w:r>
      <w:r w:rsidR="002371A5" w:rsidRPr="00AE4411">
        <w:t xml:space="preserve">also </w:t>
      </w:r>
      <w:r w:rsidRPr="00AE4411">
        <w:t xml:space="preserve">found that the spread of prices in the ACT was narrower than in other jurisdictions, with the lowest costs higher than </w:t>
      </w:r>
      <w:r w:rsidR="00612596" w:rsidRPr="00AE4411">
        <w:t xml:space="preserve">that </w:t>
      </w:r>
      <w:r w:rsidRPr="00AE4411">
        <w:t xml:space="preserve">available in other jurisdictions and the highest price </w:t>
      </w:r>
      <w:r w:rsidR="005D52E4" w:rsidRPr="00AE4411">
        <w:t xml:space="preserve">in the ACT </w:t>
      </w:r>
      <w:r w:rsidRPr="00AE4411">
        <w:t>low</w:t>
      </w:r>
      <w:r w:rsidR="00DB7B3E" w:rsidRPr="00AE4411">
        <w:t>er than</w:t>
      </w:r>
      <w:r w:rsidR="005D52E4" w:rsidRPr="00AE4411">
        <w:t xml:space="preserve"> that</w:t>
      </w:r>
      <w:r w:rsidR="00DB7B3E" w:rsidRPr="00AE4411">
        <w:t xml:space="preserve"> in other jurisdictions.</w:t>
      </w:r>
    </w:p>
    <w:p w:rsidR="003800F4" w:rsidRDefault="005D52E4" w:rsidP="005D52E4">
      <w:pPr>
        <w:pStyle w:val="AccessibleBody"/>
        <w:rPr>
          <w:rFonts w:asciiTheme="minorHAnsi" w:hAnsiTheme="minorHAnsi" w:cs="Arial"/>
        </w:rPr>
      </w:pPr>
      <w:r w:rsidRPr="00AE4411">
        <w:rPr>
          <w:b/>
        </w:rPr>
        <w:t xml:space="preserve">Figure </w:t>
      </w:r>
      <w:r w:rsidR="009259A2" w:rsidRPr="00AE4411">
        <w:rPr>
          <w:b/>
        </w:rPr>
        <w:t>6</w:t>
      </w:r>
      <w:r w:rsidRPr="00AE4411">
        <w:t xml:space="preserve"> below contains a comparison of the year-on-year increase in costs of ECEC between the Australian states and territories. It is clear from this table that all jurisdictions experienced a significant change in the cost of providing services between 2010 and 2012 as </w:t>
      </w:r>
      <w:r w:rsidRPr="00AE4411">
        <w:lastRenderedPageBreak/>
        <w:t>the National Quality Framework was introduced. However, the increase in the ACT between 2010 and 2012 was already higher than the other jurisdictions and</w:t>
      </w:r>
      <w:r w:rsidR="0004762F" w:rsidRPr="00AE4411">
        <w:t>,</w:t>
      </w:r>
      <w:r w:rsidRPr="00AE4411">
        <w:t xml:space="preserve"> even after the rate of increase moderated in NSW and Victoria by 2014, it remained significantly higher in the ACT</w:t>
      </w:r>
      <w:r w:rsidR="00E97C84">
        <w:rPr>
          <w:rStyle w:val="FootnoteReference"/>
          <w:rFonts w:asciiTheme="minorHAnsi" w:hAnsiTheme="minorHAnsi" w:cs="Arial"/>
        </w:rPr>
        <w:t> </w:t>
      </w:r>
      <w:r w:rsidRPr="00AE4411">
        <w:rPr>
          <w:rStyle w:val="FootnoteReference"/>
          <w:rFonts w:asciiTheme="minorHAnsi" w:hAnsiTheme="minorHAnsi" w:cs="Arial"/>
        </w:rPr>
        <w:footnoteReference w:id="11"/>
      </w:r>
      <w:r w:rsidRPr="00AE4411">
        <w:rPr>
          <w:rFonts w:asciiTheme="minorHAnsi" w:hAnsiTheme="minorHAnsi" w:cs="Arial"/>
        </w:rPr>
        <w:t>.</w:t>
      </w:r>
    </w:p>
    <w:p w:rsidR="003800F4" w:rsidRDefault="003800F4">
      <w:pPr>
        <w:spacing w:after="0" w:line="240" w:lineRule="auto"/>
        <w:rPr>
          <w:rFonts w:asciiTheme="minorHAnsi" w:eastAsia="Times New Roman" w:hAnsiTheme="minorHAnsi" w:cs="Arial"/>
          <w:sz w:val="24"/>
          <w:szCs w:val="20"/>
        </w:rPr>
      </w:pPr>
      <w:r>
        <w:rPr>
          <w:rFonts w:asciiTheme="minorHAnsi" w:hAnsiTheme="minorHAnsi" w:cs="Arial"/>
        </w:rPr>
        <w:br w:type="page"/>
      </w:r>
    </w:p>
    <w:p w:rsidR="005D52E4" w:rsidRPr="00D7636D" w:rsidRDefault="005D52E4" w:rsidP="005D52E4">
      <w:pPr>
        <w:pStyle w:val="AccessibleBody"/>
        <w:rPr>
          <w:color w:val="FFFFFF" w:themeColor="background1"/>
        </w:rPr>
      </w:pPr>
    </w:p>
    <w:tbl>
      <w:tblPr>
        <w:tblStyle w:val="MediumShading1-Accent4"/>
        <w:tblW w:w="9241" w:type="dxa"/>
        <w:tblLook w:val="04A0" w:firstRow="1" w:lastRow="0" w:firstColumn="1" w:lastColumn="0" w:noHBand="0" w:noVBand="1"/>
      </w:tblPr>
      <w:tblGrid>
        <w:gridCol w:w="1006"/>
        <w:gridCol w:w="915"/>
        <w:gridCol w:w="915"/>
        <w:gridCol w:w="915"/>
        <w:gridCol w:w="915"/>
        <w:gridCol w:w="915"/>
        <w:gridCol w:w="915"/>
        <w:gridCol w:w="915"/>
        <w:gridCol w:w="915"/>
        <w:gridCol w:w="915"/>
      </w:tblGrid>
      <w:tr w:rsidR="00FF493A" w:rsidRPr="00D7636D" w:rsidTr="00D7636D">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 w:type="dxa"/>
            <w:noWrap/>
            <w:hideMark/>
          </w:tcPr>
          <w:p w:rsidR="00A439E9" w:rsidRPr="00D7636D" w:rsidRDefault="00A439E9" w:rsidP="00852F96">
            <w:pPr>
              <w:rPr>
                <w:lang w:eastAsia="en-AU"/>
              </w:rPr>
            </w:pPr>
          </w:p>
        </w:tc>
        <w:tc>
          <w:tcPr>
            <w:tcW w:w="915" w:type="dxa"/>
            <w:noWrap/>
            <w:hideMark/>
          </w:tcPr>
          <w:p w:rsidR="00A439E9" w:rsidRPr="00D7636D" w:rsidRDefault="00FF493A" w:rsidP="00852F96">
            <w:pPr>
              <w:cnfStyle w:val="100000000000" w:firstRow="1" w:lastRow="0" w:firstColumn="0" w:lastColumn="0" w:oddVBand="0" w:evenVBand="0" w:oddHBand="0" w:evenHBand="0" w:firstRowFirstColumn="0" w:firstRowLastColumn="0" w:lastRowFirstColumn="0" w:lastRowLastColumn="0"/>
              <w:rPr>
                <w:lang w:eastAsia="en-AU"/>
              </w:rPr>
            </w:pPr>
            <w:r w:rsidRPr="00D7636D">
              <w:rPr>
                <w:lang w:eastAsia="en-AU"/>
              </w:rPr>
              <w:t>NSW</w:t>
            </w:r>
          </w:p>
        </w:tc>
        <w:tc>
          <w:tcPr>
            <w:tcW w:w="915" w:type="dxa"/>
            <w:noWrap/>
            <w:hideMark/>
          </w:tcPr>
          <w:p w:rsidR="00A439E9" w:rsidRPr="00D7636D" w:rsidRDefault="00FF493A" w:rsidP="00852F96">
            <w:pPr>
              <w:cnfStyle w:val="100000000000" w:firstRow="1" w:lastRow="0" w:firstColumn="0" w:lastColumn="0" w:oddVBand="0" w:evenVBand="0" w:oddHBand="0" w:evenHBand="0" w:firstRowFirstColumn="0" w:firstRowLastColumn="0" w:lastRowFirstColumn="0" w:lastRowLastColumn="0"/>
              <w:rPr>
                <w:lang w:eastAsia="en-AU"/>
              </w:rPr>
            </w:pPr>
            <w:r w:rsidRPr="00D7636D">
              <w:rPr>
                <w:lang w:eastAsia="en-AU"/>
              </w:rPr>
              <w:t>VIC</w:t>
            </w:r>
          </w:p>
        </w:tc>
        <w:tc>
          <w:tcPr>
            <w:tcW w:w="915" w:type="dxa"/>
            <w:noWrap/>
            <w:hideMark/>
          </w:tcPr>
          <w:p w:rsidR="00A439E9" w:rsidRPr="00D7636D" w:rsidRDefault="00FF493A" w:rsidP="00852F96">
            <w:pPr>
              <w:cnfStyle w:val="100000000000" w:firstRow="1" w:lastRow="0" w:firstColumn="0" w:lastColumn="0" w:oddVBand="0" w:evenVBand="0" w:oddHBand="0" w:evenHBand="0" w:firstRowFirstColumn="0" w:firstRowLastColumn="0" w:lastRowFirstColumn="0" w:lastRowLastColumn="0"/>
              <w:rPr>
                <w:lang w:eastAsia="en-AU"/>
              </w:rPr>
            </w:pPr>
            <w:r w:rsidRPr="00D7636D">
              <w:rPr>
                <w:lang w:eastAsia="en-AU"/>
              </w:rPr>
              <w:t>QLD</w:t>
            </w:r>
          </w:p>
        </w:tc>
        <w:tc>
          <w:tcPr>
            <w:tcW w:w="915" w:type="dxa"/>
            <w:noWrap/>
            <w:hideMark/>
          </w:tcPr>
          <w:p w:rsidR="00A439E9" w:rsidRPr="00D7636D" w:rsidRDefault="00FF493A" w:rsidP="00852F96">
            <w:pPr>
              <w:cnfStyle w:val="100000000000" w:firstRow="1" w:lastRow="0" w:firstColumn="0" w:lastColumn="0" w:oddVBand="0" w:evenVBand="0" w:oddHBand="0" w:evenHBand="0" w:firstRowFirstColumn="0" w:firstRowLastColumn="0" w:lastRowFirstColumn="0" w:lastRowLastColumn="0"/>
              <w:rPr>
                <w:lang w:eastAsia="en-AU"/>
              </w:rPr>
            </w:pPr>
            <w:r w:rsidRPr="00D7636D">
              <w:rPr>
                <w:lang w:eastAsia="en-AU"/>
              </w:rPr>
              <w:t>WA</w:t>
            </w:r>
          </w:p>
        </w:tc>
        <w:tc>
          <w:tcPr>
            <w:tcW w:w="915" w:type="dxa"/>
            <w:noWrap/>
            <w:hideMark/>
          </w:tcPr>
          <w:p w:rsidR="00A439E9" w:rsidRPr="00D7636D" w:rsidRDefault="00FF493A" w:rsidP="00852F96">
            <w:pPr>
              <w:cnfStyle w:val="100000000000" w:firstRow="1" w:lastRow="0" w:firstColumn="0" w:lastColumn="0" w:oddVBand="0" w:evenVBand="0" w:oddHBand="0" w:evenHBand="0" w:firstRowFirstColumn="0" w:firstRowLastColumn="0" w:lastRowFirstColumn="0" w:lastRowLastColumn="0"/>
              <w:rPr>
                <w:lang w:eastAsia="en-AU"/>
              </w:rPr>
            </w:pPr>
            <w:r w:rsidRPr="00D7636D">
              <w:rPr>
                <w:lang w:eastAsia="en-AU"/>
              </w:rPr>
              <w:t>SA</w:t>
            </w:r>
          </w:p>
        </w:tc>
        <w:tc>
          <w:tcPr>
            <w:tcW w:w="915" w:type="dxa"/>
            <w:noWrap/>
            <w:hideMark/>
          </w:tcPr>
          <w:p w:rsidR="00A439E9" w:rsidRPr="00D7636D" w:rsidRDefault="00FF493A" w:rsidP="00852F96">
            <w:pPr>
              <w:cnfStyle w:val="100000000000" w:firstRow="1" w:lastRow="0" w:firstColumn="0" w:lastColumn="0" w:oddVBand="0" w:evenVBand="0" w:oddHBand="0" w:evenHBand="0" w:firstRowFirstColumn="0" w:firstRowLastColumn="0" w:lastRowFirstColumn="0" w:lastRowLastColumn="0"/>
              <w:rPr>
                <w:lang w:eastAsia="en-AU"/>
              </w:rPr>
            </w:pPr>
            <w:r w:rsidRPr="00D7636D">
              <w:rPr>
                <w:lang w:eastAsia="en-AU"/>
              </w:rPr>
              <w:t>TAS</w:t>
            </w:r>
          </w:p>
        </w:tc>
        <w:tc>
          <w:tcPr>
            <w:tcW w:w="915" w:type="dxa"/>
            <w:noWrap/>
            <w:hideMark/>
          </w:tcPr>
          <w:p w:rsidR="00A439E9" w:rsidRPr="00D7636D" w:rsidRDefault="00FF493A" w:rsidP="00852F96">
            <w:pPr>
              <w:cnfStyle w:val="100000000000" w:firstRow="1" w:lastRow="0" w:firstColumn="0" w:lastColumn="0" w:oddVBand="0" w:evenVBand="0" w:oddHBand="0" w:evenHBand="0" w:firstRowFirstColumn="0" w:firstRowLastColumn="0" w:lastRowFirstColumn="0" w:lastRowLastColumn="0"/>
              <w:rPr>
                <w:lang w:eastAsia="en-AU"/>
              </w:rPr>
            </w:pPr>
            <w:r w:rsidRPr="00D7636D">
              <w:rPr>
                <w:lang w:eastAsia="en-AU"/>
              </w:rPr>
              <w:t>ACT</w:t>
            </w:r>
          </w:p>
        </w:tc>
        <w:tc>
          <w:tcPr>
            <w:tcW w:w="915" w:type="dxa"/>
            <w:noWrap/>
            <w:hideMark/>
          </w:tcPr>
          <w:p w:rsidR="00A439E9" w:rsidRPr="00D7636D" w:rsidRDefault="00FF493A" w:rsidP="00852F96">
            <w:pPr>
              <w:cnfStyle w:val="100000000000" w:firstRow="1" w:lastRow="0" w:firstColumn="0" w:lastColumn="0" w:oddVBand="0" w:evenVBand="0" w:oddHBand="0" w:evenHBand="0" w:firstRowFirstColumn="0" w:firstRowLastColumn="0" w:lastRowFirstColumn="0" w:lastRowLastColumn="0"/>
              <w:rPr>
                <w:lang w:eastAsia="en-AU"/>
              </w:rPr>
            </w:pPr>
            <w:r w:rsidRPr="00D7636D">
              <w:rPr>
                <w:lang w:eastAsia="en-AU"/>
              </w:rPr>
              <w:t>NT</w:t>
            </w:r>
          </w:p>
        </w:tc>
        <w:tc>
          <w:tcPr>
            <w:tcW w:w="915" w:type="dxa"/>
            <w:noWrap/>
            <w:hideMark/>
          </w:tcPr>
          <w:p w:rsidR="00A439E9" w:rsidRPr="00D7636D" w:rsidRDefault="00FF493A" w:rsidP="00852F96">
            <w:pPr>
              <w:cnfStyle w:val="100000000000" w:firstRow="1" w:lastRow="0" w:firstColumn="0" w:lastColumn="0" w:oddVBand="0" w:evenVBand="0" w:oddHBand="0" w:evenHBand="0" w:firstRowFirstColumn="0" w:firstRowLastColumn="0" w:lastRowFirstColumn="0" w:lastRowLastColumn="0"/>
              <w:rPr>
                <w:lang w:eastAsia="en-AU"/>
              </w:rPr>
            </w:pPr>
            <w:r w:rsidRPr="00D7636D">
              <w:rPr>
                <w:lang w:eastAsia="en-AU"/>
              </w:rPr>
              <w:t>AUST</w:t>
            </w:r>
          </w:p>
        </w:tc>
      </w:tr>
      <w:tr w:rsidR="00FF493A" w:rsidRPr="00AE4411" w:rsidTr="00D7636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 w:type="dxa"/>
            <w:noWrap/>
            <w:hideMark/>
          </w:tcPr>
          <w:p w:rsidR="00A439E9" w:rsidRPr="00AE4411" w:rsidRDefault="00FF493A" w:rsidP="00852F96">
            <w:pPr>
              <w:rPr>
                <w:color w:val="000000"/>
                <w:lang w:eastAsia="en-AU"/>
              </w:rPr>
            </w:pPr>
            <w:r w:rsidRPr="00AE4411">
              <w:rPr>
                <w:color w:val="000000"/>
                <w:lang w:eastAsia="en-AU"/>
              </w:rPr>
              <w:t>2008 ($)</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328</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316</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292</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298</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310</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284</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358</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292</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310</w:t>
            </w:r>
          </w:p>
        </w:tc>
      </w:tr>
      <w:tr w:rsidR="00FF493A" w:rsidRPr="00AE4411" w:rsidTr="00D7636D">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 w:type="dxa"/>
            <w:noWrap/>
            <w:hideMark/>
          </w:tcPr>
          <w:p w:rsidR="00A439E9" w:rsidRPr="00AE4411" w:rsidRDefault="00FF493A" w:rsidP="00852F96">
            <w:pPr>
              <w:rPr>
                <w:color w:val="000000"/>
                <w:lang w:eastAsia="en-AU"/>
              </w:rPr>
            </w:pPr>
            <w:r w:rsidRPr="00AE4411">
              <w:rPr>
                <w:color w:val="000000"/>
                <w:lang w:eastAsia="en-AU"/>
              </w:rPr>
              <w:t>2009 ($)</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344</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335</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310</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323</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327</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298</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373</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296</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327</w:t>
            </w:r>
          </w:p>
        </w:tc>
      </w:tr>
      <w:tr w:rsidR="00FF493A" w:rsidRPr="00AE4411" w:rsidTr="00D7636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 w:type="dxa"/>
            <w:noWrap/>
            <w:hideMark/>
          </w:tcPr>
          <w:p w:rsidR="00A439E9" w:rsidRPr="00AE4411" w:rsidRDefault="00FF493A" w:rsidP="00852F96">
            <w:pPr>
              <w:rPr>
                <w:color w:val="000000"/>
                <w:lang w:eastAsia="en-AU"/>
              </w:rPr>
            </w:pPr>
            <w:r w:rsidRPr="00AE4411">
              <w:rPr>
                <w:color w:val="000000"/>
                <w:lang w:eastAsia="en-AU"/>
              </w:rPr>
              <w:t>2010 ($)</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346</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324</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301</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318</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301</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301</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385</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307</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318</w:t>
            </w:r>
          </w:p>
        </w:tc>
      </w:tr>
      <w:tr w:rsidR="00FF493A" w:rsidRPr="00AE4411" w:rsidTr="00D7636D">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 w:type="dxa"/>
            <w:noWrap/>
            <w:hideMark/>
          </w:tcPr>
          <w:p w:rsidR="00A439E9" w:rsidRPr="00AE4411" w:rsidRDefault="00FF493A" w:rsidP="00852F96">
            <w:pPr>
              <w:rPr>
                <w:color w:val="000000"/>
                <w:lang w:eastAsia="en-AU"/>
              </w:rPr>
            </w:pPr>
            <w:r w:rsidRPr="00AE4411">
              <w:rPr>
                <w:color w:val="000000"/>
                <w:lang w:eastAsia="en-AU"/>
              </w:rPr>
              <w:t>2011 ($)</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356</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329</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303</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324</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303</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318</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398</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313</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318</w:t>
            </w:r>
          </w:p>
        </w:tc>
      </w:tr>
      <w:tr w:rsidR="00FF493A" w:rsidRPr="00AE4411" w:rsidTr="00D7636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 w:type="dxa"/>
            <w:noWrap/>
            <w:hideMark/>
          </w:tcPr>
          <w:p w:rsidR="00A439E9" w:rsidRPr="00AE4411" w:rsidRDefault="00FF493A" w:rsidP="00852F96">
            <w:pPr>
              <w:rPr>
                <w:color w:val="000000"/>
                <w:lang w:eastAsia="en-AU"/>
              </w:rPr>
            </w:pPr>
            <w:r w:rsidRPr="00AE4411">
              <w:rPr>
                <w:color w:val="000000"/>
                <w:lang w:eastAsia="en-AU"/>
              </w:rPr>
              <w:t>2012 ($)</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385</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369</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323</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352</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333</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341</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428</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337</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356</w:t>
            </w:r>
          </w:p>
        </w:tc>
      </w:tr>
      <w:tr w:rsidR="00FF493A" w:rsidRPr="00AE4411" w:rsidTr="00D7636D">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 w:type="dxa"/>
            <w:noWrap/>
            <w:hideMark/>
          </w:tcPr>
          <w:p w:rsidR="00A439E9" w:rsidRPr="00AE4411" w:rsidRDefault="00FF493A" w:rsidP="00852F96">
            <w:pPr>
              <w:rPr>
                <w:color w:val="000000"/>
                <w:lang w:eastAsia="en-AU"/>
              </w:rPr>
            </w:pPr>
            <w:r w:rsidRPr="00AE4411">
              <w:rPr>
                <w:color w:val="000000"/>
                <w:lang w:eastAsia="en-AU"/>
              </w:rPr>
              <w:t>2013 ($)</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404</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390</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339</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376</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350</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362</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455</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359</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375</w:t>
            </w:r>
          </w:p>
        </w:tc>
      </w:tr>
      <w:tr w:rsidR="00FF493A" w:rsidRPr="00AE4411" w:rsidTr="00D7636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 w:type="dxa"/>
            <w:noWrap/>
            <w:hideMark/>
          </w:tcPr>
          <w:p w:rsidR="00A439E9" w:rsidRPr="00AE4411" w:rsidRDefault="00FF493A" w:rsidP="00852F96">
            <w:pPr>
              <w:rPr>
                <w:color w:val="000000"/>
                <w:lang w:eastAsia="en-AU"/>
              </w:rPr>
            </w:pPr>
            <w:r w:rsidRPr="00AE4411">
              <w:rPr>
                <w:color w:val="000000"/>
                <w:lang w:eastAsia="en-AU"/>
              </w:rPr>
              <w:t>2014 ($)</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408</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402</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351</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378</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371</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387</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483</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381</w:t>
            </w:r>
          </w:p>
        </w:tc>
        <w:tc>
          <w:tcPr>
            <w:tcW w:w="915" w:type="dxa"/>
            <w:noWrap/>
            <w:hideMark/>
          </w:tcPr>
          <w:p w:rsidR="00A439E9" w:rsidRPr="00AE4411" w:rsidRDefault="00FF493A"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381</w:t>
            </w:r>
          </w:p>
        </w:tc>
      </w:tr>
      <w:tr w:rsidR="00FF493A" w:rsidRPr="00AE4411" w:rsidTr="00D7636D">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 w:type="dxa"/>
            <w:noWrap/>
            <w:hideMark/>
          </w:tcPr>
          <w:p w:rsidR="00A439E9" w:rsidRPr="00AE4411" w:rsidRDefault="00FF493A" w:rsidP="00852F96">
            <w:pPr>
              <w:rPr>
                <w:color w:val="000000"/>
                <w:lang w:eastAsia="en-AU"/>
              </w:rPr>
            </w:pPr>
            <w:r w:rsidRPr="00AE4411">
              <w:rPr>
                <w:color w:val="000000"/>
                <w:lang w:eastAsia="en-AU"/>
              </w:rPr>
              <w:t>2015 ($)</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425</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420</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363</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405</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383</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395</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493</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400</w:t>
            </w:r>
          </w:p>
        </w:tc>
        <w:tc>
          <w:tcPr>
            <w:tcW w:w="915" w:type="dxa"/>
            <w:noWrap/>
            <w:hideMark/>
          </w:tcPr>
          <w:p w:rsidR="00A439E9" w:rsidRPr="00AE4411" w:rsidRDefault="00FF493A"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400</w:t>
            </w:r>
          </w:p>
        </w:tc>
      </w:tr>
      <w:tr w:rsidR="002371A5" w:rsidRPr="00AE4411" w:rsidTr="00D7636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 w:type="dxa"/>
            <w:noWrap/>
            <w:hideMark/>
          </w:tcPr>
          <w:p w:rsidR="002371A5" w:rsidRPr="00AE4411" w:rsidRDefault="002371A5" w:rsidP="00852F96">
            <w:pPr>
              <w:rPr>
                <w:color w:val="000000"/>
                <w:lang w:eastAsia="en-AU"/>
              </w:rPr>
            </w:pPr>
            <w:r w:rsidRPr="00AE4411">
              <w:rPr>
                <w:color w:val="000000"/>
                <w:lang w:eastAsia="en-AU"/>
              </w:rPr>
              <w:t>2016 ($)</w:t>
            </w:r>
          </w:p>
        </w:tc>
        <w:tc>
          <w:tcPr>
            <w:tcW w:w="915" w:type="dxa"/>
            <w:noWrap/>
            <w:hideMark/>
          </w:tcPr>
          <w:p w:rsidR="002371A5" w:rsidRPr="00AE4411" w:rsidRDefault="002371A5"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915" w:type="dxa"/>
            <w:noWrap/>
            <w:hideMark/>
          </w:tcPr>
          <w:p w:rsidR="002371A5" w:rsidRPr="00AE4411" w:rsidRDefault="002371A5"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915" w:type="dxa"/>
            <w:noWrap/>
            <w:hideMark/>
          </w:tcPr>
          <w:p w:rsidR="002371A5" w:rsidRPr="00AE4411" w:rsidRDefault="002371A5"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915" w:type="dxa"/>
            <w:noWrap/>
            <w:hideMark/>
          </w:tcPr>
          <w:p w:rsidR="002371A5" w:rsidRPr="00AE4411" w:rsidRDefault="002371A5"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915" w:type="dxa"/>
            <w:noWrap/>
            <w:hideMark/>
          </w:tcPr>
          <w:p w:rsidR="002371A5" w:rsidRPr="00AE4411" w:rsidRDefault="002371A5"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915" w:type="dxa"/>
            <w:noWrap/>
            <w:hideMark/>
          </w:tcPr>
          <w:p w:rsidR="002371A5" w:rsidRPr="00AE4411" w:rsidRDefault="002371A5"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915" w:type="dxa"/>
            <w:noWrap/>
            <w:hideMark/>
          </w:tcPr>
          <w:p w:rsidR="002371A5" w:rsidRPr="00AE4411" w:rsidRDefault="002371A5"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516</w:t>
            </w:r>
          </w:p>
        </w:tc>
        <w:tc>
          <w:tcPr>
            <w:tcW w:w="915" w:type="dxa"/>
            <w:noWrap/>
            <w:hideMark/>
          </w:tcPr>
          <w:p w:rsidR="002371A5" w:rsidRPr="00AE4411" w:rsidRDefault="002371A5"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915" w:type="dxa"/>
            <w:noWrap/>
            <w:hideMark/>
          </w:tcPr>
          <w:p w:rsidR="002371A5" w:rsidRPr="00AE4411" w:rsidRDefault="002371A5"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p>
        </w:tc>
      </w:tr>
    </w:tbl>
    <w:p w:rsidR="005D52E4" w:rsidRPr="00AE4411" w:rsidRDefault="005D52E4" w:rsidP="005D52E4">
      <w:pPr>
        <w:spacing w:before="120"/>
        <w:rPr>
          <w:rFonts w:cs="Calibri"/>
          <w:sz w:val="20"/>
        </w:rPr>
      </w:pPr>
      <w:r w:rsidRPr="00AE4411">
        <w:rPr>
          <w:rFonts w:cs="Calibri"/>
          <w:sz w:val="20"/>
        </w:rPr>
        <w:t xml:space="preserve">Fig </w:t>
      </w:r>
      <w:r w:rsidR="009259A2" w:rsidRPr="00AE4411">
        <w:rPr>
          <w:rFonts w:cs="Calibri"/>
          <w:sz w:val="20"/>
        </w:rPr>
        <w:t>6</w:t>
      </w:r>
      <w:r w:rsidRPr="00AE4411">
        <w:rPr>
          <w:rFonts w:cs="Calibri"/>
          <w:sz w:val="20"/>
        </w:rPr>
        <w:t xml:space="preserve"> – Comparative change in the cost of ECEC based on ROGS Data</w:t>
      </w:r>
      <w:r w:rsidR="00524BF6" w:rsidRPr="00AE4411">
        <w:rPr>
          <w:rFonts w:cs="Calibri"/>
          <w:sz w:val="20"/>
        </w:rPr>
        <w:t xml:space="preserve"> – note 2015 costs only</w:t>
      </w:r>
    </w:p>
    <w:p w:rsidR="001A0D21" w:rsidRPr="00AE4411" w:rsidRDefault="001A0D21" w:rsidP="00DB7B3E">
      <w:pPr>
        <w:pStyle w:val="AccessibleBody"/>
      </w:pPr>
      <w:r w:rsidRPr="00AE4411">
        <w:t>The</w:t>
      </w:r>
      <w:r w:rsidR="00592385" w:rsidRPr="00AE4411">
        <w:t xml:space="preserve"> percentage</w:t>
      </w:r>
      <w:r w:rsidRPr="00AE4411">
        <w:t xml:space="preserve"> rate of increase in the mean price of ECE</w:t>
      </w:r>
      <w:r w:rsidR="00424BCE" w:rsidRPr="00AE4411">
        <w:t>C</w:t>
      </w:r>
      <w:r w:rsidRPr="00AE4411">
        <w:t xml:space="preserve"> services in the ACT between 201</w:t>
      </w:r>
      <w:r w:rsidR="005D52E4" w:rsidRPr="00AE4411">
        <w:t>5</w:t>
      </w:r>
      <w:r w:rsidRPr="00AE4411">
        <w:t xml:space="preserve"> and 2016 is</w:t>
      </w:r>
      <w:r w:rsidR="00701DE2" w:rsidRPr="00AE4411">
        <w:t xml:space="preserve"> </w:t>
      </w:r>
      <w:r w:rsidR="009A1E3F" w:rsidRPr="00AE4411">
        <w:t>estimated</w:t>
      </w:r>
      <w:r w:rsidR="005F1FE3" w:rsidRPr="00AE4411">
        <w:t xml:space="preserve"> to be </w:t>
      </w:r>
      <w:r w:rsidR="005D52E4" w:rsidRPr="00AE4411">
        <w:t>4.7</w:t>
      </w:r>
      <w:r w:rsidRPr="00AE4411">
        <w:t xml:space="preserve">%. </w:t>
      </w:r>
      <w:r w:rsidR="009A1E3F" w:rsidRPr="00AE4411">
        <w:t>A</w:t>
      </w:r>
      <w:r w:rsidR="00933B8D" w:rsidRPr="00AE4411">
        <w:t>n</w:t>
      </w:r>
      <w:r w:rsidR="009A1E3F" w:rsidRPr="00AE4411">
        <w:t xml:space="preserve"> </w:t>
      </w:r>
      <w:r w:rsidR="00933B8D" w:rsidRPr="00AE4411">
        <w:t>increase of 4.7</w:t>
      </w:r>
      <w:r w:rsidR="009A1E3F" w:rsidRPr="00AE4411">
        <w:t>%</w:t>
      </w:r>
      <w:r w:rsidR="00AA1474" w:rsidRPr="00AE4411">
        <w:t xml:space="preserve"> represents a slowing in the rate of prices growth in the ACT from the levels seen between 2010 and 2014. </w:t>
      </w:r>
      <w:r w:rsidRPr="00AE4411">
        <w:t>Nevertheless th</w:t>
      </w:r>
      <w:r w:rsidR="009A1E3F" w:rsidRPr="00AE4411">
        <w:t>is</w:t>
      </w:r>
      <w:r w:rsidR="00FF44D5" w:rsidRPr="00AE4411">
        <w:t xml:space="preserve"> price</w:t>
      </w:r>
      <w:r w:rsidRPr="00AE4411">
        <w:t xml:space="preserve"> increase is </w:t>
      </w:r>
      <w:r w:rsidR="00AA1474" w:rsidRPr="00AE4411">
        <w:t>greater than</w:t>
      </w:r>
      <w:r w:rsidRPr="00AE4411">
        <w:t xml:space="preserve"> </w:t>
      </w:r>
      <w:r w:rsidR="000A1793" w:rsidRPr="00AE4411">
        <w:t xml:space="preserve">the increase of </w:t>
      </w:r>
      <w:r w:rsidR="00FF44D5" w:rsidRPr="00AE4411">
        <w:t>either</w:t>
      </w:r>
      <w:r w:rsidRPr="00AE4411">
        <w:t xml:space="preserve"> the Consumer Price Index (CPI) </w:t>
      </w:r>
      <w:r w:rsidR="000A1793" w:rsidRPr="00AE4411">
        <w:t xml:space="preserve">of 1.8% </w:t>
      </w:r>
      <w:r w:rsidR="00FF44D5" w:rsidRPr="00AE4411">
        <w:t>or</w:t>
      </w:r>
      <w:r w:rsidRPr="00AE4411">
        <w:t xml:space="preserve"> the Wage Price Index (WPI) </w:t>
      </w:r>
      <w:r w:rsidR="000A1793" w:rsidRPr="00AE4411">
        <w:t xml:space="preserve">of 3.5% </w:t>
      </w:r>
      <w:r w:rsidR="00897E01" w:rsidRPr="00AE4411">
        <w:t xml:space="preserve">for the </w:t>
      </w:r>
      <w:r w:rsidR="00933B8D" w:rsidRPr="00AE4411">
        <w:t xml:space="preserve">two year </w:t>
      </w:r>
      <w:r w:rsidR="00897E01" w:rsidRPr="00AE4411">
        <w:t>period</w:t>
      </w:r>
      <w:r w:rsidR="00933B8D" w:rsidRPr="00AE4411">
        <w:t xml:space="preserve"> between 2014 and 2015</w:t>
      </w:r>
      <w:r w:rsidR="000D6BC7" w:rsidRPr="00AE4411">
        <w:rPr>
          <w:rStyle w:val="FootnoteReference"/>
        </w:rPr>
        <w:footnoteReference w:id="12"/>
      </w:r>
      <w:r w:rsidR="00897E01" w:rsidRPr="00AE4411">
        <w:t>.</w:t>
      </w:r>
      <w:r w:rsidR="00C24718" w:rsidRPr="00AE4411">
        <w:t xml:space="preserve"> </w:t>
      </w:r>
    </w:p>
    <w:p w:rsidR="00005F15" w:rsidRPr="00AE4411" w:rsidRDefault="00005F15" w:rsidP="00735E5F">
      <w:pPr>
        <w:pStyle w:val="AccessibleBody"/>
        <w:spacing w:after="120"/>
      </w:pPr>
      <w:r w:rsidRPr="00AE4411">
        <w:t>T</w:t>
      </w:r>
      <w:r w:rsidR="009A1E3F" w:rsidRPr="00AE4411">
        <w:t>o aid consideration of the cost of services, t</w:t>
      </w:r>
      <w:r w:rsidRPr="00AE4411">
        <w:t xml:space="preserve">he </w:t>
      </w:r>
      <w:r w:rsidR="00E97C84">
        <w:t>cost</w:t>
      </w:r>
      <w:r w:rsidR="00C22D20" w:rsidRPr="00AE4411">
        <w:t xml:space="preserve"> </w:t>
      </w:r>
      <w:r w:rsidRPr="00AE4411">
        <w:t>of</w:t>
      </w:r>
      <w:r w:rsidR="00C24718" w:rsidRPr="00AE4411">
        <w:t xml:space="preserve"> ACT</w:t>
      </w:r>
      <w:r w:rsidRPr="00AE4411">
        <w:t xml:space="preserve"> ECE</w:t>
      </w:r>
      <w:r w:rsidR="00424BCE" w:rsidRPr="00AE4411">
        <w:t>C</w:t>
      </w:r>
      <w:r w:rsidRPr="00AE4411">
        <w:t xml:space="preserve"> services </w:t>
      </w:r>
      <w:r w:rsidR="005F1FE3" w:rsidRPr="00AE4411">
        <w:t xml:space="preserve">is divided </w:t>
      </w:r>
      <w:r w:rsidRPr="00AE4411">
        <w:t>into price quintiles</w:t>
      </w:r>
      <w:r w:rsidR="00DB24FC" w:rsidRPr="00AE4411">
        <w:t xml:space="preserve">, as shown in </w:t>
      </w:r>
      <w:r w:rsidR="00DB24FC" w:rsidRPr="00AE4411">
        <w:rPr>
          <w:b/>
        </w:rPr>
        <w:t>Fig</w:t>
      </w:r>
      <w:r w:rsidR="00A764EC" w:rsidRPr="00AE4411">
        <w:rPr>
          <w:b/>
        </w:rPr>
        <w:t>ure</w:t>
      </w:r>
      <w:r w:rsidR="00DB24FC" w:rsidRPr="00AE4411">
        <w:rPr>
          <w:b/>
        </w:rPr>
        <w:t xml:space="preserve"> </w:t>
      </w:r>
      <w:r w:rsidR="009259A2" w:rsidRPr="00AE4411">
        <w:rPr>
          <w:b/>
        </w:rPr>
        <w:t>7</w:t>
      </w:r>
      <w:r w:rsidR="00661719" w:rsidRPr="00AE4411">
        <w:rPr>
          <w:b/>
        </w:rPr>
        <w:t xml:space="preserve"> </w:t>
      </w:r>
      <w:r w:rsidR="00661719" w:rsidRPr="00AE4411">
        <w:t>below</w:t>
      </w:r>
      <w:r w:rsidR="00DB24FC" w:rsidRPr="00AE4411">
        <w:t>,</w:t>
      </w:r>
      <w:r w:rsidRPr="00AE4411">
        <w:t xml:space="preserve"> and</w:t>
      </w:r>
      <w:r w:rsidR="009A1E3F" w:rsidRPr="00AE4411">
        <w:t xml:space="preserve"> then</w:t>
      </w:r>
      <w:r w:rsidRPr="00AE4411">
        <w:t xml:space="preserve"> distributed the availability of ECE</w:t>
      </w:r>
      <w:r w:rsidR="00231E40" w:rsidRPr="00AE4411">
        <w:t>C</w:t>
      </w:r>
      <w:r w:rsidRPr="00AE4411">
        <w:t xml:space="preserve"> places across the quintiles. These quintiles </w:t>
      </w:r>
      <w:r w:rsidR="009A1E3F" w:rsidRPr="00AE4411">
        <w:t>reflect price increases of</w:t>
      </w:r>
      <w:r w:rsidRPr="00AE4411">
        <w:t xml:space="preserve"> approximately $10 each and 8</w:t>
      </w:r>
      <w:r w:rsidR="00342560" w:rsidRPr="00AE4411">
        <w:t>6</w:t>
      </w:r>
      <w:r w:rsidRPr="00AE4411">
        <w:t>% of available places are distributed acro</w:t>
      </w:r>
      <w:r w:rsidR="00DB7B3E" w:rsidRPr="00AE4411">
        <w:t>ss the three central quintiles.</w:t>
      </w:r>
    </w:p>
    <w:p w:rsidR="00933B8D" w:rsidRPr="00AE4411" w:rsidRDefault="00005F15" w:rsidP="00735E5F">
      <w:pPr>
        <w:pStyle w:val="AccessibleBody"/>
        <w:spacing w:after="120"/>
      </w:pPr>
      <w:r w:rsidRPr="00AE4411">
        <w:lastRenderedPageBreak/>
        <w:t xml:space="preserve">This price range, when compared to the national mean, indicates that more than </w:t>
      </w:r>
      <w:r w:rsidR="009A1E3F" w:rsidRPr="00AE4411">
        <w:t>half of all</w:t>
      </w:r>
      <w:r w:rsidRPr="00AE4411">
        <w:t xml:space="preserve"> services offered </w:t>
      </w:r>
      <w:r w:rsidR="00AA1474" w:rsidRPr="00AE4411">
        <w:t xml:space="preserve">elsewhere </w:t>
      </w:r>
      <w:r w:rsidRPr="00AE4411">
        <w:t>across Australia</w:t>
      </w:r>
      <w:r w:rsidR="00AA1474" w:rsidRPr="00AE4411">
        <w:t xml:space="preserve"> are</w:t>
      </w:r>
      <w:r w:rsidRPr="00AE4411">
        <w:t xml:space="preserve"> </w:t>
      </w:r>
      <w:r w:rsidR="009A1E3F" w:rsidRPr="00AE4411">
        <w:t xml:space="preserve">offered </w:t>
      </w:r>
      <w:r w:rsidRPr="00AE4411">
        <w:t>at a lower price than the lowest price</w:t>
      </w:r>
      <w:r w:rsidR="00AA1474" w:rsidRPr="00AE4411">
        <w:t xml:space="preserve"> </w:t>
      </w:r>
      <w:r w:rsidR="009A1E3F" w:rsidRPr="00AE4411">
        <w:t xml:space="preserve">service </w:t>
      </w:r>
      <w:r w:rsidR="00AA1474" w:rsidRPr="00AE4411">
        <w:t>available</w:t>
      </w:r>
      <w:r w:rsidRPr="00AE4411">
        <w:t xml:space="preserve"> in the ACT. </w:t>
      </w:r>
    </w:p>
    <w:p w:rsidR="00005F15" w:rsidRPr="00AE4411" w:rsidRDefault="00661719" w:rsidP="00735E5F">
      <w:pPr>
        <w:pStyle w:val="AccessibleBody"/>
        <w:spacing w:after="120"/>
      </w:pPr>
      <w:r w:rsidRPr="00AE4411">
        <w:t>Prices in t</w:t>
      </w:r>
      <w:r w:rsidR="00005F15" w:rsidRPr="00AE4411">
        <w:t>he lowest ACT price quintile range</w:t>
      </w:r>
      <w:r w:rsidRPr="00AE4411">
        <w:t xml:space="preserve"> </w:t>
      </w:r>
      <w:r w:rsidR="00005F15" w:rsidRPr="00AE4411">
        <w:t xml:space="preserve">from approximately 2% to 13% above the national mean, and </w:t>
      </w:r>
      <w:r w:rsidR="00A06E68" w:rsidRPr="00AE4411">
        <w:t xml:space="preserve">just </w:t>
      </w:r>
      <w:r w:rsidR="00D7768A" w:rsidRPr="00AE4411">
        <w:t>9</w:t>
      </w:r>
      <w:r w:rsidR="00005F15" w:rsidRPr="00AE4411">
        <w:t>% of available places in the ACT</w:t>
      </w:r>
      <w:r w:rsidRPr="00AE4411">
        <w:t xml:space="preserve"> fall into this quintile</w:t>
      </w:r>
      <w:r w:rsidR="00005F15" w:rsidRPr="00AE4411">
        <w:t xml:space="preserve">. </w:t>
      </w:r>
      <w:r w:rsidR="00AA1474" w:rsidRPr="00AE4411">
        <w:t>Almost half of all services in the ACT are priced at 27% above the national mean, with a further 22% of services at 39.4% above the national mean.</w:t>
      </w:r>
    </w:p>
    <w:p w:rsidR="00C257F4" w:rsidRPr="00AE4411" w:rsidRDefault="00735E5F" w:rsidP="00DB7B3E">
      <w:pPr>
        <w:pStyle w:val="AccessibleBody"/>
      </w:pPr>
      <w:r w:rsidRPr="00AE4411">
        <w:t>There is no doubt that the prices in the ACT are the highest in Australia and that the profile of services is similar to that seen in the more affluent regions of Melbourne or Sydney</w:t>
      </w:r>
      <w:r w:rsidR="00661719" w:rsidRPr="00AE4411">
        <w:t>. The main difference between the ACT and these cities, however, is</w:t>
      </w:r>
      <w:r w:rsidRPr="00AE4411">
        <w:t xml:space="preserve"> that there are so few lower cost services availab</w:t>
      </w:r>
      <w:r w:rsidR="00661719" w:rsidRPr="00AE4411">
        <w:t>le, even at a proximity penalty</w:t>
      </w:r>
      <w:r w:rsidRPr="00AE4411">
        <w:t>.</w:t>
      </w:r>
    </w:p>
    <w:p w:rsidR="005838FC" w:rsidRPr="00AE4411" w:rsidRDefault="005838FC" w:rsidP="00735E5F">
      <w:pPr>
        <w:pStyle w:val="AccessibleBody"/>
        <w:pBdr>
          <w:top w:val="single" w:sz="4" w:space="1" w:color="auto"/>
          <w:left w:val="single" w:sz="4" w:space="4" w:color="auto"/>
          <w:bottom w:val="single" w:sz="4" w:space="1" w:color="auto"/>
          <w:right w:val="single" w:sz="4" w:space="0" w:color="auto"/>
        </w:pBdr>
        <w:spacing w:after="120" w:line="240" w:lineRule="auto"/>
        <w:ind w:right="-45"/>
      </w:pPr>
      <w:r w:rsidRPr="00AE4411">
        <w:rPr>
          <w:b/>
          <w:bCs/>
        </w:rPr>
        <w:t xml:space="preserve">Quintile One </w:t>
      </w:r>
      <w:r w:rsidRPr="00AE4411">
        <w:t>– 9% of places available at a</w:t>
      </w:r>
      <w:r w:rsidR="00DB7B3E" w:rsidRPr="00AE4411">
        <w:t xml:space="preserve"> daily cost between $82- $91.70</w:t>
      </w:r>
    </w:p>
    <w:p w:rsidR="005838FC" w:rsidRPr="00AE4411" w:rsidRDefault="005838FC" w:rsidP="00735E5F">
      <w:pPr>
        <w:pStyle w:val="AccessibleBody"/>
        <w:pBdr>
          <w:top w:val="single" w:sz="4" w:space="1" w:color="auto"/>
          <w:left w:val="single" w:sz="4" w:space="4" w:color="auto"/>
          <w:bottom w:val="single" w:sz="4" w:space="1" w:color="auto"/>
          <w:right w:val="single" w:sz="4" w:space="0" w:color="auto"/>
        </w:pBdr>
        <w:spacing w:after="120" w:line="240" w:lineRule="auto"/>
        <w:ind w:right="-45"/>
      </w:pPr>
      <w:r w:rsidRPr="00AE4411">
        <w:rPr>
          <w:b/>
          <w:bCs/>
        </w:rPr>
        <w:t>Quintile Two</w:t>
      </w:r>
      <w:r w:rsidRPr="00AE4411">
        <w:t xml:space="preserve"> - 19% of places are available at a dai</w:t>
      </w:r>
      <w:r w:rsidR="00DB7B3E" w:rsidRPr="00AE4411">
        <w:t>ly cost between $91.71- $101.40</w:t>
      </w:r>
    </w:p>
    <w:p w:rsidR="005838FC" w:rsidRPr="00AE4411" w:rsidRDefault="005838FC" w:rsidP="00735E5F">
      <w:pPr>
        <w:pStyle w:val="AccessibleBody"/>
        <w:pBdr>
          <w:top w:val="single" w:sz="4" w:space="1" w:color="auto"/>
          <w:left w:val="single" w:sz="4" w:space="4" w:color="auto"/>
          <w:bottom w:val="single" w:sz="4" w:space="1" w:color="auto"/>
          <w:right w:val="single" w:sz="4" w:space="0" w:color="auto"/>
        </w:pBdr>
        <w:spacing w:after="120" w:line="240" w:lineRule="auto"/>
        <w:ind w:right="-45"/>
      </w:pPr>
      <w:r w:rsidRPr="00AE4411">
        <w:rPr>
          <w:b/>
          <w:bCs/>
        </w:rPr>
        <w:t>Quintile Three</w:t>
      </w:r>
      <w:r w:rsidRPr="00AE4411">
        <w:t xml:space="preserve"> – 45% of places are available at a daily cost betwe</w:t>
      </w:r>
      <w:r w:rsidR="00DB7B3E" w:rsidRPr="00AE4411">
        <w:t>en $101.41- $111.10</w:t>
      </w:r>
    </w:p>
    <w:p w:rsidR="005838FC" w:rsidRPr="00AE4411" w:rsidRDefault="005838FC" w:rsidP="00735E5F">
      <w:pPr>
        <w:pStyle w:val="AccessibleBody"/>
        <w:pBdr>
          <w:top w:val="single" w:sz="4" w:space="1" w:color="auto"/>
          <w:left w:val="single" w:sz="4" w:space="4" w:color="auto"/>
          <w:bottom w:val="single" w:sz="4" w:space="1" w:color="auto"/>
          <w:right w:val="single" w:sz="4" w:space="0" w:color="auto"/>
        </w:pBdr>
        <w:spacing w:after="120" w:line="240" w:lineRule="auto"/>
        <w:ind w:right="-45"/>
      </w:pPr>
      <w:r w:rsidRPr="00AE4411">
        <w:rPr>
          <w:b/>
          <w:bCs/>
        </w:rPr>
        <w:t>Quintile Four</w:t>
      </w:r>
      <w:r w:rsidRPr="00AE4411">
        <w:t xml:space="preserve"> –</w:t>
      </w:r>
      <w:r w:rsidR="00D7768A" w:rsidRPr="00AE4411">
        <w:t xml:space="preserve"> </w:t>
      </w:r>
      <w:r w:rsidRPr="00AE4411">
        <w:t>22% of places are available at a dail</w:t>
      </w:r>
      <w:r w:rsidR="00DB7B3E" w:rsidRPr="00AE4411">
        <w:t>y cost between $111.11- $120.80</w:t>
      </w:r>
    </w:p>
    <w:p w:rsidR="00D7768A" w:rsidRPr="00AE4411" w:rsidRDefault="005838FC" w:rsidP="00735E5F">
      <w:pPr>
        <w:pStyle w:val="AccessibleBody"/>
        <w:pBdr>
          <w:top w:val="single" w:sz="4" w:space="1" w:color="auto"/>
          <w:left w:val="single" w:sz="4" w:space="4" w:color="auto"/>
          <w:bottom w:val="single" w:sz="4" w:space="1" w:color="auto"/>
          <w:right w:val="single" w:sz="4" w:space="0" w:color="auto"/>
        </w:pBdr>
        <w:spacing w:after="120" w:line="240" w:lineRule="auto"/>
        <w:ind w:right="-45"/>
      </w:pPr>
      <w:r w:rsidRPr="00AE4411">
        <w:rPr>
          <w:b/>
          <w:bCs/>
        </w:rPr>
        <w:t>Quintile Five</w:t>
      </w:r>
      <w:r w:rsidRPr="00AE4411">
        <w:t xml:space="preserve"> - 5% of places are available at a dail</w:t>
      </w:r>
      <w:r w:rsidR="00DB7B3E" w:rsidRPr="00AE4411">
        <w:t>y cost between $120.81- $130.50</w:t>
      </w:r>
    </w:p>
    <w:p w:rsidR="00005F15" w:rsidRPr="00AE4411" w:rsidRDefault="00005F15" w:rsidP="005838FC">
      <w:pPr>
        <w:rPr>
          <w:rFonts w:cs="Calibri"/>
          <w:sz w:val="18"/>
          <w:szCs w:val="18"/>
        </w:rPr>
      </w:pPr>
      <w:r w:rsidRPr="00AE4411">
        <w:rPr>
          <w:rFonts w:cs="Calibri"/>
          <w:sz w:val="18"/>
          <w:szCs w:val="18"/>
        </w:rPr>
        <w:t xml:space="preserve">Fig </w:t>
      </w:r>
      <w:r w:rsidR="009259A2" w:rsidRPr="00AE4411">
        <w:rPr>
          <w:rFonts w:cs="Calibri"/>
          <w:sz w:val="18"/>
          <w:szCs w:val="18"/>
        </w:rPr>
        <w:t>7</w:t>
      </w:r>
      <w:r w:rsidR="00D268D2" w:rsidRPr="00AE4411">
        <w:rPr>
          <w:rFonts w:cs="Calibri"/>
          <w:sz w:val="18"/>
          <w:szCs w:val="18"/>
        </w:rPr>
        <w:t xml:space="preserve"> -</w:t>
      </w:r>
      <w:r w:rsidRPr="00AE4411">
        <w:rPr>
          <w:rFonts w:cs="Calibri"/>
          <w:sz w:val="18"/>
          <w:szCs w:val="18"/>
        </w:rPr>
        <w:t xml:space="preserve"> Available ECE</w:t>
      </w:r>
      <w:r w:rsidR="00231E40" w:rsidRPr="00AE4411">
        <w:rPr>
          <w:rFonts w:cs="Calibri"/>
          <w:sz w:val="18"/>
          <w:szCs w:val="18"/>
        </w:rPr>
        <w:t>C</w:t>
      </w:r>
      <w:r w:rsidRPr="00AE4411">
        <w:rPr>
          <w:rFonts w:cs="Calibri"/>
          <w:sz w:val="18"/>
          <w:szCs w:val="18"/>
        </w:rPr>
        <w:t xml:space="preserve"> capacity distributed across price quintiles</w:t>
      </w:r>
    </w:p>
    <w:p w:rsidR="003800F4" w:rsidRDefault="004B14CF" w:rsidP="00B60D35">
      <w:pPr>
        <w:pStyle w:val="AccessibleBody"/>
        <w:spacing w:after="120"/>
      </w:pPr>
      <w:r>
        <w:rPr>
          <w:noProof/>
          <w:lang w:eastAsia="en-AU"/>
        </w:rPr>
        <mc:AlternateContent>
          <mc:Choice Requires="wps">
            <w:drawing>
              <wp:anchor distT="91440" distB="91440" distL="114300" distR="114300" simplePos="0" relativeHeight="251664896" behindDoc="0" locked="0" layoutInCell="0" allowOverlap="1">
                <wp:simplePos x="0" y="0"/>
                <wp:positionH relativeFrom="margin">
                  <wp:posOffset>-45720</wp:posOffset>
                </wp:positionH>
                <wp:positionV relativeFrom="margin">
                  <wp:posOffset>4560570</wp:posOffset>
                </wp:positionV>
                <wp:extent cx="5845810" cy="1677670"/>
                <wp:effectExtent l="11430" t="17145" r="10160" b="10160"/>
                <wp:wrapSquare wrapText="bothSides"/>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45810" cy="167767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E0AC1" w:rsidRPr="00E97C84" w:rsidRDefault="007E0AC1" w:rsidP="005F1FE3">
                            <w:pPr>
                              <w:rPr>
                                <w:sz w:val="24"/>
                                <w:szCs w:val="24"/>
                              </w:rPr>
                            </w:pPr>
                            <w:r w:rsidRPr="00E97C84">
                              <w:rPr>
                                <w:sz w:val="24"/>
                                <w:szCs w:val="24"/>
                              </w:rPr>
                              <w:t>ISSUES</w:t>
                            </w:r>
                          </w:p>
                          <w:p w:rsidR="007E0AC1" w:rsidRDefault="007E0AC1" w:rsidP="005F1FE3">
                            <w:pPr>
                              <w:rPr>
                                <w:color w:val="4F81BD" w:themeColor="accent1"/>
                                <w:sz w:val="20"/>
                                <w:szCs w:val="20"/>
                              </w:rPr>
                            </w:pPr>
                            <w:r>
                              <w:rPr>
                                <w:sz w:val="24"/>
                                <w:szCs w:val="24"/>
                              </w:rPr>
                              <w:t>Long day care prices have historically been very high in the ACT and remain high. The weighting of places is at the higher end of prices. What options are available to increase the number of places available at lower costs?</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13" o:spid="_x0000_s1030" style="position:absolute;margin-left:-3.6pt;margin-top:359.1pt;width:460.3pt;height:132.1pt;flip:x;z-index:251664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" o:allowincell="f" filled="f" fillcolor="black [3213]" strokecolor="black [3213]" strokeweight="1.5pt">
                <v:shadow color="#f79646 [3209]" opacity=".5" offset="-15pt,0"/>
                <v:textbox style="mso-fit-shape-to-text:t" inset="21.6pt,21.6pt,21.6pt,21.6pt">
                  <w:txbxContent>
                    <w:p w:rsidR="007E0AC1" w:rsidRPr="00E97C84" w:rsidRDefault="007E0AC1" w:rsidP="005F1FE3">
                      <w:pPr>
                        <w:rPr>
                          <w:sz w:val="24"/>
                          <w:szCs w:val="24"/>
                        </w:rPr>
                      </w:pPr>
                      <w:r w:rsidRPr="00E97C84">
                        <w:rPr>
                          <w:sz w:val="24"/>
                          <w:szCs w:val="24"/>
                        </w:rPr>
                        <w:t>ISSUES</w:t>
                      </w:r>
                    </w:p>
                    <w:p w:rsidR="007E0AC1" w:rsidRDefault="007E0AC1" w:rsidP="005F1FE3">
                      <w:pPr>
                        <w:rPr>
                          <w:color w:val="4F81BD" w:themeColor="accent1"/>
                          <w:sz w:val="20"/>
                          <w:szCs w:val="20"/>
                        </w:rPr>
                      </w:pPr>
                      <w:r>
                        <w:rPr>
                          <w:sz w:val="24"/>
                          <w:szCs w:val="24"/>
                        </w:rPr>
                        <w:t>Long day care prices have historically been very high in the ACT and remain high. The weighting of places is at the higher end of prices. What options are available to increase the number of places available at lower costs?</w:t>
                      </w:r>
                    </w:p>
                  </w:txbxContent>
                </v:textbox>
                <w10:wrap type="square" anchorx="margin" anchory="margin"/>
              </v:rect>
            </w:pict>
          </mc:Fallback>
        </mc:AlternateContent>
      </w:r>
    </w:p>
    <w:p w:rsidR="00DB24FC" w:rsidRPr="00AE4411" w:rsidRDefault="00DB24FC" w:rsidP="000139B4">
      <w:pPr>
        <w:pStyle w:val="PolicyHeading3-Accessible"/>
      </w:pPr>
      <w:bookmarkStart w:id="35" w:name="_Toc453155106"/>
      <w:bookmarkStart w:id="36" w:name="_Toc509497651"/>
      <w:r w:rsidRPr="00AE4411">
        <w:t>Cost impact on families</w:t>
      </w:r>
      <w:bookmarkEnd w:id="35"/>
      <w:bookmarkEnd w:id="36"/>
    </w:p>
    <w:p w:rsidR="003A792B" w:rsidRPr="00AE4411" w:rsidRDefault="003A792B" w:rsidP="00EA7A64">
      <w:pPr>
        <w:pStyle w:val="AccessibleBody"/>
      </w:pPr>
      <w:r w:rsidRPr="00AE4411">
        <w:t>Th</w:t>
      </w:r>
      <w:r w:rsidR="00AE2B0E" w:rsidRPr="00AE4411">
        <w:t xml:space="preserve">e </w:t>
      </w:r>
      <w:r w:rsidRPr="00AE4411">
        <w:t>principal barrier to access to ECEC in the ACT and that the cohort of children in the ACT that would most benefit from LDC is the cohort whose parents can least afford it.</w:t>
      </w:r>
    </w:p>
    <w:p w:rsidR="00DB24FC" w:rsidRPr="00AE4411" w:rsidRDefault="00B435EF" w:rsidP="00592E13">
      <w:pPr>
        <w:pStyle w:val="AccessibleBody"/>
      </w:pPr>
      <w:r w:rsidRPr="00AE4411">
        <w:t>In assessing the financial impact of ECEC services on families, it needs to be noted that the complex operation of rebate and benefit schemes, primarily provided by the Australian Government can have a significant impact on the actual costs paid by a family. T</w:t>
      </w:r>
      <w:r w:rsidR="00DB24FC" w:rsidRPr="00AE4411">
        <w:t xml:space="preserve">he Australian Government provides </w:t>
      </w:r>
      <w:r w:rsidR="004A7558" w:rsidRPr="00AE4411">
        <w:t>several subsidies</w:t>
      </w:r>
      <w:r w:rsidR="00943345" w:rsidRPr="00C23866">
        <w:t xml:space="preserve">, </w:t>
      </w:r>
      <w:r w:rsidR="004A7558" w:rsidRPr="00AE4411">
        <w:t xml:space="preserve">to assist </w:t>
      </w:r>
      <w:r w:rsidR="005F4EFB" w:rsidRPr="00AE4411">
        <w:t>parents</w:t>
      </w:r>
      <w:r w:rsidR="00651F0A" w:rsidRPr="00AE4411">
        <w:t xml:space="preserve"> </w:t>
      </w:r>
      <w:r w:rsidR="004A7558" w:rsidRPr="00AE4411">
        <w:t>with the cost of child care</w:t>
      </w:r>
      <w:r w:rsidR="00DB24FC" w:rsidRPr="00AE4411">
        <w:t xml:space="preserve">. Consequently, the important measure is the </w:t>
      </w:r>
      <w:r w:rsidR="00EB75F4" w:rsidRPr="00AE4411">
        <w:t xml:space="preserve">out of pocket </w:t>
      </w:r>
      <w:r w:rsidR="00DB24FC" w:rsidRPr="00AE4411">
        <w:t>cost impact of ECE</w:t>
      </w:r>
      <w:r w:rsidR="00424BCE" w:rsidRPr="00AE4411">
        <w:t>C</w:t>
      </w:r>
      <w:r w:rsidR="00DB24FC" w:rsidRPr="00AE4411">
        <w:t xml:space="preserve"> services on ACT families, rather than just the price charged for services.</w:t>
      </w:r>
    </w:p>
    <w:p w:rsidR="00C24718" w:rsidRPr="00AE4411" w:rsidRDefault="00C24718" w:rsidP="00F21D67">
      <w:pPr>
        <w:pStyle w:val="AccessibleBody"/>
        <w:spacing w:before="240"/>
      </w:pPr>
      <w:r w:rsidRPr="00AE4411">
        <w:lastRenderedPageBreak/>
        <w:t>To establish a</w:t>
      </w:r>
      <w:r w:rsidR="00F21D67" w:rsidRPr="00AE4411">
        <w:t xml:space="preserve"> comparable</w:t>
      </w:r>
      <w:r w:rsidRPr="00AE4411">
        <w:t xml:space="preserve"> ACT cost, the </w:t>
      </w:r>
      <w:r w:rsidR="00AE2B0E" w:rsidRPr="00AE4411">
        <w:t xml:space="preserve">2016 </w:t>
      </w:r>
      <w:r w:rsidR="001135FA" w:rsidRPr="00AE4411">
        <w:t>Review</w:t>
      </w:r>
      <w:r w:rsidRPr="00AE4411">
        <w:t xml:space="preserve"> </w:t>
      </w:r>
      <w:r w:rsidR="00F21D67" w:rsidRPr="00AE4411">
        <w:t xml:space="preserve">compared the </w:t>
      </w:r>
      <w:r w:rsidR="006A7DA6" w:rsidRPr="00AE4411">
        <w:t xml:space="preserve">average </w:t>
      </w:r>
      <w:r w:rsidR="00F21D67" w:rsidRPr="00AE4411">
        <w:t xml:space="preserve">daily cost of childcare in the ACT, </w:t>
      </w:r>
      <w:r w:rsidR="004655B8" w:rsidRPr="00AE4411">
        <w:t xml:space="preserve">of </w:t>
      </w:r>
      <w:r w:rsidRPr="00AE4411">
        <w:t>$105 per day</w:t>
      </w:r>
      <w:r w:rsidR="00F21D67" w:rsidRPr="00AE4411">
        <w:t xml:space="preserve">, </w:t>
      </w:r>
      <w:r w:rsidR="004655B8" w:rsidRPr="00AE4411">
        <w:t>to</w:t>
      </w:r>
      <w:r w:rsidR="00F21D67" w:rsidRPr="00AE4411">
        <w:t xml:space="preserve"> ACT income deciles</w:t>
      </w:r>
      <w:r w:rsidR="004655B8" w:rsidRPr="00AE4411">
        <w:t xml:space="preserve"> with the national</w:t>
      </w:r>
      <w:r w:rsidR="006A7DA6" w:rsidRPr="00AE4411">
        <w:t xml:space="preserve"> average</w:t>
      </w:r>
      <w:r w:rsidR="004655B8" w:rsidRPr="00AE4411">
        <w:t xml:space="preserve"> daily cost of childcare, of $80 per day, to national income deciles</w:t>
      </w:r>
      <w:r w:rsidRPr="00AE4411">
        <w:t>.</w:t>
      </w:r>
    </w:p>
    <w:p w:rsidR="00F21D67" w:rsidRPr="00AE4411" w:rsidRDefault="002375AF" w:rsidP="00943345">
      <w:pPr>
        <w:pStyle w:val="AccessibleBody"/>
        <w:spacing w:before="240"/>
        <w:rPr>
          <w:color w:val="000000"/>
        </w:rPr>
      </w:pPr>
      <w:r w:rsidRPr="00AE4411">
        <w:t xml:space="preserve">The cost </w:t>
      </w:r>
      <w:r w:rsidR="00D7768A" w:rsidRPr="00AE4411">
        <w:t>impact on families</w:t>
      </w:r>
      <w:r w:rsidR="00C24718" w:rsidRPr="00AE4411">
        <w:t xml:space="preserve"> at the lowest two income deciles</w:t>
      </w:r>
      <w:r w:rsidR="00D7768A" w:rsidRPr="00AE4411">
        <w:t xml:space="preserve"> </w:t>
      </w:r>
      <w:r w:rsidRPr="00AE4411">
        <w:t xml:space="preserve">of </w:t>
      </w:r>
      <w:r w:rsidR="00C24718" w:rsidRPr="00AE4411">
        <w:t>ECEC services</w:t>
      </w:r>
      <w:r w:rsidRPr="00AE4411">
        <w:t xml:space="preserve"> in the ACT</w:t>
      </w:r>
      <w:r w:rsidR="00DB24FC" w:rsidRPr="00AE4411">
        <w:t xml:space="preserve"> </w:t>
      </w:r>
      <w:r w:rsidRPr="00AE4411">
        <w:t xml:space="preserve">after the application of </w:t>
      </w:r>
      <w:r w:rsidR="00AE2B0E" w:rsidRPr="00AE4411">
        <w:t xml:space="preserve">2016 </w:t>
      </w:r>
      <w:r w:rsidR="00933B8D" w:rsidRPr="00AE4411">
        <w:t>Australian Government</w:t>
      </w:r>
      <w:r w:rsidRPr="00AE4411">
        <w:t xml:space="preserve"> </w:t>
      </w:r>
      <w:r w:rsidR="00661719" w:rsidRPr="00AE4411">
        <w:t xml:space="preserve">rebates </w:t>
      </w:r>
      <w:r w:rsidR="00933B8D" w:rsidRPr="00AE4411">
        <w:t>is 31.6% and 27.1%</w:t>
      </w:r>
      <w:r w:rsidR="00331EA9" w:rsidRPr="00AE4411">
        <w:rPr>
          <w:rStyle w:val="FootnoteReference"/>
        </w:rPr>
        <w:footnoteReference w:id="13"/>
      </w:r>
      <w:r w:rsidR="00331EA9" w:rsidRPr="00AE4411">
        <w:t xml:space="preserve"> </w:t>
      </w:r>
      <w:r w:rsidR="00933B8D" w:rsidRPr="00AE4411">
        <w:t xml:space="preserve">of </w:t>
      </w:r>
      <w:r w:rsidR="00C24718" w:rsidRPr="00AE4411">
        <w:t>disposable income</w:t>
      </w:r>
      <w:r w:rsidR="00661719" w:rsidRPr="00AE4411">
        <w:t xml:space="preserve"> </w:t>
      </w:r>
      <w:r w:rsidR="00C24718" w:rsidRPr="00AE4411">
        <w:t>respectively</w:t>
      </w:r>
      <w:r w:rsidRPr="00AE4411">
        <w:t>.</w:t>
      </w:r>
      <w:r w:rsidR="00A3463C" w:rsidRPr="00AE4411">
        <w:t xml:space="preserve"> </w:t>
      </w:r>
      <w:r w:rsidR="00F21D67" w:rsidRPr="00AE4411">
        <w:t>This compares t</w:t>
      </w:r>
      <w:r w:rsidR="00EE423D" w:rsidRPr="00AE4411">
        <w:t>o the national averages of 23.4</w:t>
      </w:r>
      <w:r w:rsidR="0087206C" w:rsidRPr="00AE4411">
        <w:t>%</w:t>
      </w:r>
      <w:r w:rsidR="00F21D67" w:rsidRPr="00AE4411">
        <w:t xml:space="preserve"> and 19</w:t>
      </w:r>
      <w:r w:rsidR="0087206C" w:rsidRPr="00AE4411">
        <w:t>%</w:t>
      </w:r>
      <w:r w:rsidR="00F21D67" w:rsidRPr="00AE4411">
        <w:t xml:space="preserve"> respectively. </w:t>
      </w:r>
      <w:r w:rsidRPr="00AE4411">
        <w:t>This makes ECE</w:t>
      </w:r>
      <w:r w:rsidR="00231E40" w:rsidRPr="00AE4411">
        <w:t>C</w:t>
      </w:r>
      <w:r w:rsidRPr="00AE4411">
        <w:t xml:space="preserve"> </w:t>
      </w:r>
      <w:r w:rsidR="00F21D67" w:rsidRPr="00AE4411">
        <w:t xml:space="preserve">comparatively </w:t>
      </w:r>
      <w:r w:rsidRPr="00AE4411">
        <w:t>more expensive for families in the ACT than other jurisdictions.</w:t>
      </w:r>
      <w:r w:rsidR="00FE4C32" w:rsidRPr="00AE4411">
        <w:rPr>
          <w:color w:val="000000"/>
        </w:rPr>
        <w:t xml:space="preserve"> It is recognised that ACT disposable incomes are substantially higher on average than the national average, however, for the portion of ACT residents whose earnings are comparable with the national lowest deciles they are considerably more disadvantaged due to the higher cost of care in the ACT.</w:t>
      </w:r>
      <w:r w:rsidR="00F21D67" w:rsidRPr="00AE4411">
        <w:rPr>
          <w:color w:val="000000"/>
        </w:rPr>
        <w:t xml:space="preserve"> </w:t>
      </w:r>
    </w:p>
    <w:p w:rsidR="000F013A" w:rsidRPr="00AE4411" w:rsidRDefault="00AA1474" w:rsidP="002620FA">
      <w:pPr>
        <w:pStyle w:val="AccessibleBody"/>
        <w:spacing w:after="120"/>
      </w:pPr>
      <w:r w:rsidRPr="00AE4411">
        <w:rPr>
          <w:b/>
        </w:rPr>
        <w:t xml:space="preserve">Figure </w:t>
      </w:r>
      <w:r w:rsidR="008A5FE5" w:rsidRPr="00AE4411">
        <w:rPr>
          <w:b/>
        </w:rPr>
        <w:t xml:space="preserve">8 </w:t>
      </w:r>
      <w:r w:rsidR="000F013A" w:rsidRPr="00AE4411">
        <w:t>show</w:t>
      </w:r>
      <w:r w:rsidR="00A3463C" w:rsidRPr="00AE4411">
        <w:t>s</w:t>
      </w:r>
      <w:r w:rsidR="002375AF" w:rsidRPr="00AE4411">
        <w:t xml:space="preserve"> the estimated impact </w:t>
      </w:r>
      <w:r w:rsidR="00DB24FC" w:rsidRPr="00AE4411">
        <w:t>of the mean ECE</w:t>
      </w:r>
      <w:r w:rsidR="00231E40" w:rsidRPr="00AE4411">
        <w:t>C</w:t>
      </w:r>
      <w:r w:rsidR="00DB24FC" w:rsidRPr="00AE4411">
        <w:t xml:space="preserve"> price of $105 </w:t>
      </w:r>
      <w:r w:rsidR="006350AD" w:rsidRPr="00AE4411">
        <w:t xml:space="preserve">per day </w:t>
      </w:r>
      <w:r w:rsidR="00DB24FC" w:rsidRPr="00AE4411">
        <w:t xml:space="preserve">on </w:t>
      </w:r>
      <w:r w:rsidR="00A3463C" w:rsidRPr="00AE4411">
        <w:t>f</w:t>
      </w:r>
      <w:r w:rsidR="00DB24FC" w:rsidRPr="00AE4411">
        <w:t>amilies in the ACT</w:t>
      </w:r>
      <w:r w:rsidR="00E15CAB" w:rsidRPr="00AE4411">
        <w:t xml:space="preserve"> both before and</w:t>
      </w:r>
      <w:r w:rsidR="006350AD" w:rsidRPr="00AE4411">
        <w:t xml:space="preserve"> </w:t>
      </w:r>
      <w:r w:rsidR="00E50FC0" w:rsidRPr="00AE4411">
        <w:t>after</w:t>
      </w:r>
      <w:r w:rsidR="006350AD" w:rsidRPr="00AE4411">
        <w:t xml:space="preserve"> subsidies</w:t>
      </w:r>
      <w:r w:rsidR="00DB24FC" w:rsidRPr="00AE4411">
        <w:t>, as a percentage of mean family disposable income</w:t>
      </w:r>
      <w:r w:rsidR="00397B95" w:rsidRPr="00AE4411">
        <w:rPr>
          <w:rStyle w:val="FootnoteReference"/>
        </w:rPr>
        <w:footnoteReference w:id="14"/>
      </w:r>
      <w:r w:rsidR="00833980" w:rsidRPr="00AE4411">
        <w:t>.</w:t>
      </w:r>
      <w:r w:rsidR="00F21D67" w:rsidRPr="00AE4411">
        <w:t xml:space="preserve"> </w:t>
      </w:r>
      <w:r w:rsidR="0013036B" w:rsidRPr="00AE4411">
        <w:rPr>
          <w:b/>
        </w:rPr>
        <w:t xml:space="preserve">Figure </w:t>
      </w:r>
      <w:r w:rsidR="008A5FE5" w:rsidRPr="00AE4411">
        <w:rPr>
          <w:b/>
        </w:rPr>
        <w:t>9</w:t>
      </w:r>
      <w:r w:rsidR="00F21D67" w:rsidRPr="00AE4411">
        <w:t xml:space="preserve"> shows the same impact for the Australian average</w:t>
      </w:r>
      <w:r w:rsidR="004655B8" w:rsidRPr="00AE4411">
        <w:t xml:space="preserve"> of $80 per day</w:t>
      </w:r>
      <w:r w:rsidR="00F21D67" w:rsidRPr="00AE4411">
        <w:t xml:space="preserve">. </w:t>
      </w:r>
      <w:r w:rsidR="00C14ED0" w:rsidRPr="00AE4411">
        <w:t xml:space="preserve">The </w:t>
      </w:r>
      <w:r w:rsidR="00F21D67" w:rsidRPr="00AE4411">
        <w:t>figures demonstrate</w:t>
      </w:r>
      <w:r w:rsidR="00C14ED0" w:rsidRPr="00AE4411">
        <w:t xml:space="preserve"> that while the first decile is the most significantly impacted, the relative cost impact </w:t>
      </w:r>
      <w:r w:rsidR="00F21D67" w:rsidRPr="00AE4411">
        <w:t>is similar</w:t>
      </w:r>
      <w:r w:rsidR="00C14ED0" w:rsidRPr="00AE4411">
        <w:t xml:space="preserve"> between </w:t>
      </w:r>
      <w:r w:rsidR="00A3463C" w:rsidRPr="00AE4411">
        <w:t>the third and the sixth deciles</w:t>
      </w:r>
      <w:r w:rsidR="00C14ED0" w:rsidRPr="00AE4411">
        <w:t xml:space="preserve">. </w:t>
      </w:r>
    </w:p>
    <w:p w:rsidR="00E15CAB" w:rsidRPr="00AE4411" w:rsidRDefault="00E15CAB" w:rsidP="00943345">
      <w:pPr>
        <w:pStyle w:val="AccessibleBody"/>
        <w:spacing w:before="240"/>
      </w:pPr>
      <w:r w:rsidRPr="00AE4411">
        <w:rPr>
          <w:noProof/>
          <w:lang w:eastAsia="en-AU"/>
        </w:rPr>
        <w:drawing>
          <wp:inline distT="0" distB="0" distL="0" distR="0">
            <wp:extent cx="5708650" cy="2571750"/>
            <wp:effectExtent l="19050" t="0" r="2540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3B8D" w:rsidRPr="00AE4411" w:rsidRDefault="00933B8D" w:rsidP="00933B8D">
      <w:pPr>
        <w:pStyle w:val="AccessibleBody"/>
        <w:spacing w:after="120"/>
        <w:rPr>
          <w:sz w:val="18"/>
          <w:szCs w:val="18"/>
        </w:rPr>
      </w:pPr>
      <w:r w:rsidRPr="00AE4411">
        <w:rPr>
          <w:sz w:val="18"/>
          <w:szCs w:val="18"/>
        </w:rPr>
        <w:t xml:space="preserve">Fig </w:t>
      </w:r>
      <w:r w:rsidR="008A5FE5" w:rsidRPr="00AE4411">
        <w:rPr>
          <w:sz w:val="18"/>
          <w:szCs w:val="18"/>
        </w:rPr>
        <w:t xml:space="preserve">8 </w:t>
      </w:r>
      <w:r w:rsidR="00D268D2" w:rsidRPr="00AE4411">
        <w:rPr>
          <w:sz w:val="18"/>
          <w:szCs w:val="18"/>
        </w:rPr>
        <w:t>-</w:t>
      </w:r>
      <w:r w:rsidRPr="00AE4411">
        <w:rPr>
          <w:sz w:val="18"/>
          <w:szCs w:val="18"/>
        </w:rPr>
        <w:t xml:space="preserve"> Impact of mean ACT ECEC price of $105 per day on mean disposable income after subsidies by % and by deciles (top decile excluded)</w:t>
      </w:r>
    </w:p>
    <w:p w:rsidR="00F21D67" w:rsidRPr="00AE4411" w:rsidRDefault="00980ABE" w:rsidP="00933B8D">
      <w:pPr>
        <w:pStyle w:val="AccessibleBody"/>
        <w:spacing w:after="120"/>
      </w:pPr>
      <w:r w:rsidRPr="00AE4411">
        <w:rPr>
          <w:noProof/>
          <w:lang w:eastAsia="en-AU"/>
        </w:rPr>
        <w:lastRenderedPageBreak/>
        <w:drawing>
          <wp:inline distT="0" distB="0" distL="0" distR="0">
            <wp:extent cx="5708650" cy="2667000"/>
            <wp:effectExtent l="19050" t="0" r="2540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5301C" w:rsidRPr="00AE4411" w:rsidRDefault="00F21D67" w:rsidP="00933B8D">
      <w:pPr>
        <w:pStyle w:val="AccessibleBody"/>
        <w:spacing w:after="120"/>
        <w:rPr>
          <w:sz w:val="18"/>
          <w:szCs w:val="18"/>
        </w:rPr>
      </w:pPr>
      <w:r w:rsidRPr="00AE4411">
        <w:rPr>
          <w:sz w:val="18"/>
          <w:szCs w:val="18"/>
        </w:rPr>
        <w:t xml:space="preserve">Fig </w:t>
      </w:r>
      <w:r w:rsidR="008A5FE5" w:rsidRPr="00AE4411">
        <w:rPr>
          <w:sz w:val="18"/>
          <w:szCs w:val="18"/>
        </w:rPr>
        <w:t>9</w:t>
      </w:r>
      <w:r w:rsidRPr="00AE4411">
        <w:rPr>
          <w:sz w:val="18"/>
          <w:szCs w:val="18"/>
        </w:rPr>
        <w:t xml:space="preserve"> - Impact of mean </w:t>
      </w:r>
      <w:r w:rsidR="00321203" w:rsidRPr="00AE4411">
        <w:rPr>
          <w:sz w:val="18"/>
          <w:szCs w:val="18"/>
        </w:rPr>
        <w:t>Australian</w:t>
      </w:r>
      <w:r w:rsidRPr="00AE4411">
        <w:rPr>
          <w:sz w:val="18"/>
          <w:szCs w:val="18"/>
        </w:rPr>
        <w:t xml:space="preserve"> ECEC price of $80.50 per day on mean disposable income after subsidies by % and by deciles (top decile excluded)</w:t>
      </w:r>
    </w:p>
    <w:p w:rsidR="00143B86" w:rsidRPr="00AE4411" w:rsidRDefault="002375AF" w:rsidP="00933B8D">
      <w:pPr>
        <w:pStyle w:val="AccessibleBody"/>
        <w:spacing w:after="120"/>
      </w:pPr>
      <w:r w:rsidRPr="00AE4411">
        <w:t xml:space="preserve">The impact on the mean disposable income of families is </w:t>
      </w:r>
      <w:r w:rsidR="00E15CAB" w:rsidRPr="00AE4411">
        <w:t xml:space="preserve">significantly </w:t>
      </w:r>
      <w:r w:rsidRPr="00AE4411">
        <w:t>sensitive to the price of ECE</w:t>
      </w:r>
      <w:r w:rsidR="00231E40" w:rsidRPr="00AE4411">
        <w:t>C</w:t>
      </w:r>
      <w:r w:rsidR="0085301C" w:rsidRPr="00AE4411">
        <w:t xml:space="preserve"> and hours of care</w:t>
      </w:r>
      <w:r w:rsidR="00A3463C" w:rsidRPr="00AE4411">
        <w:t>. With an ECEC price of $72 per day, which is available in some Sydney based ECEC services, the impact on the mean disposable income of the lowest decile</w:t>
      </w:r>
      <w:r w:rsidR="005F66E6" w:rsidRPr="00AE4411">
        <w:t>, in the ACT,</w:t>
      </w:r>
      <w:r w:rsidR="00A3463C" w:rsidRPr="00AE4411">
        <w:t xml:space="preserve"> </w:t>
      </w:r>
      <w:r w:rsidR="005F66E6" w:rsidRPr="00AE4411">
        <w:t xml:space="preserve">would </w:t>
      </w:r>
      <w:r w:rsidR="00A3463C" w:rsidRPr="00AE4411">
        <w:t>drop to approximately 13.</w:t>
      </w:r>
      <w:r w:rsidR="004655B8" w:rsidRPr="00AE4411">
        <w:t>6</w:t>
      </w:r>
      <w:r w:rsidR="00A3463C" w:rsidRPr="00AE4411">
        <w:t>% of mean disposable income.</w:t>
      </w:r>
      <w:r w:rsidR="00EE423D" w:rsidRPr="00AE4411">
        <w:t xml:space="preserve"> </w:t>
      </w:r>
      <w:r w:rsidR="00143B86" w:rsidRPr="00AE4411">
        <w:t>For a child in three days per week of care, at $105 per day, the proportion of disposable income paid by families in the lowest income quintile, in the ACT, drops to 16.3</w:t>
      </w:r>
      <w:r w:rsidR="00C23866">
        <w:t>%</w:t>
      </w:r>
      <w:r w:rsidR="00143B86" w:rsidRPr="00AE4411">
        <w:t>.</w:t>
      </w:r>
    </w:p>
    <w:p w:rsidR="002375AF" w:rsidRPr="00AE4411" w:rsidRDefault="002375AF" w:rsidP="00592E13">
      <w:pPr>
        <w:pStyle w:val="AccessibleBody"/>
      </w:pPr>
      <w:r w:rsidRPr="00AE4411">
        <w:t>Nevertheless, it should also be noted that the cost to families of ECE</w:t>
      </w:r>
      <w:r w:rsidR="00231E40" w:rsidRPr="00AE4411">
        <w:t>C</w:t>
      </w:r>
      <w:r w:rsidRPr="00AE4411">
        <w:t xml:space="preserve"> </w:t>
      </w:r>
      <w:r w:rsidR="00BC7102" w:rsidRPr="00AE4411">
        <w:t xml:space="preserve">in the ACT </w:t>
      </w:r>
      <w:r w:rsidRPr="00AE4411">
        <w:t>has consistently outpaced the growth in income and continues to do so. From 200</w:t>
      </w:r>
      <w:r w:rsidR="0067777D" w:rsidRPr="00AE4411">
        <w:t>8</w:t>
      </w:r>
      <w:r w:rsidRPr="00AE4411">
        <w:t xml:space="preserve"> to 2015, the cost of ECE</w:t>
      </w:r>
      <w:r w:rsidR="00231E40" w:rsidRPr="00AE4411">
        <w:t>C</w:t>
      </w:r>
      <w:r w:rsidRPr="00AE4411">
        <w:t xml:space="preserve"> in the ACT increased at a</w:t>
      </w:r>
      <w:r w:rsidR="00816B31" w:rsidRPr="00AE4411">
        <w:t xml:space="preserve"> significantly</w:t>
      </w:r>
      <w:r w:rsidRPr="00AE4411">
        <w:t xml:space="preserve"> faster rate than wages – </w:t>
      </w:r>
      <w:r w:rsidR="004466E2" w:rsidRPr="00AE4411">
        <w:t>37.7</w:t>
      </w:r>
      <w:r w:rsidRPr="00AE4411">
        <w:t>% v</w:t>
      </w:r>
      <w:r w:rsidR="00237168" w:rsidRPr="00AE4411">
        <w:t>ersu</w:t>
      </w:r>
      <w:r w:rsidRPr="00AE4411">
        <w:t>s 2</w:t>
      </w:r>
      <w:r w:rsidR="000C1E3D" w:rsidRPr="00AE4411">
        <w:t>3.6</w:t>
      </w:r>
      <w:r w:rsidRPr="00AE4411">
        <w:t>%</w:t>
      </w:r>
      <w:r w:rsidR="005237D6" w:rsidRPr="00AE4411">
        <w:rPr>
          <w:rStyle w:val="FootnoteReference"/>
        </w:rPr>
        <w:footnoteReference w:id="15"/>
      </w:r>
      <w:r w:rsidRPr="00AE4411">
        <w:t>.</w:t>
      </w:r>
    </w:p>
    <w:p w:rsidR="002B7ADB" w:rsidRPr="00AE4411" w:rsidRDefault="002375AF" w:rsidP="00592E13">
      <w:pPr>
        <w:pStyle w:val="AccessibleBody"/>
      </w:pPr>
      <w:r w:rsidRPr="00AE4411">
        <w:t>The</w:t>
      </w:r>
      <w:r w:rsidR="00675249" w:rsidRPr="00AE4411">
        <w:t>re</w:t>
      </w:r>
      <w:r w:rsidRPr="00AE4411">
        <w:t xml:space="preserve"> </w:t>
      </w:r>
      <w:r w:rsidR="00675249" w:rsidRPr="00AE4411">
        <w:t xml:space="preserve">is a </w:t>
      </w:r>
      <w:r w:rsidRPr="00AE4411">
        <w:t>significant disparity between the ACT and other Australian jurisdictions in the</w:t>
      </w:r>
      <w:r w:rsidR="00675249" w:rsidRPr="00AE4411">
        <w:t xml:space="preserve"> availability of low cost ECEC.</w:t>
      </w:r>
      <w:r w:rsidRPr="00AE4411">
        <w:t xml:space="preserve"> </w:t>
      </w:r>
      <w:r w:rsidR="00675249" w:rsidRPr="00AE4411">
        <w:t xml:space="preserve">The </w:t>
      </w:r>
      <w:r w:rsidRPr="00AE4411">
        <w:t>relative absence in the ACT of lower cost ECE</w:t>
      </w:r>
      <w:r w:rsidR="00231E40" w:rsidRPr="00AE4411">
        <w:t>C</w:t>
      </w:r>
      <w:r w:rsidRPr="00AE4411">
        <w:t xml:space="preserve"> at prices </w:t>
      </w:r>
      <w:r w:rsidR="00675249" w:rsidRPr="00AE4411">
        <w:t>that are</w:t>
      </w:r>
      <w:r w:rsidRPr="00AE4411">
        <w:t xml:space="preserve"> available in other jurisdictions</w:t>
      </w:r>
      <w:r w:rsidR="00675249" w:rsidRPr="00AE4411">
        <w:t xml:space="preserve"> would make it more difficult for families in the lowest two income quintiles to find affordable ECEC</w:t>
      </w:r>
      <w:r w:rsidRPr="00AE4411">
        <w:t xml:space="preserve">. </w:t>
      </w:r>
    </w:p>
    <w:p w:rsidR="002375AF" w:rsidRPr="00AE4411" w:rsidRDefault="004D4269" w:rsidP="00592E13">
      <w:pPr>
        <w:pStyle w:val="AccessibleBody"/>
      </w:pPr>
      <w:r w:rsidRPr="00AE4411">
        <w:t>The c</w:t>
      </w:r>
      <w:r w:rsidR="002375AF" w:rsidRPr="00AE4411">
        <w:t>ost of ECE</w:t>
      </w:r>
      <w:r w:rsidR="00424BCE" w:rsidRPr="00AE4411">
        <w:t>C</w:t>
      </w:r>
      <w:r w:rsidR="002375AF" w:rsidRPr="00AE4411">
        <w:t xml:space="preserve"> services for a large, for-profit</w:t>
      </w:r>
      <w:r w:rsidR="0004762F" w:rsidRPr="00AE4411">
        <w:t>,</w:t>
      </w:r>
      <w:r w:rsidR="002375AF" w:rsidRPr="00AE4411">
        <w:t xml:space="preserve"> </w:t>
      </w:r>
      <w:r w:rsidR="00816B31" w:rsidRPr="00AE4411">
        <w:t>ECE</w:t>
      </w:r>
      <w:r w:rsidR="00231E40" w:rsidRPr="00AE4411">
        <w:t>C</w:t>
      </w:r>
      <w:r w:rsidR="00816B31" w:rsidRPr="00AE4411">
        <w:t xml:space="preserve"> provider in the ACT that also has</w:t>
      </w:r>
      <w:r w:rsidR="002375AF" w:rsidRPr="00AE4411">
        <w:t xml:space="preserve"> a national presence, shows that service providers will price differently in </w:t>
      </w:r>
      <w:r w:rsidR="00665E58" w:rsidRPr="00AE4411">
        <w:t xml:space="preserve">other </w:t>
      </w:r>
      <w:r w:rsidR="002375AF" w:rsidRPr="00AE4411">
        <w:t>jurisdictions</w:t>
      </w:r>
      <w:r w:rsidR="00816B31" w:rsidRPr="00AE4411">
        <w:t xml:space="preserve"> and in different locations within jurisdictions</w:t>
      </w:r>
      <w:r w:rsidR="002375AF" w:rsidRPr="00AE4411">
        <w:t>. In this instance, the national provider made services available in Campbelltown in Sydney at $80 per day and in Chatswood, also in Sydney at over $140 per day, while the cost of services from same provide</w:t>
      </w:r>
      <w:r w:rsidR="00816B31" w:rsidRPr="00AE4411">
        <w:t>r in the ACT were $112 per day.</w:t>
      </w:r>
    </w:p>
    <w:p w:rsidR="002375AF" w:rsidRPr="00AE4411" w:rsidRDefault="002375AF" w:rsidP="00592E13">
      <w:pPr>
        <w:pStyle w:val="AccessibleBody"/>
      </w:pPr>
      <w:r w:rsidRPr="00AE4411">
        <w:t xml:space="preserve">The distributed disadvantage in the ACT may work against the interests of low socio-economic </w:t>
      </w:r>
      <w:r w:rsidR="00C23866">
        <w:t>families</w:t>
      </w:r>
      <w:r w:rsidRPr="00AE4411">
        <w:t xml:space="preserve"> if ECE</w:t>
      </w:r>
      <w:r w:rsidR="00231E40" w:rsidRPr="00AE4411">
        <w:t>C</w:t>
      </w:r>
      <w:r w:rsidRPr="00AE4411">
        <w:t xml:space="preserve"> service providers set prices according to an appreciation of the </w:t>
      </w:r>
      <w:r w:rsidRPr="00AE4411">
        <w:lastRenderedPageBreak/>
        <w:t xml:space="preserve">overall status of a suburb or region. </w:t>
      </w:r>
      <w:r w:rsidR="008C1EAF" w:rsidRPr="00AE4411">
        <w:t>F</w:t>
      </w:r>
      <w:r w:rsidRPr="00AE4411">
        <w:t>urther analysis of the extent to which ECE</w:t>
      </w:r>
      <w:r w:rsidR="00231E40" w:rsidRPr="00AE4411">
        <w:t>C</w:t>
      </w:r>
      <w:r w:rsidRPr="00AE4411">
        <w:t xml:space="preserve"> service providers price their services according to the capacity of clients within the catchment area to pay</w:t>
      </w:r>
      <w:r w:rsidR="008C1EAF" w:rsidRPr="00AE4411">
        <w:t xml:space="preserve"> would be beneficial.</w:t>
      </w:r>
    </w:p>
    <w:p w:rsidR="00D268D2" w:rsidRPr="00AE4411" w:rsidRDefault="00D268D2" w:rsidP="00592E13">
      <w:pPr>
        <w:pStyle w:val="AccessibleBody"/>
      </w:pPr>
    </w:p>
    <w:p w:rsidR="00D268D2" w:rsidRPr="00AE4411" w:rsidRDefault="00D268D2" w:rsidP="00592E13">
      <w:pPr>
        <w:pStyle w:val="AccessibleBody"/>
        <w:sectPr w:rsidR="00D268D2" w:rsidRPr="00AE4411" w:rsidSect="004D0A6D">
          <w:pgSz w:w="11906" w:h="16838"/>
          <w:pgMar w:top="1440" w:right="1440" w:bottom="1276" w:left="1440"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p>
    <w:p w:rsidR="008D29D4" w:rsidRPr="00AE4411" w:rsidRDefault="008D29D4" w:rsidP="001E5AA4">
      <w:pPr>
        <w:pStyle w:val="PolicyHeading2-Accessible"/>
      </w:pPr>
      <w:bookmarkStart w:id="37" w:name="_Toc509497652"/>
      <w:r w:rsidRPr="00AE4411">
        <w:lastRenderedPageBreak/>
        <w:t>Quality of ECEC Services in the ACT</w:t>
      </w:r>
      <w:bookmarkEnd w:id="37"/>
    </w:p>
    <w:p w:rsidR="005F4E2E" w:rsidRPr="00AE4411" w:rsidRDefault="00AE2B0E" w:rsidP="005F4E2E">
      <w:pPr>
        <w:rPr>
          <w:sz w:val="24"/>
          <w:szCs w:val="24"/>
        </w:rPr>
      </w:pPr>
      <w:r w:rsidRPr="00AE4411">
        <w:rPr>
          <w:sz w:val="24"/>
          <w:szCs w:val="24"/>
        </w:rPr>
        <w:t xml:space="preserve">The 2016 Review explored </w:t>
      </w:r>
      <w:r w:rsidR="005F4E2E" w:rsidRPr="00AE4411">
        <w:rPr>
          <w:sz w:val="24"/>
          <w:szCs w:val="24"/>
        </w:rPr>
        <w:t xml:space="preserve">the levels of qualification of workers in the sector and progress against the implementation of the National Quality Framework. </w:t>
      </w:r>
    </w:p>
    <w:p w:rsidR="008D29D4" w:rsidRPr="00AE4411" w:rsidRDefault="00AE2B0E" w:rsidP="008D29D4">
      <w:pPr>
        <w:pStyle w:val="AccessibleBody"/>
      </w:pPr>
      <w:r w:rsidRPr="00AE4411">
        <w:t>A clear analysis of t</w:t>
      </w:r>
      <w:r w:rsidR="008D29D4" w:rsidRPr="00AE4411">
        <w:t xml:space="preserve">his </w:t>
      </w:r>
      <w:r w:rsidRPr="00AE4411">
        <w:t>aspect</w:t>
      </w:r>
      <w:r w:rsidR="005E7259">
        <w:t xml:space="preserve"> of ECEC </w:t>
      </w:r>
      <w:r w:rsidRPr="00AE4411">
        <w:t xml:space="preserve">is difficult because of the lack of </w:t>
      </w:r>
      <w:r w:rsidR="008D29D4" w:rsidRPr="00AE4411">
        <w:t>suitable data. This is because the Australian Government collects the relevant qualifications data on the ACT</w:t>
      </w:r>
      <w:r w:rsidR="005F4E2E" w:rsidRPr="00AE4411">
        <w:t xml:space="preserve"> and other jurisdictions through a census of service providers every three years. The most recent census was undertaken earlier in 2016. The Australian Government have advised that the data from this census will not be available until late</w:t>
      </w:r>
      <w:r w:rsidRPr="00AE4411">
        <w:t xml:space="preserve"> 2017 or early 2018</w:t>
      </w:r>
      <w:r w:rsidR="005F4E2E" w:rsidRPr="00AE4411">
        <w:t>.</w:t>
      </w:r>
    </w:p>
    <w:p w:rsidR="008D29D4" w:rsidRPr="00AE4411" w:rsidRDefault="005F4E2E" w:rsidP="008D29D4">
      <w:pPr>
        <w:pStyle w:val="AccessibleBody"/>
      </w:pPr>
      <w:r w:rsidRPr="00AE4411">
        <w:t>Despite the inability</w:t>
      </w:r>
      <w:r w:rsidR="008D29D4" w:rsidRPr="00AE4411">
        <w:t xml:space="preserve"> to gain access to </w:t>
      </w:r>
      <w:r w:rsidRPr="00AE4411">
        <w:t xml:space="preserve">current </w:t>
      </w:r>
      <w:r w:rsidR="008D29D4" w:rsidRPr="00AE4411">
        <w:t>data</w:t>
      </w:r>
      <w:r w:rsidRPr="00AE4411">
        <w:t xml:space="preserve"> on sector qualifications</w:t>
      </w:r>
      <w:r w:rsidR="008D29D4" w:rsidRPr="00AE4411">
        <w:t xml:space="preserve"> from the Australian Government it</w:t>
      </w:r>
      <w:r w:rsidR="00AE2B0E" w:rsidRPr="00AE4411">
        <w:t xml:space="preserve"> is</w:t>
      </w:r>
      <w:r w:rsidR="008D29D4" w:rsidRPr="00AE4411">
        <w:t xml:space="preserve"> possible to make some observations.</w:t>
      </w:r>
    </w:p>
    <w:p w:rsidR="008D29D4" w:rsidRPr="00AE4411" w:rsidRDefault="008D29D4" w:rsidP="008D29D4">
      <w:pPr>
        <w:pStyle w:val="AccessibleBody"/>
        <w:contextualSpacing/>
      </w:pPr>
      <w:r w:rsidRPr="00AE4411">
        <w:t xml:space="preserve">The domains of service quality that the </w:t>
      </w:r>
      <w:r w:rsidR="00AE2B0E" w:rsidRPr="00AE4411">
        <w:t xml:space="preserve">2016 </w:t>
      </w:r>
      <w:r w:rsidR="001135FA" w:rsidRPr="00AE4411">
        <w:t>Review</w:t>
      </w:r>
      <w:r w:rsidRPr="00AE4411">
        <w:t xml:space="preserve"> considered were:</w:t>
      </w:r>
    </w:p>
    <w:p w:rsidR="008D29D4" w:rsidRPr="00AE4411" w:rsidRDefault="008D29D4" w:rsidP="008D29D4">
      <w:pPr>
        <w:pStyle w:val="AccessibleBody"/>
        <w:numPr>
          <w:ilvl w:val="6"/>
          <w:numId w:val="3"/>
        </w:numPr>
        <w:tabs>
          <w:tab w:val="clear" w:pos="2520"/>
        </w:tabs>
        <w:spacing w:after="0"/>
        <w:ind w:left="709"/>
      </w:pPr>
      <w:r w:rsidRPr="00AE4411">
        <w:t>Performance against the National Quality Standards (NQS)</w:t>
      </w:r>
    </w:p>
    <w:p w:rsidR="008D29D4" w:rsidRPr="00AE4411" w:rsidRDefault="008D29D4" w:rsidP="008D29D4">
      <w:pPr>
        <w:pStyle w:val="AccessibleBody"/>
        <w:numPr>
          <w:ilvl w:val="6"/>
          <w:numId w:val="3"/>
        </w:numPr>
        <w:tabs>
          <w:tab w:val="clear" w:pos="2520"/>
        </w:tabs>
        <w:spacing w:after="0"/>
        <w:ind w:left="709"/>
      </w:pPr>
      <w:r w:rsidRPr="00AE4411">
        <w:t>The level of qualificatio</w:t>
      </w:r>
      <w:r w:rsidR="005E7259">
        <w:t>n of workers in the sector</w:t>
      </w:r>
    </w:p>
    <w:p w:rsidR="008D29D4" w:rsidRPr="00AE4411" w:rsidRDefault="008D29D4" w:rsidP="008D29D4">
      <w:pPr>
        <w:pStyle w:val="AccessibleBody"/>
        <w:numPr>
          <w:ilvl w:val="6"/>
          <w:numId w:val="3"/>
        </w:numPr>
        <w:tabs>
          <w:tab w:val="clear" w:pos="2520"/>
        </w:tabs>
        <w:spacing w:after="0"/>
        <w:ind w:left="709"/>
      </w:pPr>
      <w:r w:rsidRPr="00AE4411">
        <w:t>The extent to which services prepare children for school.</w:t>
      </w:r>
    </w:p>
    <w:p w:rsidR="008D29D4" w:rsidRPr="00AE4411" w:rsidRDefault="008D29D4" w:rsidP="005E7259">
      <w:pPr>
        <w:pStyle w:val="PolicyHeading3-Accessible"/>
      </w:pPr>
      <w:bookmarkStart w:id="38" w:name="_Toc453155110"/>
      <w:bookmarkStart w:id="39" w:name="_Toc509497653"/>
      <w:r w:rsidRPr="00AE4411">
        <w:t>National Quality Standards (NQS) Ratings</w:t>
      </w:r>
      <w:bookmarkEnd w:id="38"/>
      <w:bookmarkEnd w:id="39"/>
    </w:p>
    <w:p w:rsidR="008D29D4" w:rsidRPr="00AE4411" w:rsidRDefault="008D29D4" w:rsidP="005E7259">
      <w:pPr>
        <w:pStyle w:val="AccessibleBody"/>
        <w:spacing w:after="0"/>
      </w:pPr>
      <w:r w:rsidRPr="00AE4411">
        <w:t>The NQS consists of seven quality areas, each containing standards and elements, that children's education and care services are assessed and rated against. The seven quality areas covered by the NQS are:</w:t>
      </w:r>
    </w:p>
    <w:p w:rsidR="008D29D4" w:rsidRPr="00AE4411" w:rsidRDefault="008D29D4" w:rsidP="00421DCC">
      <w:pPr>
        <w:pStyle w:val="AccessibleBody"/>
        <w:numPr>
          <w:ilvl w:val="0"/>
          <w:numId w:val="5"/>
        </w:numPr>
        <w:spacing w:after="0"/>
        <w:ind w:left="714" w:hanging="357"/>
      </w:pPr>
      <w:r w:rsidRPr="00AE4411">
        <w:t>Educational program and practice</w:t>
      </w:r>
    </w:p>
    <w:p w:rsidR="008D29D4" w:rsidRPr="00AE4411" w:rsidRDefault="008D29D4" w:rsidP="00421DCC">
      <w:pPr>
        <w:pStyle w:val="AccessibleBody"/>
        <w:numPr>
          <w:ilvl w:val="0"/>
          <w:numId w:val="5"/>
        </w:numPr>
        <w:spacing w:after="0"/>
        <w:ind w:left="714" w:hanging="357"/>
      </w:pPr>
      <w:r w:rsidRPr="00AE4411">
        <w:t>Children’s health and safety</w:t>
      </w:r>
    </w:p>
    <w:p w:rsidR="008D29D4" w:rsidRPr="00AE4411" w:rsidRDefault="008D29D4" w:rsidP="00421DCC">
      <w:pPr>
        <w:pStyle w:val="AccessibleBody"/>
        <w:numPr>
          <w:ilvl w:val="0"/>
          <w:numId w:val="5"/>
        </w:numPr>
        <w:spacing w:after="0"/>
        <w:ind w:left="714" w:hanging="357"/>
      </w:pPr>
      <w:r w:rsidRPr="00AE4411">
        <w:t>Physical environment</w:t>
      </w:r>
    </w:p>
    <w:p w:rsidR="008D29D4" w:rsidRPr="00AE4411" w:rsidRDefault="008D29D4" w:rsidP="00421DCC">
      <w:pPr>
        <w:pStyle w:val="AccessibleBody"/>
        <w:numPr>
          <w:ilvl w:val="0"/>
          <w:numId w:val="5"/>
        </w:numPr>
        <w:spacing w:after="0"/>
        <w:ind w:left="714" w:hanging="357"/>
      </w:pPr>
      <w:r w:rsidRPr="00AE4411">
        <w:t>Staffing arrangements</w:t>
      </w:r>
    </w:p>
    <w:p w:rsidR="008D29D4" w:rsidRPr="00AE4411" w:rsidRDefault="008D29D4" w:rsidP="00421DCC">
      <w:pPr>
        <w:pStyle w:val="AccessibleBody"/>
        <w:numPr>
          <w:ilvl w:val="0"/>
          <w:numId w:val="5"/>
        </w:numPr>
        <w:spacing w:after="0"/>
        <w:ind w:left="714" w:hanging="357"/>
      </w:pPr>
      <w:r w:rsidRPr="00AE4411">
        <w:t>Relationships with children</w:t>
      </w:r>
    </w:p>
    <w:p w:rsidR="008D29D4" w:rsidRPr="00AE4411" w:rsidRDefault="008D29D4" w:rsidP="00421DCC">
      <w:pPr>
        <w:pStyle w:val="AccessibleBody"/>
        <w:numPr>
          <w:ilvl w:val="0"/>
          <w:numId w:val="5"/>
        </w:numPr>
        <w:spacing w:after="0"/>
        <w:ind w:left="714" w:hanging="357"/>
      </w:pPr>
      <w:r w:rsidRPr="00AE4411">
        <w:t>Collaborative partnerships with families and communities</w:t>
      </w:r>
    </w:p>
    <w:p w:rsidR="008D29D4" w:rsidRPr="00AE4411" w:rsidRDefault="008D29D4" w:rsidP="00421DCC">
      <w:pPr>
        <w:pStyle w:val="AccessibleBody"/>
        <w:numPr>
          <w:ilvl w:val="0"/>
          <w:numId w:val="5"/>
        </w:numPr>
        <w:ind w:left="714" w:hanging="357"/>
      </w:pPr>
      <w:r w:rsidRPr="00AE4411">
        <w:t>Leadership and service management</w:t>
      </w:r>
      <w:r w:rsidR="005E7259">
        <w:t>.</w:t>
      </w:r>
    </w:p>
    <w:p w:rsidR="008D29D4" w:rsidRPr="00AE4411" w:rsidRDefault="008D29D4" w:rsidP="008D29D4">
      <w:pPr>
        <w:pStyle w:val="AccessibleBody"/>
        <w:contextualSpacing/>
        <w:rPr>
          <w:rFonts w:cs="Calibri"/>
        </w:rPr>
      </w:pPr>
      <w:r w:rsidRPr="00AE4411">
        <w:rPr>
          <w:rFonts w:cs="Calibri"/>
        </w:rPr>
        <w:t>The five quality levels under the NQS rating and assessments process are:</w:t>
      </w:r>
    </w:p>
    <w:p w:rsidR="008D29D4" w:rsidRPr="00AE4411" w:rsidRDefault="008D29D4" w:rsidP="00421DCC">
      <w:pPr>
        <w:pStyle w:val="AccessibleBody"/>
        <w:numPr>
          <w:ilvl w:val="0"/>
          <w:numId w:val="4"/>
        </w:numPr>
        <w:contextualSpacing/>
      </w:pPr>
      <w:r w:rsidRPr="00AE4411">
        <w:t>Excellent rating – awarded by ACECQA</w:t>
      </w:r>
    </w:p>
    <w:p w:rsidR="008D29D4" w:rsidRPr="00AE4411" w:rsidRDefault="008D29D4" w:rsidP="00421DCC">
      <w:pPr>
        <w:pStyle w:val="AccessibleBody"/>
        <w:numPr>
          <w:ilvl w:val="0"/>
          <w:numId w:val="4"/>
        </w:numPr>
        <w:contextualSpacing/>
      </w:pPr>
      <w:r w:rsidRPr="00AE4411">
        <w:t>Exceeding National Quality Standard</w:t>
      </w:r>
    </w:p>
    <w:p w:rsidR="008D29D4" w:rsidRPr="00AE4411" w:rsidRDefault="008D29D4" w:rsidP="00421DCC">
      <w:pPr>
        <w:pStyle w:val="AccessibleBody"/>
        <w:numPr>
          <w:ilvl w:val="0"/>
          <w:numId w:val="4"/>
        </w:numPr>
        <w:contextualSpacing/>
      </w:pPr>
      <w:r w:rsidRPr="00AE4411">
        <w:t>Meeting National Quality Standard</w:t>
      </w:r>
    </w:p>
    <w:p w:rsidR="008D29D4" w:rsidRPr="00AE4411" w:rsidRDefault="008D29D4" w:rsidP="00421DCC">
      <w:pPr>
        <w:pStyle w:val="AccessibleBody"/>
        <w:numPr>
          <w:ilvl w:val="0"/>
          <w:numId w:val="4"/>
        </w:numPr>
        <w:contextualSpacing/>
      </w:pPr>
      <w:r w:rsidRPr="00AE4411">
        <w:t>Working Towards National Quality Standard</w:t>
      </w:r>
    </w:p>
    <w:p w:rsidR="008D29D4" w:rsidRPr="00AE4411" w:rsidRDefault="008D29D4" w:rsidP="00421DCC">
      <w:pPr>
        <w:pStyle w:val="AccessibleBody"/>
        <w:numPr>
          <w:ilvl w:val="0"/>
          <w:numId w:val="4"/>
        </w:numPr>
        <w:ind w:left="714" w:hanging="357"/>
      </w:pPr>
      <w:r w:rsidRPr="00AE4411">
        <w:t>Significant Improvement Required</w:t>
      </w:r>
      <w:r w:rsidR="005E7259">
        <w:t>.</w:t>
      </w:r>
    </w:p>
    <w:p w:rsidR="008D29D4" w:rsidRPr="00AE4411" w:rsidRDefault="008D29D4" w:rsidP="008D29D4">
      <w:pPr>
        <w:pStyle w:val="AccessibleBody"/>
      </w:pPr>
      <w:r w:rsidRPr="00AE4411">
        <w:t xml:space="preserve">All services </w:t>
      </w:r>
      <w:r w:rsidR="00AE2B0E" w:rsidRPr="00AE4411">
        <w:t xml:space="preserve">are qualitatively assessed for a rating by the ACT’s Regulatory Authority, CECA, </w:t>
      </w:r>
      <w:r w:rsidRPr="00AE4411">
        <w:t>against each of the seven quality rating areas, and an overall rating though this may be provisional for those not yet assessed.</w:t>
      </w:r>
    </w:p>
    <w:p w:rsidR="008D29D4" w:rsidRPr="00AE4411" w:rsidRDefault="008D29D4" w:rsidP="008D29D4">
      <w:pPr>
        <w:pStyle w:val="AccessibleBody"/>
      </w:pPr>
      <w:r w:rsidRPr="00AE4411">
        <w:rPr>
          <w:b/>
        </w:rPr>
        <w:lastRenderedPageBreak/>
        <w:t xml:space="preserve">Figure </w:t>
      </w:r>
      <w:r w:rsidR="009259A2" w:rsidRPr="00AE4411">
        <w:rPr>
          <w:b/>
        </w:rPr>
        <w:t>10</w:t>
      </w:r>
      <w:r w:rsidRPr="00AE4411">
        <w:t xml:space="preserve"> below shows the </w:t>
      </w:r>
      <w:r w:rsidR="00F56981" w:rsidRPr="00AE4411">
        <w:t xml:space="preserve">2016 </w:t>
      </w:r>
      <w:r w:rsidRPr="00AE4411">
        <w:t>distribution of all 155 ECEC providers in the ACT, including those services provided by non-government preschools attached to a school, against the overall quality rating levels received under the National Quality Standard.</w:t>
      </w:r>
    </w:p>
    <w:p w:rsidR="008D29D4" w:rsidRPr="00AE4411" w:rsidRDefault="008D29D4" w:rsidP="008D29D4">
      <w:pPr>
        <w:pStyle w:val="AccessibleBody"/>
        <w:spacing w:after="0"/>
        <w:rPr>
          <w:rFonts w:cs="Calibri"/>
          <w:sz w:val="12"/>
          <w:szCs w:val="18"/>
        </w:rPr>
      </w:pPr>
      <w:r w:rsidRPr="00AE4411">
        <w:rPr>
          <w:rFonts w:cs="Calibri"/>
          <w:noProof/>
          <w:lang w:eastAsia="en-AU"/>
        </w:rPr>
        <w:drawing>
          <wp:inline distT="0" distB="0" distL="0" distR="0">
            <wp:extent cx="4826082" cy="3173812"/>
            <wp:effectExtent l="19050" t="0" r="0" b="0"/>
            <wp:docPr id="2"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4" cstate="print"/>
                    <a:srcRect l="8700" t="2247" r="1367" b="5992"/>
                    <a:stretch>
                      <a:fillRect/>
                    </a:stretch>
                  </pic:blipFill>
                  <pic:spPr bwMode="auto">
                    <a:xfrm>
                      <a:off x="0" y="0"/>
                      <a:ext cx="4826082" cy="3173812"/>
                    </a:xfrm>
                    <a:prstGeom prst="rect">
                      <a:avLst/>
                    </a:prstGeom>
                    <a:noFill/>
                    <a:ln w="9525">
                      <a:noFill/>
                      <a:miter lim="800000"/>
                      <a:headEnd/>
                      <a:tailEnd/>
                    </a:ln>
                  </pic:spPr>
                </pic:pic>
              </a:graphicData>
            </a:graphic>
          </wp:inline>
        </w:drawing>
      </w:r>
      <w:r w:rsidRPr="00AE4411">
        <w:rPr>
          <w:rFonts w:cs="Calibri"/>
          <w:sz w:val="18"/>
          <w:szCs w:val="18"/>
        </w:rPr>
        <w:br/>
      </w:r>
    </w:p>
    <w:p w:rsidR="008D29D4" w:rsidRPr="00AE4411" w:rsidRDefault="008D29D4" w:rsidP="008D29D4">
      <w:pPr>
        <w:pStyle w:val="AccessibleBody"/>
        <w:spacing w:after="120"/>
        <w:rPr>
          <w:rFonts w:cs="Calibri"/>
          <w:sz w:val="18"/>
          <w:szCs w:val="18"/>
        </w:rPr>
      </w:pPr>
      <w:r w:rsidRPr="00AE4411">
        <w:rPr>
          <w:rFonts w:cs="Calibri"/>
          <w:sz w:val="18"/>
          <w:szCs w:val="18"/>
        </w:rPr>
        <w:t xml:space="preserve">Fig </w:t>
      </w:r>
      <w:r w:rsidR="009259A2" w:rsidRPr="00AE4411">
        <w:rPr>
          <w:rFonts w:cs="Calibri"/>
          <w:sz w:val="18"/>
          <w:szCs w:val="18"/>
        </w:rPr>
        <w:t>10</w:t>
      </w:r>
      <w:r w:rsidR="00D268D2" w:rsidRPr="00AE4411">
        <w:rPr>
          <w:rFonts w:cs="Calibri"/>
          <w:sz w:val="18"/>
          <w:szCs w:val="18"/>
        </w:rPr>
        <w:t xml:space="preserve"> -</w:t>
      </w:r>
      <w:r w:rsidRPr="00AE4411">
        <w:rPr>
          <w:rFonts w:cs="Calibri"/>
          <w:sz w:val="18"/>
          <w:szCs w:val="18"/>
        </w:rPr>
        <w:t xml:space="preserve"> </w:t>
      </w:r>
      <w:r w:rsidR="00F56981" w:rsidRPr="00AE4411">
        <w:rPr>
          <w:rFonts w:cs="Calibri"/>
          <w:sz w:val="18"/>
          <w:szCs w:val="18"/>
        </w:rPr>
        <w:t>2016</w:t>
      </w:r>
      <w:r w:rsidRPr="00AE4411">
        <w:rPr>
          <w:rFonts w:cs="Calibri"/>
          <w:sz w:val="18"/>
          <w:szCs w:val="18"/>
        </w:rPr>
        <w:t xml:space="preserve"> NQS overall rating of ECEC service providers in the ACT</w:t>
      </w:r>
    </w:p>
    <w:p w:rsidR="00C354DA" w:rsidRDefault="008D29D4" w:rsidP="008D29D4">
      <w:pPr>
        <w:pStyle w:val="AccessibleBody"/>
        <w:rPr>
          <w:rFonts w:cs="Arial"/>
        </w:rPr>
      </w:pPr>
      <w:r w:rsidRPr="00AE4411">
        <w:t xml:space="preserve">As at March 2016, there were 73 services with an overall rating of Working Towards NQS. It is important to note that this rating is for the overall rating of these services, and that for each of the seven quality areas, the ratings vary between a combination of Excellent, Exceeding, Meeting and Working Towards the NQS. The National Law stipulates that a failing in one element leads to a Working Towards NQS rating. As such, six services received the overall rating of Working Towards NQS where just one of the seven quality areas received this rating, meaning they were assessed as either Meeting or Exceeding NQS for the other six quality areas. There are just five services that are rated as Working Towards NQS across all seven quality areas. </w:t>
      </w:r>
      <w:r w:rsidRPr="00AE4411">
        <w:rPr>
          <w:rFonts w:cs="Arial"/>
          <w:b/>
        </w:rPr>
        <w:t xml:space="preserve">Figure </w:t>
      </w:r>
      <w:r w:rsidR="00D268D2" w:rsidRPr="00AE4411">
        <w:rPr>
          <w:rFonts w:cs="Arial"/>
          <w:b/>
        </w:rPr>
        <w:t>1</w:t>
      </w:r>
      <w:r w:rsidR="009259A2" w:rsidRPr="00AE4411">
        <w:rPr>
          <w:rFonts w:cs="Arial"/>
          <w:b/>
        </w:rPr>
        <w:t>1</w:t>
      </w:r>
      <w:r w:rsidRPr="00AE4411">
        <w:rPr>
          <w:rFonts w:cs="Arial"/>
        </w:rPr>
        <w:t xml:space="preserve"> below shows the number of quality areas rated as Working Towards NQS by number of services.</w:t>
      </w:r>
    </w:p>
    <w:p w:rsidR="00C354DA" w:rsidRDefault="00C354DA">
      <w:pPr>
        <w:spacing w:after="0" w:line="240" w:lineRule="auto"/>
        <w:rPr>
          <w:rFonts w:eastAsia="Times New Roman" w:cs="Arial"/>
          <w:sz w:val="24"/>
          <w:szCs w:val="20"/>
        </w:rPr>
      </w:pPr>
      <w:r>
        <w:rPr>
          <w:rFonts w:cs="Arial"/>
        </w:rPr>
        <w:br w:type="page"/>
      </w:r>
    </w:p>
    <w:p w:rsidR="008D29D4" w:rsidRPr="00AE4411" w:rsidRDefault="008D29D4" w:rsidP="008D29D4">
      <w:pPr>
        <w:pStyle w:val="AccessibleBody"/>
        <w:rPr>
          <w:rFonts w:cs="Arial"/>
        </w:rPr>
      </w:pPr>
    </w:p>
    <w:tbl>
      <w:tblPr>
        <w:tblStyle w:val="MediumShading1-Accent4"/>
        <w:tblW w:w="9072" w:type="dxa"/>
        <w:tblLook w:val="04A0" w:firstRow="1" w:lastRow="0" w:firstColumn="1" w:lastColumn="0" w:noHBand="0" w:noVBand="1"/>
      </w:tblPr>
      <w:tblGrid>
        <w:gridCol w:w="5529"/>
        <w:gridCol w:w="3543"/>
      </w:tblGrid>
      <w:tr w:rsidR="008D29D4" w:rsidRPr="00AE4411" w:rsidTr="00852F9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noWrap/>
            <w:hideMark/>
          </w:tcPr>
          <w:p w:rsidR="008D29D4" w:rsidRPr="00D7636D" w:rsidRDefault="008D29D4" w:rsidP="00852F96">
            <w:pPr>
              <w:rPr>
                <w:lang w:eastAsia="en-AU"/>
              </w:rPr>
            </w:pPr>
            <w:r w:rsidRPr="00D7636D">
              <w:rPr>
                <w:lang w:eastAsia="en-AU"/>
              </w:rPr>
              <w:t>Number of quality areas rated as Working Towards NQS</w:t>
            </w:r>
          </w:p>
        </w:tc>
        <w:tc>
          <w:tcPr>
            <w:tcW w:w="3543" w:type="dxa"/>
            <w:noWrap/>
            <w:hideMark/>
          </w:tcPr>
          <w:p w:rsidR="008D29D4" w:rsidRPr="00D7636D" w:rsidRDefault="008D29D4" w:rsidP="00852F96">
            <w:pPr>
              <w:cnfStyle w:val="100000000000" w:firstRow="1" w:lastRow="0" w:firstColumn="0" w:lastColumn="0" w:oddVBand="0" w:evenVBand="0" w:oddHBand="0" w:evenHBand="0" w:firstRowFirstColumn="0" w:firstRowLastColumn="0" w:lastRowFirstColumn="0" w:lastRowLastColumn="0"/>
              <w:rPr>
                <w:lang w:eastAsia="en-AU"/>
              </w:rPr>
            </w:pPr>
            <w:r w:rsidRPr="00D7636D">
              <w:rPr>
                <w:lang w:eastAsia="en-AU"/>
              </w:rPr>
              <w:t>Number of services ACT within the NQS Category</w:t>
            </w:r>
          </w:p>
        </w:tc>
      </w:tr>
      <w:tr w:rsidR="008D29D4" w:rsidRPr="00AE4411" w:rsidTr="00852F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noWrap/>
            <w:hideMark/>
          </w:tcPr>
          <w:p w:rsidR="008D29D4" w:rsidRPr="00AE4411" w:rsidRDefault="008D29D4" w:rsidP="00852F96">
            <w:pPr>
              <w:rPr>
                <w:color w:val="000000"/>
                <w:lang w:eastAsia="en-AU"/>
              </w:rPr>
            </w:pPr>
            <w:r w:rsidRPr="00AE4411">
              <w:rPr>
                <w:color w:val="000000"/>
                <w:lang w:eastAsia="en-AU"/>
              </w:rPr>
              <w:t>1 quality area rated as Working Towards NQS</w:t>
            </w:r>
          </w:p>
        </w:tc>
        <w:tc>
          <w:tcPr>
            <w:tcW w:w="3543" w:type="dxa"/>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6</w:t>
            </w:r>
          </w:p>
        </w:tc>
      </w:tr>
      <w:tr w:rsidR="008D29D4" w:rsidRPr="00AE4411" w:rsidTr="00852F9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noWrap/>
            <w:hideMark/>
          </w:tcPr>
          <w:p w:rsidR="008D29D4" w:rsidRPr="00AE4411" w:rsidRDefault="008D29D4" w:rsidP="00852F96">
            <w:pPr>
              <w:rPr>
                <w:color w:val="000000"/>
                <w:lang w:eastAsia="en-AU"/>
              </w:rPr>
            </w:pPr>
            <w:r w:rsidRPr="00AE4411">
              <w:rPr>
                <w:color w:val="000000"/>
                <w:lang w:eastAsia="en-AU"/>
              </w:rPr>
              <w:t>2 quality areas rated as Working Towards NQS</w:t>
            </w:r>
          </w:p>
        </w:tc>
        <w:tc>
          <w:tcPr>
            <w:tcW w:w="3543" w:type="dxa"/>
            <w:noWrap/>
            <w:hideMark/>
          </w:tcPr>
          <w:p w:rsidR="008D29D4" w:rsidRPr="00AE4411" w:rsidRDefault="008D29D4"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13</w:t>
            </w:r>
          </w:p>
        </w:tc>
      </w:tr>
      <w:tr w:rsidR="008D29D4" w:rsidRPr="00AE4411" w:rsidTr="00852F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noWrap/>
            <w:hideMark/>
          </w:tcPr>
          <w:p w:rsidR="008D29D4" w:rsidRPr="00AE4411" w:rsidRDefault="008D29D4" w:rsidP="00852F96">
            <w:pPr>
              <w:rPr>
                <w:color w:val="000000"/>
                <w:lang w:eastAsia="en-AU"/>
              </w:rPr>
            </w:pPr>
            <w:r w:rsidRPr="00AE4411">
              <w:rPr>
                <w:color w:val="000000"/>
                <w:lang w:eastAsia="en-AU"/>
              </w:rPr>
              <w:t>3 quality areas rated as Working Towards NQS</w:t>
            </w:r>
          </w:p>
        </w:tc>
        <w:tc>
          <w:tcPr>
            <w:tcW w:w="3543" w:type="dxa"/>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17</w:t>
            </w:r>
          </w:p>
        </w:tc>
      </w:tr>
      <w:tr w:rsidR="008D29D4" w:rsidRPr="00AE4411" w:rsidTr="00852F9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noWrap/>
            <w:hideMark/>
          </w:tcPr>
          <w:p w:rsidR="008D29D4" w:rsidRPr="00AE4411" w:rsidRDefault="008D29D4" w:rsidP="00852F96">
            <w:pPr>
              <w:rPr>
                <w:color w:val="000000"/>
                <w:lang w:eastAsia="en-AU"/>
              </w:rPr>
            </w:pPr>
            <w:r w:rsidRPr="00AE4411">
              <w:rPr>
                <w:color w:val="000000"/>
                <w:lang w:eastAsia="en-AU"/>
              </w:rPr>
              <w:t>4 quality areas rated as Working Towards NQS</w:t>
            </w:r>
          </w:p>
        </w:tc>
        <w:tc>
          <w:tcPr>
            <w:tcW w:w="3543" w:type="dxa"/>
            <w:noWrap/>
            <w:hideMark/>
          </w:tcPr>
          <w:p w:rsidR="008D29D4" w:rsidRPr="00AE4411" w:rsidRDefault="008D29D4"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13</w:t>
            </w:r>
          </w:p>
        </w:tc>
      </w:tr>
      <w:tr w:rsidR="008D29D4" w:rsidRPr="00AE4411" w:rsidTr="00852F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noWrap/>
            <w:hideMark/>
          </w:tcPr>
          <w:p w:rsidR="008D29D4" w:rsidRPr="00AE4411" w:rsidRDefault="008D29D4" w:rsidP="00852F96">
            <w:pPr>
              <w:rPr>
                <w:color w:val="000000"/>
                <w:lang w:eastAsia="en-AU"/>
              </w:rPr>
            </w:pPr>
            <w:r w:rsidRPr="00AE4411">
              <w:rPr>
                <w:color w:val="000000"/>
                <w:lang w:eastAsia="en-AU"/>
              </w:rPr>
              <w:t>5 quality areas rated as Working Towards NQS</w:t>
            </w:r>
          </w:p>
        </w:tc>
        <w:tc>
          <w:tcPr>
            <w:tcW w:w="3543" w:type="dxa"/>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10</w:t>
            </w:r>
          </w:p>
        </w:tc>
      </w:tr>
      <w:tr w:rsidR="008D29D4" w:rsidRPr="00AE4411" w:rsidTr="00852F9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noWrap/>
            <w:hideMark/>
          </w:tcPr>
          <w:p w:rsidR="008D29D4" w:rsidRPr="00AE4411" w:rsidRDefault="008D29D4" w:rsidP="00852F96">
            <w:pPr>
              <w:rPr>
                <w:color w:val="000000"/>
                <w:lang w:eastAsia="en-AU"/>
              </w:rPr>
            </w:pPr>
            <w:r w:rsidRPr="00AE4411">
              <w:rPr>
                <w:color w:val="000000"/>
                <w:lang w:eastAsia="en-AU"/>
              </w:rPr>
              <w:t>6 quality areas rated as Working Towards NQS</w:t>
            </w:r>
          </w:p>
        </w:tc>
        <w:tc>
          <w:tcPr>
            <w:tcW w:w="3543" w:type="dxa"/>
            <w:noWrap/>
            <w:hideMark/>
          </w:tcPr>
          <w:p w:rsidR="008D29D4" w:rsidRPr="00AE4411" w:rsidRDefault="008D29D4"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9</w:t>
            </w:r>
          </w:p>
        </w:tc>
      </w:tr>
      <w:tr w:rsidR="008D29D4" w:rsidRPr="00AE4411" w:rsidTr="00852F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noWrap/>
            <w:hideMark/>
          </w:tcPr>
          <w:p w:rsidR="008D29D4" w:rsidRPr="00AE4411" w:rsidRDefault="008D29D4" w:rsidP="00852F96">
            <w:pPr>
              <w:rPr>
                <w:color w:val="000000"/>
                <w:lang w:eastAsia="en-AU"/>
              </w:rPr>
            </w:pPr>
            <w:r w:rsidRPr="00AE4411">
              <w:rPr>
                <w:color w:val="000000"/>
                <w:lang w:eastAsia="en-AU"/>
              </w:rPr>
              <w:t>7 quality areas rated as Working Towards NQS</w:t>
            </w:r>
          </w:p>
        </w:tc>
        <w:tc>
          <w:tcPr>
            <w:tcW w:w="3543" w:type="dxa"/>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6</w:t>
            </w:r>
          </w:p>
        </w:tc>
      </w:tr>
    </w:tbl>
    <w:p w:rsidR="008D29D4" w:rsidRPr="00AE4411" w:rsidRDefault="008D29D4" w:rsidP="008D29D4">
      <w:pPr>
        <w:pStyle w:val="AccessibleBody"/>
        <w:spacing w:before="120"/>
        <w:rPr>
          <w:rFonts w:cs="Calibri"/>
          <w:sz w:val="18"/>
          <w:szCs w:val="18"/>
        </w:rPr>
      </w:pPr>
      <w:r w:rsidRPr="00AE4411">
        <w:rPr>
          <w:rFonts w:cs="Calibri"/>
          <w:sz w:val="18"/>
          <w:szCs w:val="18"/>
        </w:rPr>
        <w:t xml:space="preserve">Fig </w:t>
      </w:r>
      <w:r w:rsidR="00D268D2" w:rsidRPr="00AE4411">
        <w:rPr>
          <w:rFonts w:cs="Calibri"/>
          <w:sz w:val="18"/>
          <w:szCs w:val="18"/>
        </w:rPr>
        <w:t>1</w:t>
      </w:r>
      <w:r w:rsidR="009259A2" w:rsidRPr="00AE4411">
        <w:rPr>
          <w:rFonts w:cs="Calibri"/>
          <w:sz w:val="18"/>
          <w:szCs w:val="18"/>
        </w:rPr>
        <w:t>1</w:t>
      </w:r>
      <w:r w:rsidR="00D268D2" w:rsidRPr="00AE4411">
        <w:rPr>
          <w:rFonts w:cs="Calibri"/>
          <w:sz w:val="18"/>
          <w:szCs w:val="18"/>
        </w:rPr>
        <w:t xml:space="preserve"> -</w:t>
      </w:r>
      <w:r w:rsidRPr="00AE4411">
        <w:rPr>
          <w:rFonts w:cs="Calibri"/>
          <w:sz w:val="18"/>
          <w:szCs w:val="18"/>
        </w:rPr>
        <w:t xml:space="preserve"> Number of ECEC services, by number of quality areas rated as Working Towards NQS</w:t>
      </w:r>
      <w:r w:rsidR="00F56981" w:rsidRPr="00AE4411">
        <w:rPr>
          <w:rFonts w:cs="Calibri"/>
          <w:sz w:val="18"/>
          <w:szCs w:val="18"/>
        </w:rPr>
        <w:t xml:space="preserve"> 2016.</w:t>
      </w:r>
    </w:p>
    <w:p w:rsidR="008D29D4" w:rsidRPr="00AE4411" w:rsidRDefault="008D29D4" w:rsidP="008D29D4">
      <w:pPr>
        <w:pStyle w:val="AccessibleBody"/>
        <w:rPr>
          <w:rFonts w:cs="Arial"/>
        </w:rPr>
      </w:pPr>
      <w:r w:rsidRPr="00AE4411">
        <w:rPr>
          <w:rFonts w:cs="Calibri"/>
        </w:rPr>
        <w:t>There are five service providers that have achieved the Excellent rating which is only awarded by the Australian Children’s Education and Care Quality Authority (ACECQA) upon application. Three of these services are a non-government preschool attached to a school and one is a work-based service for a specific employer. The remaining service is run by the University of Canberra which employs p</w:t>
      </w:r>
      <w:r w:rsidRPr="00AE4411">
        <w:rPr>
          <w:rFonts w:cs="Arial"/>
        </w:rPr>
        <w:t>re-service teachers from the student cohort studying for the Bachelor of Education (Early Childhood) course. All five of these services existed prior to the introduction of the NQS in 2012.</w:t>
      </w:r>
    </w:p>
    <w:p w:rsidR="008D29D4" w:rsidRPr="00AE4411" w:rsidRDefault="008D29D4" w:rsidP="008D29D4">
      <w:pPr>
        <w:pStyle w:val="AccessibleBody"/>
        <w:rPr>
          <w:rFonts w:cs="Calibri"/>
        </w:rPr>
      </w:pPr>
      <w:r w:rsidRPr="00AE4411">
        <w:rPr>
          <w:rFonts w:cs="Calibri"/>
        </w:rPr>
        <w:t>All of the ACT LDCs operating prior to 2013 have been assessed against the NQS and provided an overall rating since the introduction and implementation of the NQS in 2012. The twenty-one services operating under a provisional rating, due to not yet having been assessed under the NQS, are relatively new to the ACT ECEC market and all entered between 2014 and 2016. There are a further three non-government preschools that are operating under a provisional rating though are new to the ACT ECEC market in 2016.</w:t>
      </w:r>
    </w:p>
    <w:p w:rsidR="008D29D4" w:rsidRPr="00AE4411" w:rsidRDefault="008D29D4" w:rsidP="005E7259">
      <w:pPr>
        <w:pStyle w:val="PolicyHeading3-Accessible"/>
      </w:pPr>
      <w:bookmarkStart w:id="40" w:name="_Toc453155111"/>
      <w:bookmarkStart w:id="41" w:name="_Toc509497654"/>
      <w:r w:rsidRPr="00AE4411">
        <w:t>Qualifications of workers</w:t>
      </w:r>
      <w:bookmarkEnd w:id="40"/>
      <w:bookmarkEnd w:id="41"/>
    </w:p>
    <w:p w:rsidR="008D29D4" w:rsidRPr="00AE4411" w:rsidRDefault="008D29D4" w:rsidP="008D29D4">
      <w:pPr>
        <w:pStyle w:val="AccessibleBody"/>
      </w:pPr>
      <w:r w:rsidRPr="00AE4411">
        <w:t xml:space="preserve">The Early Childhood Education Chapter of the </w:t>
      </w:r>
      <w:r w:rsidRPr="00AE4411">
        <w:rPr>
          <w:i/>
        </w:rPr>
        <w:t xml:space="preserve">2016 </w:t>
      </w:r>
      <w:r w:rsidR="001135FA" w:rsidRPr="00AE4411">
        <w:rPr>
          <w:i/>
        </w:rPr>
        <w:t>Report</w:t>
      </w:r>
      <w:r w:rsidRPr="00AE4411">
        <w:rPr>
          <w:i/>
        </w:rPr>
        <w:t xml:space="preserve"> on Government Services</w:t>
      </w:r>
      <w:r w:rsidRPr="00AE4411">
        <w:t xml:space="preserve"> indicated that the ACT had the lowest level of qualified workers nationally with 50.6% of primary contact staff working in the ECEC sector in the ACT being with a relevant qualification, as shown in </w:t>
      </w:r>
      <w:r w:rsidR="00D268D2" w:rsidRPr="00AE4411">
        <w:rPr>
          <w:b/>
        </w:rPr>
        <w:t>Figure 1</w:t>
      </w:r>
      <w:r w:rsidR="009259A2" w:rsidRPr="00AE4411">
        <w:rPr>
          <w:b/>
        </w:rPr>
        <w:t>2</w:t>
      </w:r>
      <w:r w:rsidRPr="00AE4411">
        <w:t xml:space="preserve"> below. A weakness of the ROGS data is that it is from 2013, the second year of operation under the NQF, at the point of publication and so gives </w:t>
      </w:r>
      <w:r w:rsidRPr="00AE4411">
        <w:lastRenderedPageBreak/>
        <w:t xml:space="preserve">little indication of progress towards a target, in this case qualifications, in the intervening period. </w:t>
      </w:r>
    </w:p>
    <w:tbl>
      <w:tblPr>
        <w:tblStyle w:val="MediumShading1-Accent4"/>
        <w:tblW w:w="4832" w:type="pct"/>
        <w:tblLook w:val="04A0" w:firstRow="1" w:lastRow="0" w:firstColumn="1" w:lastColumn="0" w:noHBand="0" w:noVBand="1"/>
      </w:tblPr>
      <w:tblGrid>
        <w:gridCol w:w="2850"/>
        <w:gridCol w:w="732"/>
        <w:gridCol w:w="733"/>
        <w:gridCol w:w="733"/>
        <w:gridCol w:w="733"/>
        <w:gridCol w:w="733"/>
        <w:gridCol w:w="733"/>
        <w:gridCol w:w="733"/>
        <w:gridCol w:w="743"/>
      </w:tblGrid>
      <w:tr w:rsidR="008D29D4" w:rsidRPr="00AE4411" w:rsidTr="00852F96">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5000" w:type="pct"/>
            <w:gridSpan w:val="9"/>
            <w:hideMark/>
          </w:tcPr>
          <w:p w:rsidR="008D29D4" w:rsidRPr="00AE4411" w:rsidRDefault="008D29D4" w:rsidP="00852F96">
            <w:pPr>
              <w:rPr>
                <w:rFonts w:eastAsiaTheme="minorHAnsi"/>
              </w:rPr>
            </w:pPr>
            <w:r w:rsidRPr="00AE4411">
              <w:t>Paid primary contact staff employed by Australian Government Child Care Benefit (CCB) approved child care services, by qualification Proportion of primary contact staff, by qualification and experience (2013)</w:t>
            </w:r>
            <w:r w:rsidRPr="00AE4411">
              <w:rPr>
                <w:rStyle w:val="FootnoteReference"/>
                <w:b w:val="0"/>
              </w:rPr>
              <w:footnoteReference w:id="16"/>
            </w:r>
          </w:p>
        </w:tc>
      </w:tr>
      <w:tr w:rsidR="008D29D4" w:rsidRPr="00AE4411" w:rsidTr="00852F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4" w:type="pct"/>
            <w:noWrap/>
            <w:hideMark/>
          </w:tcPr>
          <w:p w:rsidR="008D29D4" w:rsidRPr="00AE4411" w:rsidRDefault="008D29D4" w:rsidP="00852F96">
            <w:pPr>
              <w:rPr>
                <w:rFonts w:eastAsiaTheme="minorHAnsi"/>
              </w:rPr>
            </w:pPr>
            <w:r w:rsidRPr="00AE4411">
              <w:t> </w:t>
            </w:r>
          </w:p>
        </w:tc>
        <w:tc>
          <w:tcPr>
            <w:tcW w:w="420" w:type="pct"/>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rFonts w:eastAsiaTheme="minorHAnsi"/>
              </w:rPr>
            </w:pPr>
            <w:r w:rsidRPr="00AE4411">
              <w:t>NSW</w:t>
            </w:r>
          </w:p>
        </w:tc>
        <w:tc>
          <w:tcPr>
            <w:tcW w:w="420" w:type="pct"/>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rFonts w:eastAsiaTheme="minorHAnsi"/>
              </w:rPr>
            </w:pPr>
            <w:r w:rsidRPr="00AE4411">
              <w:t>Vic</w:t>
            </w:r>
          </w:p>
        </w:tc>
        <w:tc>
          <w:tcPr>
            <w:tcW w:w="420" w:type="pct"/>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rFonts w:eastAsiaTheme="minorHAnsi"/>
              </w:rPr>
            </w:pPr>
            <w:r w:rsidRPr="00AE4411">
              <w:t>Qld</w:t>
            </w:r>
          </w:p>
        </w:tc>
        <w:tc>
          <w:tcPr>
            <w:tcW w:w="420" w:type="pct"/>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rFonts w:eastAsiaTheme="minorHAnsi"/>
              </w:rPr>
            </w:pPr>
            <w:r w:rsidRPr="00AE4411">
              <w:t>WA</w:t>
            </w:r>
          </w:p>
        </w:tc>
        <w:tc>
          <w:tcPr>
            <w:tcW w:w="420" w:type="pct"/>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rFonts w:eastAsiaTheme="minorHAnsi"/>
              </w:rPr>
            </w:pPr>
            <w:r w:rsidRPr="00AE4411">
              <w:t>SA</w:t>
            </w:r>
          </w:p>
        </w:tc>
        <w:tc>
          <w:tcPr>
            <w:tcW w:w="420" w:type="pct"/>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rFonts w:eastAsiaTheme="minorHAnsi"/>
              </w:rPr>
            </w:pPr>
            <w:r w:rsidRPr="00AE4411">
              <w:t>Tas</w:t>
            </w:r>
          </w:p>
        </w:tc>
        <w:tc>
          <w:tcPr>
            <w:tcW w:w="420" w:type="pct"/>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rFonts w:eastAsiaTheme="minorHAnsi"/>
              </w:rPr>
            </w:pPr>
            <w:r w:rsidRPr="00AE4411">
              <w:t>ACT</w:t>
            </w:r>
          </w:p>
        </w:tc>
        <w:tc>
          <w:tcPr>
            <w:tcW w:w="423" w:type="pct"/>
            <w:noWrap/>
            <w:hideMark/>
          </w:tcPr>
          <w:p w:rsidR="008D29D4" w:rsidRPr="00AE4411" w:rsidRDefault="008D29D4" w:rsidP="00852F96">
            <w:pPr>
              <w:cnfStyle w:val="000000100000" w:firstRow="0" w:lastRow="0" w:firstColumn="0" w:lastColumn="0" w:oddVBand="0" w:evenVBand="0" w:oddHBand="1" w:evenHBand="0" w:firstRowFirstColumn="0" w:firstRowLastColumn="0" w:lastRowFirstColumn="0" w:lastRowLastColumn="0"/>
              <w:rPr>
                <w:rFonts w:eastAsiaTheme="minorHAnsi"/>
              </w:rPr>
            </w:pPr>
            <w:r w:rsidRPr="00AE4411">
              <w:t>NT</w:t>
            </w:r>
          </w:p>
        </w:tc>
      </w:tr>
      <w:tr w:rsidR="008D29D4" w:rsidRPr="00AE4411" w:rsidTr="00852F96">
        <w:trPr>
          <w:cnfStyle w:val="000000010000" w:firstRow="0" w:lastRow="0" w:firstColumn="0" w:lastColumn="0" w:oddVBand="0" w:evenVBand="0" w:oddHBand="0" w:evenHBand="1"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634" w:type="pct"/>
            <w:hideMark/>
          </w:tcPr>
          <w:p w:rsidR="008D29D4" w:rsidRPr="00AE4411" w:rsidRDefault="008D29D4" w:rsidP="00852F96">
            <w:pPr>
              <w:rPr>
                <w:rFonts w:eastAsiaTheme="minorHAnsi"/>
              </w:rPr>
            </w:pPr>
            <w:r w:rsidRPr="00AE4411">
              <w:t>With a relevant formal qualification at or above Certificate level III</w:t>
            </w:r>
          </w:p>
        </w:tc>
        <w:tc>
          <w:tcPr>
            <w:tcW w:w="420" w:type="pct"/>
            <w:noWrap/>
            <w:hideMark/>
          </w:tcPr>
          <w:p w:rsidR="008D29D4" w:rsidRPr="00AE4411" w:rsidRDefault="0084434F" w:rsidP="00852F96">
            <w:pPr>
              <w:cnfStyle w:val="000000010000" w:firstRow="0" w:lastRow="0" w:firstColumn="0" w:lastColumn="0" w:oddVBand="0" w:evenVBand="0" w:oddHBand="0" w:evenHBand="1" w:firstRowFirstColumn="0" w:firstRowLastColumn="0" w:lastRowFirstColumn="0" w:lastRowLastColumn="0"/>
              <w:rPr>
                <w:rFonts w:eastAsiaTheme="minorHAnsi"/>
              </w:rPr>
            </w:pPr>
            <w:r>
              <w:t xml:space="preserve"> </w:t>
            </w:r>
            <w:r w:rsidR="008D29D4" w:rsidRPr="00AE4411">
              <w:t>73.5</w:t>
            </w:r>
          </w:p>
        </w:tc>
        <w:tc>
          <w:tcPr>
            <w:tcW w:w="420" w:type="pct"/>
            <w:noWrap/>
            <w:hideMark/>
          </w:tcPr>
          <w:p w:rsidR="008D29D4" w:rsidRPr="00AE4411" w:rsidRDefault="0084434F" w:rsidP="00852F96">
            <w:pPr>
              <w:cnfStyle w:val="000000010000" w:firstRow="0" w:lastRow="0" w:firstColumn="0" w:lastColumn="0" w:oddVBand="0" w:evenVBand="0" w:oddHBand="0" w:evenHBand="1" w:firstRowFirstColumn="0" w:firstRowLastColumn="0" w:lastRowFirstColumn="0" w:lastRowLastColumn="0"/>
              <w:rPr>
                <w:rFonts w:eastAsiaTheme="minorHAnsi"/>
              </w:rPr>
            </w:pPr>
            <w:r>
              <w:t xml:space="preserve"> </w:t>
            </w:r>
            <w:r w:rsidR="008D29D4" w:rsidRPr="00AE4411">
              <w:t>79.8</w:t>
            </w:r>
          </w:p>
        </w:tc>
        <w:tc>
          <w:tcPr>
            <w:tcW w:w="420" w:type="pct"/>
            <w:noWrap/>
            <w:hideMark/>
          </w:tcPr>
          <w:p w:rsidR="008D29D4" w:rsidRPr="00AE4411" w:rsidRDefault="0084434F" w:rsidP="00852F96">
            <w:pPr>
              <w:cnfStyle w:val="000000010000" w:firstRow="0" w:lastRow="0" w:firstColumn="0" w:lastColumn="0" w:oddVBand="0" w:evenVBand="0" w:oddHBand="0" w:evenHBand="1" w:firstRowFirstColumn="0" w:firstRowLastColumn="0" w:lastRowFirstColumn="0" w:lastRowLastColumn="0"/>
              <w:rPr>
                <w:rFonts w:eastAsiaTheme="minorHAnsi"/>
              </w:rPr>
            </w:pPr>
            <w:r>
              <w:t xml:space="preserve"> </w:t>
            </w:r>
            <w:r w:rsidR="008D29D4" w:rsidRPr="00AE4411">
              <w:t>76.5</w:t>
            </w:r>
          </w:p>
        </w:tc>
        <w:tc>
          <w:tcPr>
            <w:tcW w:w="420" w:type="pct"/>
            <w:noWrap/>
            <w:hideMark/>
          </w:tcPr>
          <w:p w:rsidR="008D29D4" w:rsidRPr="00AE4411" w:rsidRDefault="0084434F" w:rsidP="00852F96">
            <w:pPr>
              <w:cnfStyle w:val="000000010000" w:firstRow="0" w:lastRow="0" w:firstColumn="0" w:lastColumn="0" w:oddVBand="0" w:evenVBand="0" w:oddHBand="0" w:evenHBand="1" w:firstRowFirstColumn="0" w:firstRowLastColumn="0" w:lastRowFirstColumn="0" w:lastRowLastColumn="0"/>
              <w:rPr>
                <w:rFonts w:eastAsiaTheme="minorHAnsi"/>
              </w:rPr>
            </w:pPr>
            <w:r>
              <w:t xml:space="preserve"> </w:t>
            </w:r>
            <w:r w:rsidR="008D29D4" w:rsidRPr="00AE4411">
              <w:t>68.9</w:t>
            </w:r>
          </w:p>
        </w:tc>
        <w:tc>
          <w:tcPr>
            <w:tcW w:w="420" w:type="pct"/>
            <w:noWrap/>
            <w:hideMark/>
          </w:tcPr>
          <w:p w:rsidR="008D29D4" w:rsidRPr="00AE4411" w:rsidRDefault="0084434F" w:rsidP="00852F96">
            <w:pPr>
              <w:cnfStyle w:val="000000010000" w:firstRow="0" w:lastRow="0" w:firstColumn="0" w:lastColumn="0" w:oddVBand="0" w:evenVBand="0" w:oddHBand="0" w:evenHBand="1" w:firstRowFirstColumn="0" w:firstRowLastColumn="0" w:lastRowFirstColumn="0" w:lastRowLastColumn="0"/>
              <w:rPr>
                <w:rFonts w:eastAsiaTheme="minorHAnsi"/>
              </w:rPr>
            </w:pPr>
            <w:r>
              <w:t xml:space="preserve"> </w:t>
            </w:r>
            <w:r w:rsidR="008D29D4" w:rsidRPr="00AE4411">
              <w:t>70.1</w:t>
            </w:r>
          </w:p>
        </w:tc>
        <w:tc>
          <w:tcPr>
            <w:tcW w:w="420" w:type="pct"/>
            <w:noWrap/>
            <w:hideMark/>
          </w:tcPr>
          <w:p w:rsidR="008D29D4" w:rsidRPr="00AE4411" w:rsidRDefault="0084434F" w:rsidP="00852F96">
            <w:pPr>
              <w:cnfStyle w:val="000000010000" w:firstRow="0" w:lastRow="0" w:firstColumn="0" w:lastColumn="0" w:oddVBand="0" w:evenVBand="0" w:oddHBand="0" w:evenHBand="1" w:firstRowFirstColumn="0" w:firstRowLastColumn="0" w:lastRowFirstColumn="0" w:lastRowLastColumn="0"/>
              <w:rPr>
                <w:rFonts w:eastAsiaTheme="minorHAnsi"/>
              </w:rPr>
            </w:pPr>
            <w:r>
              <w:t xml:space="preserve"> </w:t>
            </w:r>
            <w:r w:rsidR="008D29D4" w:rsidRPr="00AE4411">
              <w:t>75.4</w:t>
            </w:r>
          </w:p>
        </w:tc>
        <w:tc>
          <w:tcPr>
            <w:tcW w:w="420" w:type="pct"/>
            <w:noWrap/>
            <w:hideMark/>
          </w:tcPr>
          <w:p w:rsidR="008D29D4" w:rsidRPr="00AE4411" w:rsidRDefault="0084434F" w:rsidP="00852F96">
            <w:pPr>
              <w:cnfStyle w:val="000000010000" w:firstRow="0" w:lastRow="0" w:firstColumn="0" w:lastColumn="0" w:oddVBand="0" w:evenVBand="0" w:oddHBand="0" w:evenHBand="1" w:firstRowFirstColumn="0" w:firstRowLastColumn="0" w:lastRowFirstColumn="0" w:lastRowLastColumn="0"/>
              <w:rPr>
                <w:rFonts w:eastAsiaTheme="minorHAnsi"/>
              </w:rPr>
            </w:pPr>
            <w:r>
              <w:t xml:space="preserve"> </w:t>
            </w:r>
            <w:r w:rsidR="008D29D4" w:rsidRPr="00AE4411">
              <w:t>50.6</w:t>
            </w:r>
          </w:p>
        </w:tc>
        <w:tc>
          <w:tcPr>
            <w:tcW w:w="423" w:type="pct"/>
            <w:noWrap/>
            <w:hideMark/>
          </w:tcPr>
          <w:p w:rsidR="008D29D4" w:rsidRPr="00AE4411" w:rsidRDefault="0084434F" w:rsidP="00852F96">
            <w:pPr>
              <w:cnfStyle w:val="000000010000" w:firstRow="0" w:lastRow="0" w:firstColumn="0" w:lastColumn="0" w:oddVBand="0" w:evenVBand="0" w:oddHBand="0" w:evenHBand="1" w:firstRowFirstColumn="0" w:firstRowLastColumn="0" w:lastRowFirstColumn="0" w:lastRowLastColumn="0"/>
              <w:rPr>
                <w:rFonts w:eastAsiaTheme="minorHAnsi"/>
              </w:rPr>
            </w:pPr>
            <w:r>
              <w:t xml:space="preserve"> </w:t>
            </w:r>
            <w:r w:rsidR="008D29D4" w:rsidRPr="00AE4411">
              <w:t>53.2</w:t>
            </w:r>
          </w:p>
        </w:tc>
      </w:tr>
      <w:tr w:rsidR="008D29D4" w:rsidRPr="00AE4411" w:rsidTr="00852F9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34" w:type="pct"/>
            <w:hideMark/>
          </w:tcPr>
          <w:p w:rsidR="008D29D4" w:rsidRPr="00AE4411" w:rsidRDefault="008D29D4" w:rsidP="00852F96">
            <w:pPr>
              <w:rPr>
                <w:rFonts w:eastAsiaTheme="minorHAnsi"/>
              </w:rPr>
            </w:pPr>
            <w:r w:rsidRPr="00AE4411">
              <w:t>All staff without a relevant formal qualification at or above Certificate level III</w:t>
            </w:r>
          </w:p>
        </w:tc>
        <w:tc>
          <w:tcPr>
            <w:tcW w:w="420" w:type="pct"/>
            <w:noWrap/>
            <w:hideMark/>
          </w:tcPr>
          <w:p w:rsidR="008D29D4" w:rsidRPr="00AE4411" w:rsidRDefault="0084434F" w:rsidP="00852F96">
            <w:pPr>
              <w:cnfStyle w:val="000000100000" w:firstRow="0" w:lastRow="0" w:firstColumn="0" w:lastColumn="0" w:oddVBand="0" w:evenVBand="0" w:oddHBand="1" w:evenHBand="0" w:firstRowFirstColumn="0" w:firstRowLastColumn="0" w:lastRowFirstColumn="0" w:lastRowLastColumn="0"/>
              <w:rPr>
                <w:rFonts w:eastAsiaTheme="minorHAnsi"/>
              </w:rPr>
            </w:pPr>
            <w:r>
              <w:t xml:space="preserve"> </w:t>
            </w:r>
            <w:r w:rsidR="008D29D4" w:rsidRPr="00AE4411">
              <w:t>26.5</w:t>
            </w:r>
          </w:p>
        </w:tc>
        <w:tc>
          <w:tcPr>
            <w:tcW w:w="420" w:type="pct"/>
            <w:noWrap/>
            <w:hideMark/>
          </w:tcPr>
          <w:p w:rsidR="008D29D4" w:rsidRPr="00AE4411" w:rsidRDefault="0084434F" w:rsidP="00852F96">
            <w:pPr>
              <w:cnfStyle w:val="000000100000" w:firstRow="0" w:lastRow="0" w:firstColumn="0" w:lastColumn="0" w:oddVBand="0" w:evenVBand="0" w:oddHBand="1" w:evenHBand="0" w:firstRowFirstColumn="0" w:firstRowLastColumn="0" w:lastRowFirstColumn="0" w:lastRowLastColumn="0"/>
              <w:rPr>
                <w:rFonts w:eastAsiaTheme="minorHAnsi"/>
              </w:rPr>
            </w:pPr>
            <w:r>
              <w:t xml:space="preserve"> </w:t>
            </w:r>
            <w:r w:rsidR="008D29D4" w:rsidRPr="00AE4411">
              <w:t>20.2</w:t>
            </w:r>
          </w:p>
        </w:tc>
        <w:tc>
          <w:tcPr>
            <w:tcW w:w="420" w:type="pct"/>
            <w:noWrap/>
            <w:hideMark/>
          </w:tcPr>
          <w:p w:rsidR="008D29D4" w:rsidRPr="00AE4411" w:rsidRDefault="0084434F" w:rsidP="00852F96">
            <w:pPr>
              <w:cnfStyle w:val="000000100000" w:firstRow="0" w:lastRow="0" w:firstColumn="0" w:lastColumn="0" w:oddVBand="0" w:evenVBand="0" w:oddHBand="1" w:evenHBand="0" w:firstRowFirstColumn="0" w:firstRowLastColumn="0" w:lastRowFirstColumn="0" w:lastRowLastColumn="0"/>
              <w:rPr>
                <w:rFonts w:eastAsiaTheme="minorHAnsi"/>
              </w:rPr>
            </w:pPr>
            <w:r>
              <w:t xml:space="preserve"> </w:t>
            </w:r>
            <w:r w:rsidR="008D29D4" w:rsidRPr="00AE4411">
              <w:t>23.5</w:t>
            </w:r>
          </w:p>
        </w:tc>
        <w:tc>
          <w:tcPr>
            <w:tcW w:w="420" w:type="pct"/>
            <w:noWrap/>
            <w:hideMark/>
          </w:tcPr>
          <w:p w:rsidR="008D29D4" w:rsidRPr="00AE4411" w:rsidRDefault="0084434F" w:rsidP="00852F96">
            <w:pPr>
              <w:cnfStyle w:val="000000100000" w:firstRow="0" w:lastRow="0" w:firstColumn="0" w:lastColumn="0" w:oddVBand="0" w:evenVBand="0" w:oddHBand="1" w:evenHBand="0" w:firstRowFirstColumn="0" w:firstRowLastColumn="0" w:lastRowFirstColumn="0" w:lastRowLastColumn="0"/>
              <w:rPr>
                <w:rFonts w:eastAsiaTheme="minorHAnsi"/>
              </w:rPr>
            </w:pPr>
            <w:r>
              <w:t xml:space="preserve"> </w:t>
            </w:r>
            <w:r w:rsidR="008D29D4" w:rsidRPr="00AE4411">
              <w:t>31.1</w:t>
            </w:r>
          </w:p>
        </w:tc>
        <w:tc>
          <w:tcPr>
            <w:tcW w:w="420" w:type="pct"/>
            <w:noWrap/>
            <w:hideMark/>
          </w:tcPr>
          <w:p w:rsidR="008D29D4" w:rsidRPr="00AE4411" w:rsidRDefault="0084434F" w:rsidP="00852F96">
            <w:pPr>
              <w:cnfStyle w:val="000000100000" w:firstRow="0" w:lastRow="0" w:firstColumn="0" w:lastColumn="0" w:oddVBand="0" w:evenVBand="0" w:oddHBand="1" w:evenHBand="0" w:firstRowFirstColumn="0" w:firstRowLastColumn="0" w:lastRowFirstColumn="0" w:lastRowLastColumn="0"/>
              <w:rPr>
                <w:rFonts w:eastAsiaTheme="minorHAnsi"/>
              </w:rPr>
            </w:pPr>
            <w:r>
              <w:t xml:space="preserve"> </w:t>
            </w:r>
            <w:r w:rsidR="008D29D4" w:rsidRPr="00AE4411">
              <w:t>29.9</w:t>
            </w:r>
          </w:p>
        </w:tc>
        <w:tc>
          <w:tcPr>
            <w:tcW w:w="420" w:type="pct"/>
            <w:noWrap/>
            <w:hideMark/>
          </w:tcPr>
          <w:p w:rsidR="008D29D4" w:rsidRPr="00AE4411" w:rsidRDefault="0084434F" w:rsidP="00852F96">
            <w:pPr>
              <w:cnfStyle w:val="000000100000" w:firstRow="0" w:lastRow="0" w:firstColumn="0" w:lastColumn="0" w:oddVBand="0" w:evenVBand="0" w:oddHBand="1" w:evenHBand="0" w:firstRowFirstColumn="0" w:firstRowLastColumn="0" w:lastRowFirstColumn="0" w:lastRowLastColumn="0"/>
              <w:rPr>
                <w:rFonts w:eastAsiaTheme="minorHAnsi"/>
              </w:rPr>
            </w:pPr>
            <w:r>
              <w:t xml:space="preserve"> </w:t>
            </w:r>
            <w:r w:rsidR="008D29D4" w:rsidRPr="00AE4411">
              <w:t>24.6</w:t>
            </w:r>
          </w:p>
        </w:tc>
        <w:tc>
          <w:tcPr>
            <w:tcW w:w="420" w:type="pct"/>
            <w:noWrap/>
            <w:hideMark/>
          </w:tcPr>
          <w:p w:rsidR="008D29D4" w:rsidRPr="00AE4411" w:rsidRDefault="0084434F" w:rsidP="00852F96">
            <w:pPr>
              <w:cnfStyle w:val="000000100000" w:firstRow="0" w:lastRow="0" w:firstColumn="0" w:lastColumn="0" w:oddVBand="0" w:evenVBand="0" w:oddHBand="1" w:evenHBand="0" w:firstRowFirstColumn="0" w:firstRowLastColumn="0" w:lastRowFirstColumn="0" w:lastRowLastColumn="0"/>
              <w:rPr>
                <w:rFonts w:eastAsiaTheme="minorHAnsi"/>
              </w:rPr>
            </w:pPr>
            <w:r>
              <w:t xml:space="preserve"> </w:t>
            </w:r>
            <w:r w:rsidR="008D29D4" w:rsidRPr="00AE4411">
              <w:t>49.4</w:t>
            </w:r>
          </w:p>
        </w:tc>
        <w:tc>
          <w:tcPr>
            <w:tcW w:w="423" w:type="pct"/>
            <w:noWrap/>
            <w:hideMark/>
          </w:tcPr>
          <w:p w:rsidR="008D29D4" w:rsidRPr="00AE4411" w:rsidRDefault="0084434F" w:rsidP="00852F96">
            <w:pPr>
              <w:cnfStyle w:val="000000100000" w:firstRow="0" w:lastRow="0" w:firstColumn="0" w:lastColumn="0" w:oddVBand="0" w:evenVBand="0" w:oddHBand="1" w:evenHBand="0" w:firstRowFirstColumn="0" w:firstRowLastColumn="0" w:lastRowFirstColumn="0" w:lastRowLastColumn="0"/>
              <w:rPr>
                <w:rFonts w:eastAsiaTheme="minorHAnsi"/>
              </w:rPr>
            </w:pPr>
            <w:r>
              <w:t xml:space="preserve"> </w:t>
            </w:r>
            <w:r w:rsidR="008D29D4" w:rsidRPr="00AE4411">
              <w:t>46.8</w:t>
            </w:r>
          </w:p>
        </w:tc>
      </w:tr>
    </w:tbl>
    <w:p w:rsidR="008D29D4" w:rsidRPr="00AE4411" w:rsidRDefault="008D29D4" w:rsidP="008D29D4">
      <w:pPr>
        <w:spacing w:before="120"/>
        <w:rPr>
          <w:rFonts w:asciiTheme="minorHAnsi" w:hAnsiTheme="minorHAnsi" w:cs="Calibri"/>
          <w:sz w:val="18"/>
          <w:szCs w:val="18"/>
        </w:rPr>
      </w:pPr>
      <w:r w:rsidRPr="00AE4411">
        <w:rPr>
          <w:rFonts w:cs="Calibri"/>
          <w:sz w:val="18"/>
          <w:szCs w:val="18"/>
        </w:rPr>
        <w:t>Fig 1</w:t>
      </w:r>
      <w:r w:rsidR="009259A2" w:rsidRPr="00AE4411">
        <w:rPr>
          <w:rFonts w:cs="Calibri"/>
          <w:sz w:val="18"/>
          <w:szCs w:val="18"/>
        </w:rPr>
        <w:t>2</w:t>
      </w:r>
      <w:r w:rsidR="00D268D2" w:rsidRPr="00AE4411">
        <w:rPr>
          <w:rFonts w:cs="Calibri"/>
          <w:sz w:val="18"/>
          <w:szCs w:val="18"/>
        </w:rPr>
        <w:t xml:space="preserve"> -</w:t>
      </w:r>
      <w:r w:rsidRPr="00AE4411">
        <w:rPr>
          <w:rFonts w:asciiTheme="minorHAnsi" w:hAnsiTheme="minorHAnsi" w:cs="Calibri"/>
          <w:sz w:val="18"/>
          <w:szCs w:val="18"/>
        </w:rPr>
        <w:t xml:space="preserve"> P</w:t>
      </w:r>
      <w:r w:rsidRPr="00AE4411">
        <w:rPr>
          <w:rFonts w:asciiTheme="minorHAnsi" w:hAnsiTheme="minorHAnsi" w:cs="Arial"/>
          <w:bCs/>
          <w:sz w:val="18"/>
          <w:szCs w:val="18"/>
        </w:rPr>
        <w:t>rimary contact staff employed by Australian Government CCB approved child care services, by qualification and, proportion of primary contact staff, by qualification and experience</w:t>
      </w:r>
    </w:p>
    <w:p w:rsidR="008D29D4" w:rsidRPr="00AE4411" w:rsidRDefault="005F4E2E" w:rsidP="008D29D4">
      <w:pPr>
        <w:pStyle w:val="AccessibleBody"/>
      </w:pPr>
      <w:r w:rsidRPr="00AE4411">
        <w:t>Using</w:t>
      </w:r>
      <w:r w:rsidR="008D29D4" w:rsidRPr="00AE4411">
        <w:t xml:space="preserve"> </w:t>
      </w:r>
      <w:r w:rsidR="00F56981" w:rsidRPr="00AE4411">
        <w:t xml:space="preserve">2016 </w:t>
      </w:r>
      <w:r w:rsidR="008D29D4" w:rsidRPr="00AE4411">
        <w:t>data provided by the ACT Long Service Leave Authority on the distribution of workers across the sector against the classifications in the Children’s Services Award 2010</w:t>
      </w:r>
      <w:r w:rsidR="008C1EAF" w:rsidRPr="00AE4411">
        <w:t>,</w:t>
      </w:r>
      <w:r w:rsidR="008D29D4" w:rsidRPr="00AE4411">
        <w:t xml:space="preserve"> to derive an estimate of the current qualification levels</w:t>
      </w:r>
      <w:r w:rsidR="008D29D4" w:rsidRPr="00AE4411">
        <w:rPr>
          <w:rStyle w:val="FootnoteReference"/>
        </w:rPr>
        <w:footnoteReference w:id="17"/>
      </w:r>
      <w:r w:rsidR="008D29D4" w:rsidRPr="00AE4411">
        <w:t xml:space="preserve">. </w:t>
      </w:r>
    </w:p>
    <w:p w:rsidR="008D29D4" w:rsidRPr="00AE4411" w:rsidRDefault="008D29D4" w:rsidP="008D29D4">
      <w:pPr>
        <w:pStyle w:val="AccessibleBody"/>
      </w:pPr>
      <w:r w:rsidRPr="00AE4411">
        <w:rPr>
          <w:b/>
        </w:rPr>
        <w:t xml:space="preserve">Figure </w:t>
      </w:r>
      <w:r w:rsidR="00D268D2" w:rsidRPr="00AE4411">
        <w:rPr>
          <w:b/>
        </w:rPr>
        <w:t>1</w:t>
      </w:r>
      <w:r w:rsidR="009259A2" w:rsidRPr="00AE4411">
        <w:rPr>
          <w:b/>
        </w:rPr>
        <w:t>3</w:t>
      </w:r>
      <w:r w:rsidRPr="00AE4411">
        <w:rPr>
          <w:rStyle w:val="FootnoteReference"/>
        </w:rPr>
        <w:footnoteReference w:id="18"/>
      </w:r>
      <w:r w:rsidRPr="00AE4411">
        <w:t xml:space="preserve"> below shows the distribution of workers across the Award classifications. The salary point at which qualif</w:t>
      </w:r>
      <w:r w:rsidR="008C1EAF" w:rsidRPr="00AE4411">
        <w:t>ications are recognised by the A</w:t>
      </w:r>
      <w:r w:rsidRPr="00AE4411">
        <w:t xml:space="preserve">ward, and determine the minimum pay for the relevant workers, is at </w:t>
      </w:r>
      <w:r w:rsidR="00FD2793" w:rsidRPr="00AE4411">
        <w:t xml:space="preserve">Award </w:t>
      </w:r>
      <w:r w:rsidRPr="00AE4411">
        <w:t xml:space="preserve">level 3.4, which is immediately before level 4 in Figure 11 below. </w:t>
      </w:r>
    </w:p>
    <w:p w:rsidR="008D29D4" w:rsidRPr="00AE4411" w:rsidRDefault="008D29D4" w:rsidP="00FD2793">
      <w:pPr>
        <w:pStyle w:val="AccessibleBody"/>
        <w:spacing w:after="120"/>
      </w:pPr>
      <w:r w:rsidRPr="00AE4411">
        <w:t xml:space="preserve">Should this distribution of workers across the Award classifications reflect the associated qualification levels specified in the Award, 1,924 of the 3,227 full time workers in the sector, or approximately 59% could now have achieved the relevant qualifications at or above Certificate level III. This would represent an estimated improvement of 8.4% on the 50.6% figure </w:t>
      </w:r>
      <w:r w:rsidR="005E7259">
        <w:t>r</w:t>
      </w:r>
      <w:r w:rsidR="001135FA" w:rsidRPr="00AE4411">
        <w:t>eport</w:t>
      </w:r>
      <w:r w:rsidRPr="00AE4411">
        <w:t xml:space="preserve">ed on 2013 data. It should be noted that this derived estimate does not include part time, or casual workers, and will need to be </w:t>
      </w:r>
      <w:r w:rsidR="00F56981" w:rsidRPr="00AE4411">
        <w:t xml:space="preserve">considered with </w:t>
      </w:r>
      <w:r w:rsidRPr="00AE4411">
        <w:t>against Australian Government data when it becomes available.</w:t>
      </w:r>
    </w:p>
    <w:p w:rsidR="008D29D4" w:rsidRPr="00AE4411" w:rsidRDefault="008D29D4" w:rsidP="008D29D4">
      <w:pPr>
        <w:pStyle w:val="AccessibleBody"/>
      </w:pPr>
      <w:r w:rsidRPr="00AE4411">
        <w:rPr>
          <w:noProof/>
          <w:lang w:eastAsia="en-AU"/>
        </w:rPr>
        <w:lastRenderedPageBreak/>
        <w:drawing>
          <wp:inline distT="0" distB="0" distL="0" distR="0">
            <wp:extent cx="5400675" cy="1914525"/>
            <wp:effectExtent l="0" t="0" r="0" b="0"/>
            <wp:docPr id="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29D4" w:rsidRPr="00AE4411" w:rsidRDefault="008D29D4" w:rsidP="008D29D4">
      <w:pPr>
        <w:pStyle w:val="AccessibleBody"/>
        <w:rPr>
          <w:sz w:val="18"/>
          <w:szCs w:val="18"/>
        </w:rPr>
      </w:pPr>
      <w:r w:rsidRPr="00AE4411">
        <w:rPr>
          <w:sz w:val="18"/>
          <w:szCs w:val="18"/>
        </w:rPr>
        <w:t xml:space="preserve">Fig </w:t>
      </w:r>
      <w:r w:rsidR="009259A2" w:rsidRPr="00AE4411">
        <w:rPr>
          <w:sz w:val="18"/>
          <w:szCs w:val="18"/>
        </w:rPr>
        <w:t>13</w:t>
      </w:r>
      <w:r w:rsidRPr="00AE4411">
        <w:rPr>
          <w:sz w:val="18"/>
          <w:szCs w:val="18"/>
        </w:rPr>
        <w:t xml:space="preserve"> Distribution of full time workers across Children’s Services Award classifications by number</w:t>
      </w:r>
    </w:p>
    <w:p w:rsidR="008D29D4" w:rsidRPr="00AE4411" w:rsidRDefault="00FD2793" w:rsidP="00FD2793">
      <w:pPr>
        <w:pStyle w:val="AccessibleBody"/>
        <w:spacing w:after="0"/>
        <w:rPr>
          <w:szCs w:val="24"/>
        </w:rPr>
      </w:pPr>
      <w:r w:rsidRPr="00AE4411">
        <w:rPr>
          <w:b/>
          <w:szCs w:val="24"/>
        </w:rPr>
        <w:t xml:space="preserve">Figure </w:t>
      </w:r>
      <w:r w:rsidR="00D268D2" w:rsidRPr="00AE4411">
        <w:rPr>
          <w:b/>
          <w:szCs w:val="24"/>
        </w:rPr>
        <w:t>1</w:t>
      </w:r>
      <w:r w:rsidR="009259A2" w:rsidRPr="00AE4411">
        <w:rPr>
          <w:b/>
          <w:szCs w:val="24"/>
        </w:rPr>
        <w:t>4</w:t>
      </w:r>
      <w:r w:rsidR="008D29D4" w:rsidRPr="00AE4411">
        <w:rPr>
          <w:szCs w:val="24"/>
        </w:rPr>
        <w:t xml:space="preserve"> below provides the same information by percentage of worker at each classification level.</w:t>
      </w:r>
    </w:p>
    <w:p w:rsidR="008D29D4" w:rsidRPr="00AE4411" w:rsidRDefault="008D29D4" w:rsidP="008D29D4">
      <w:pPr>
        <w:pStyle w:val="AccessibleBody"/>
        <w:rPr>
          <w:szCs w:val="24"/>
        </w:rPr>
      </w:pPr>
      <w:r w:rsidRPr="00AE4411">
        <w:rPr>
          <w:noProof/>
          <w:szCs w:val="24"/>
          <w:lang w:eastAsia="en-AU"/>
        </w:rPr>
        <w:drawing>
          <wp:inline distT="0" distB="0" distL="0" distR="0">
            <wp:extent cx="5267325" cy="1704975"/>
            <wp:effectExtent l="0" t="0" r="0" b="0"/>
            <wp:docPr id="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D29D4" w:rsidRPr="00AE4411" w:rsidRDefault="008D29D4" w:rsidP="008D29D4">
      <w:pPr>
        <w:pStyle w:val="AccessibleBody"/>
        <w:rPr>
          <w:sz w:val="18"/>
          <w:szCs w:val="18"/>
        </w:rPr>
      </w:pPr>
      <w:r w:rsidRPr="00AE4411">
        <w:rPr>
          <w:sz w:val="18"/>
          <w:szCs w:val="18"/>
        </w:rPr>
        <w:t xml:space="preserve">Fig </w:t>
      </w:r>
      <w:r w:rsidR="00D268D2" w:rsidRPr="00AE4411">
        <w:rPr>
          <w:sz w:val="18"/>
          <w:szCs w:val="18"/>
        </w:rPr>
        <w:t>1</w:t>
      </w:r>
      <w:r w:rsidR="009259A2" w:rsidRPr="00AE4411">
        <w:rPr>
          <w:sz w:val="18"/>
          <w:szCs w:val="18"/>
        </w:rPr>
        <w:t>4</w:t>
      </w:r>
      <w:r w:rsidR="00D268D2" w:rsidRPr="00AE4411">
        <w:rPr>
          <w:sz w:val="18"/>
          <w:szCs w:val="18"/>
        </w:rPr>
        <w:t xml:space="preserve"> -</w:t>
      </w:r>
      <w:r w:rsidRPr="00AE4411">
        <w:rPr>
          <w:sz w:val="18"/>
          <w:szCs w:val="18"/>
        </w:rPr>
        <w:t xml:space="preserve"> Distribution of full time workers across Children’s Services Award classifications, by percentage</w:t>
      </w:r>
    </w:p>
    <w:p w:rsidR="008D29D4" w:rsidRPr="00AE4411" w:rsidRDefault="008D29D4" w:rsidP="008D29D4">
      <w:pPr>
        <w:pStyle w:val="AccessibleBody"/>
      </w:pPr>
      <w:r w:rsidRPr="00AE4411">
        <w:t xml:space="preserve">The possession of relevant qualifications are a proxy for the capacity of workers in any industry to meet the operational and other requirements expected of workers in that industry. The ECEC sector is no different. </w:t>
      </w:r>
    </w:p>
    <w:p w:rsidR="008D29D4" w:rsidRPr="00AE4411" w:rsidRDefault="008D29D4" w:rsidP="00841FED">
      <w:pPr>
        <w:pStyle w:val="PolicyHeading4-Accessible"/>
      </w:pPr>
      <w:bookmarkStart w:id="42" w:name="_Toc509497655"/>
      <w:r w:rsidRPr="00AE4411">
        <w:t>More than just possession of qualifications</w:t>
      </w:r>
      <w:bookmarkEnd w:id="42"/>
    </w:p>
    <w:p w:rsidR="008D29D4" w:rsidRPr="00AE4411" w:rsidRDefault="008D29D4" w:rsidP="008D29D4">
      <w:pPr>
        <w:pStyle w:val="AccessibleBody"/>
      </w:pPr>
      <w:r w:rsidRPr="00AE4411">
        <w:t>However, qualifications are only a proxy and performance on the job is a function of the relationship between skills, experience, aptitude and strength of vocational intention. Participants from the ECEC sector at the 1 July</w:t>
      </w:r>
      <w:r w:rsidR="00803A54" w:rsidRPr="00AE4411">
        <w:t xml:space="preserve"> 2016</w:t>
      </w:r>
      <w:r w:rsidRPr="00AE4411">
        <w:t xml:space="preserve"> </w:t>
      </w:r>
      <w:r w:rsidR="008C1EAF" w:rsidRPr="00AE4411">
        <w:t>Forum</w:t>
      </w:r>
      <w:r w:rsidRPr="00AE4411">
        <w:t xml:space="preserve"> made a number of comments about the training, skills experience, aptitude and vocational intention of workers in the sector. One service provider mad</w:t>
      </w:r>
      <w:r w:rsidR="00803A54" w:rsidRPr="00AE4411">
        <w:t>e</w:t>
      </w:r>
      <w:r w:rsidRPr="00AE4411">
        <w:t xml:space="preserve"> the point that ‘</w:t>
      </w:r>
      <w:r w:rsidRPr="00AE4411">
        <w:rPr>
          <w:i/>
        </w:rPr>
        <w:t>students enter</w:t>
      </w:r>
      <w:r w:rsidR="00961272">
        <w:rPr>
          <w:i/>
        </w:rPr>
        <w:t xml:space="preserve"> training with the ideal that “</w:t>
      </w:r>
      <w:r w:rsidRPr="00AE4411">
        <w:rPr>
          <w:i/>
        </w:rPr>
        <w:t xml:space="preserve">we love children”; but often do not </w:t>
      </w:r>
      <w:r w:rsidR="008C1EAF" w:rsidRPr="00AE4411">
        <w:rPr>
          <w:i/>
        </w:rPr>
        <w:t xml:space="preserve">have a </w:t>
      </w:r>
      <w:r w:rsidRPr="00AE4411">
        <w:rPr>
          <w:i/>
        </w:rPr>
        <w:t>realistic view or expectation as to how to handle law, regulations and procedures</w:t>
      </w:r>
      <w:r w:rsidRPr="00AE4411">
        <w:t>.’</w:t>
      </w:r>
    </w:p>
    <w:p w:rsidR="008D29D4" w:rsidRPr="00AE4411" w:rsidRDefault="008D29D4" w:rsidP="008D29D4">
      <w:pPr>
        <w:pStyle w:val="AccessibleBody"/>
      </w:pPr>
      <w:r w:rsidRPr="00AE4411">
        <w:t>A similar point was made by the ACT</w:t>
      </w:r>
      <w:r w:rsidR="00803A54" w:rsidRPr="00AE4411">
        <w:t>’s</w:t>
      </w:r>
      <w:r w:rsidRPr="00AE4411">
        <w:t xml:space="preserve"> Regulator</w:t>
      </w:r>
      <w:r w:rsidR="00803A54" w:rsidRPr="00AE4411">
        <w:t>y Authority</w:t>
      </w:r>
      <w:r w:rsidRPr="00AE4411">
        <w:t xml:space="preserve">, </w:t>
      </w:r>
      <w:r w:rsidR="00803A54" w:rsidRPr="00AE4411">
        <w:t xml:space="preserve">in relation to investigations of </w:t>
      </w:r>
      <w:r w:rsidRPr="00AE4411">
        <w:t>people who have harmed childre</w:t>
      </w:r>
      <w:r w:rsidR="005E7259">
        <w:t xml:space="preserve">n in the course of their work. </w:t>
      </w:r>
      <w:r w:rsidRPr="00AE4411">
        <w:t xml:space="preserve">In many cases the Regulator found that this cohort of workers </w:t>
      </w:r>
      <w:r w:rsidR="008C1EAF" w:rsidRPr="00AE4411">
        <w:t xml:space="preserve">was not as well informed </w:t>
      </w:r>
      <w:r w:rsidR="00803A54" w:rsidRPr="00AE4411">
        <w:t xml:space="preserve">or prepared </w:t>
      </w:r>
      <w:r w:rsidR="008C1EAF" w:rsidRPr="00AE4411">
        <w:t>as they needed to be</w:t>
      </w:r>
      <w:r w:rsidRPr="00AE4411">
        <w:t xml:space="preserve"> to manage child</w:t>
      </w:r>
      <w:r w:rsidR="005E7259">
        <w:t xml:space="preserve">ren in a professional setting. </w:t>
      </w:r>
      <w:r w:rsidRPr="00AE4411">
        <w:t>This is despite the fact that they were</w:t>
      </w:r>
      <w:r w:rsidR="005E7259">
        <w:t xml:space="preserve"> </w:t>
      </w:r>
      <w:r w:rsidR="005E7259">
        <w:lastRenderedPageBreak/>
        <w:t xml:space="preserve">formally qualified. </w:t>
      </w:r>
      <w:r w:rsidRPr="00AE4411">
        <w:t>In other words</w:t>
      </w:r>
      <w:r w:rsidR="005740C5" w:rsidRPr="00AE4411">
        <w:t>, for some</w:t>
      </w:r>
      <w:r w:rsidRPr="00AE4411">
        <w:t xml:space="preserve"> people the Cert III has </w:t>
      </w:r>
      <w:r w:rsidR="00803A54" w:rsidRPr="00AE4411">
        <w:t xml:space="preserve">not </w:t>
      </w:r>
      <w:r w:rsidRPr="00AE4411">
        <w:t xml:space="preserve">had </w:t>
      </w:r>
      <w:r w:rsidR="005740C5" w:rsidRPr="00AE4411">
        <w:t>a sufficient impact</w:t>
      </w:r>
      <w:r w:rsidRPr="00AE4411">
        <w:t xml:space="preserve"> on the quality of the service provided. </w:t>
      </w:r>
    </w:p>
    <w:p w:rsidR="008D29D4" w:rsidRPr="00AE4411" w:rsidRDefault="008D29D4" w:rsidP="008D29D4">
      <w:pPr>
        <w:pStyle w:val="AccessibleBody"/>
      </w:pPr>
      <w:r w:rsidRPr="00AE4411">
        <w:t>While the aptitude, experience and vocational intentions of workers is important, the training is also important</w:t>
      </w:r>
      <w:r w:rsidR="00C62A0F" w:rsidRPr="00AE4411">
        <w:t>.</w:t>
      </w:r>
      <w:r w:rsidRPr="00AE4411">
        <w:t xml:space="preserve"> </w:t>
      </w:r>
      <w:r w:rsidR="00C62A0F" w:rsidRPr="00AE4411">
        <w:t>S</w:t>
      </w:r>
      <w:r w:rsidRPr="00AE4411">
        <w:t>ervice providers that are the clients of training providers had mixed views about the quality of the training provided. These views included concerns about the differing standards applied by Registered Training Organisations (RTO</w:t>
      </w:r>
      <w:r w:rsidR="005740C5" w:rsidRPr="00AE4411">
        <w:t>s</w:t>
      </w:r>
      <w:r w:rsidRPr="00AE4411">
        <w:t>) that resulted in educators that were not suitably qualified for the job, despite the formal qualification.</w:t>
      </w:r>
    </w:p>
    <w:p w:rsidR="008D29D4" w:rsidRPr="00AE4411" w:rsidRDefault="008D29D4" w:rsidP="008D29D4">
      <w:pPr>
        <w:pStyle w:val="AccessibleBody"/>
      </w:pPr>
      <w:r w:rsidRPr="00AE4411">
        <w:t xml:space="preserve">These points were echoed during the 1 July </w:t>
      </w:r>
      <w:r w:rsidR="00C62A0F" w:rsidRPr="00AE4411">
        <w:t xml:space="preserve">2016 </w:t>
      </w:r>
      <w:r w:rsidR="008C1EAF" w:rsidRPr="00AE4411">
        <w:t>Forum</w:t>
      </w:r>
      <w:r w:rsidRPr="00AE4411">
        <w:t xml:space="preserve">, and expanded to suggest that it was not simply a question of poor quality RTO's and training providers, but that the issues extended to compressed qualifications and short tracked diplomas and </w:t>
      </w:r>
      <w:r w:rsidR="005740C5" w:rsidRPr="00AE4411">
        <w:t>C</w:t>
      </w:r>
      <w:r w:rsidRPr="00AE4411">
        <w:t xml:space="preserve">ertificate IIIs. </w:t>
      </w:r>
      <w:r w:rsidR="008C1EAF" w:rsidRPr="00AE4411">
        <w:t>Forum</w:t>
      </w:r>
      <w:r w:rsidRPr="00AE4411">
        <w:t xml:space="preserve"> participants noted that the Canberra Institute of Technology qualifications were valued more highly than those achieved through other RTOs, and also that those without the appropriate visas were obtaining qualifications from cheaper, often online, RTOs and that the skill levels of these workers were not high enough. </w:t>
      </w:r>
    </w:p>
    <w:p w:rsidR="0051085A" w:rsidRPr="00AE4411" w:rsidRDefault="0051085A" w:rsidP="008D29D4">
      <w:pPr>
        <w:pStyle w:val="AccessibleBody"/>
      </w:pPr>
      <w:r w:rsidRPr="00AE4411">
        <w:t xml:space="preserve">The </w:t>
      </w:r>
      <w:r w:rsidR="001135FA" w:rsidRPr="00AE4411">
        <w:t>Review</w:t>
      </w:r>
      <w:r w:rsidRPr="00AE4411">
        <w:t xml:space="preserve"> considers that there would be value in exploring the potential to include more on the job exposure to real conditions as a part of training for ECEC workers and that this should to happen earlier in training so that students can work out if this line of work is really for them</w:t>
      </w:r>
      <w:r w:rsidR="00E6205F">
        <w:t>.</w:t>
      </w:r>
    </w:p>
    <w:p w:rsidR="008D29D4" w:rsidRPr="00AE4411" w:rsidRDefault="008D29D4" w:rsidP="008D29D4">
      <w:pPr>
        <w:pStyle w:val="AccessibleBody"/>
      </w:pPr>
      <w:r w:rsidRPr="00AE4411">
        <w:t xml:space="preserve">Other comments related to the gap between qualifications and the ability to do the job – </w:t>
      </w:r>
      <w:r w:rsidR="00961272">
        <w:t>noting that ‘qualifications don no</w:t>
      </w:r>
      <w:r w:rsidRPr="00AE4411">
        <w:t xml:space="preserve">t equal experience’ and that there needed to be a balance between qualifications and on the job experience. </w:t>
      </w:r>
      <w:r w:rsidR="008C1EAF" w:rsidRPr="00AE4411">
        <w:t>Forum</w:t>
      </w:r>
      <w:r w:rsidRPr="00AE4411">
        <w:t xml:space="preserve"> participants also noted that on the job experience needed to be with high-quality providers, and be of appropriate length</w:t>
      </w:r>
      <w:r w:rsidR="005740C5" w:rsidRPr="00AE4411">
        <w:t>.</w:t>
      </w:r>
    </w:p>
    <w:p w:rsidR="0051085A" w:rsidRPr="00AE4411" w:rsidRDefault="003C7114" w:rsidP="005E7259">
      <w:pPr>
        <w:pStyle w:val="AccessibleBody"/>
      </w:pPr>
      <w:r w:rsidRPr="00AE4411">
        <w:t xml:space="preserve">An improved </w:t>
      </w:r>
      <w:r w:rsidR="00E36300" w:rsidRPr="00AE4411">
        <w:t xml:space="preserve">professional regulation </w:t>
      </w:r>
      <w:r w:rsidRPr="00AE4411">
        <w:t xml:space="preserve">framework </w:t>
      </w:r>
      <w:r w:rsidR="00E36300" w:rsidRPr="00AE4411">
        <w:t xml:space="preserve">could provide a better structure for </w:t>
      </w:r>
      <w:r w:rsidR="005A1DD3" w:rsidRPr="00AE4411">
        <w:t xml:space="preserve">ensuring that </w:t>
      </w:r>
      <w:r w:rsidR="00E36300" w:rsidRPr="00AE4411">
        <w:t>ECEC</w:t>
      </w:r>
      <w:r w:rsidR="005A1DD3" w:rsidRPr="00AE4411">
        <w:t xml:space="preserve"> educators obtain and maintain suitable knowledge and skills. One option to achieve this is extending </w:t>
      </w:r>
      <w:r w:rsidR="0051085A" w:rsidRPr="00AE4411">
        <w:t xml:space="preserve">the statutory framework of the Teacher Quality Institute to be amended </w:t>
      </w:r>
      <w:r w:rsidR="005A1DD3" w:rsidRPr="00AE4411">
        <w:t xml:space="preserve">to recognise early learning qualifications and staff who teach early learning in long day care settings </w:t>
      </w:r>
      <w:r w:rsidR="0051085A" w:rsidRPr="00AE4411">
        <w:t xml:space="preserve">in the same way </w:t>
      </w:r>
      <w:r w:rsidR="005A1DD3" w:rsidRPr="00AE4411">
        <w:t xml:space="preserve">that </w:t>
      </w:r>
      <w:r w:rsidR="0051085A" w:rsidRPr="00AE4411">
        <w:t>NSW has amended its framework. This role could also be extended to giv</w:t>
      </w:r>
      <w:r w:rsidR="005A1DD3" w:rsidRPr="00AE4411">
        <w:t>e</w:t>
      </w:r>
      <w:r w:rsidR="0051085A" w:rsidRPr="00AE4411">
        <w:t xml:space="preserve"> the Teacher Quality Institute responsibility </w:t>
      </w:r>
      <w:r w:rsidR="005A1DD3" w:rsidRPr="00AE4411">
        <w:t xml:space="preserve">for </w:t>
      </w:r>
      <w:r w:rsidR="0051085A" w:rsidRPr="00AE4411">
        <w:t>register</w:t>
      </w:r>
      <w:r w:rsidR="005A1DD3" w:rsidRPr="00AE4411">
        <w:t>ing</w:t>
      </w:r>
      <w:r w:rsidR="0051085A" w:rsidRPr="00AE4411">
        <w:t xml:space="preserve"> qualified ECEC teachers in the ACT</w:t>
      </w:r>
      <w:r w:rsidR="005A1DD3" w:rsidRPr="00AE4411">
        <w:t>.</w:t>
      </w:r>
    </w:p>
    <w:p w:rsidR="008D29D4" w:rsidRPr="00AE4411" w:rsidRDefault="008D29D4" w:rsidP="008D29D4">
      <w:pPr>
        <w:pStyle w:val="AccessibleBody"/>
      </w:pPr>
      <w:r w:rsidRPr="00AE4411">
        <w:t xml:space="preserve">The difficulties in attracting and retaining suitable workers flows through to the quality of services provided. A number of service providers at the 1 July </w:t>
      </w:r>
      <w:r w:rsidR="00C62A0F" w:rsidRPr="00AE4411">
        <w:t xml:space="preserve">2016 </w:t>
      </w:r>
      <w:r w:rsidR="008C1EAF" w:rsidRPr="00AE4411">
        <w:t>Forum</w:t>
      </w:r>
      <w:r w:rsidRPr="00AE4411">
        <w:t xml:space="preserve"> commented on the issues created when people entered the sector with no particular interest in or aptitude for ECEC, but because there was a lack of opportunities elsewhere in the economy.</w:t>
      </w:r>
    </w:p>
    <w:p w:rsidR="008D29D4" w:rsidRPr="00AE4411" w:rsidRDefault="008D29D4" w:rsidP="008D29D4">
      <w:pPr>
        <w:pStyle w:val="AccessibleBody"/>
      </w:pPr>
      <w:r w:rsidRPr="00AE4411">
        <w:t xml:space="preserve">A further issue was raised with the </w:t>
      </w:r>
      <w:r w:rsidR="00C62A0F" w:rsidRPr="00AE4411">
        <w:t xml:space="preserve">2016 </w:t>
      </w:r>
      <w:r w:rsidR="001135FA" w:rsidRPr="00AE4411">
        <w:t>Review</w:t>
      </w:r>
      <w:r w:rsidRPr="00AE4411">
        <w:t xml:space="preserve"> that ACT tertiary institutions require those studying to achieve early childhood and primary tertiary qualifications to complete their </w:t>
      </w:r>
      <w:r w:rsidRPr="00AE4411">
        <w:lastRenderedPageBreak/>
        <w:t xml:space="preserve">preschool practice at a Government school. Consequently, in some circumstances this placement requirement forces staff to either take leave away from their employers for an extended period of time or to leave their employer. </w:t>
      </w:r>
      <w:r w:rsidRPr="00736353">
        <w:t>There is room for additional work to consider the role of the ACT Government with regard to evidence of qualifications.</w:t>
      </w:r>
    </w:p>
    <w:p w:rsidR="008D29D4" w:rsidRPr="00AE4411" w:rsidRDefault="008D29D4" w:rsidP="00736353">
      <w:pPr>
        <w:pStyle w:val="AccessibleBody"/>
      </w:pPr>
      <w:r w:rsidRPr="00AE4411">
        <w:t xml:space="preserve">A comparison of the provisions of the ACT </w:t>
      </w:r>
      <w:r w:rsidRPr="00AE4411">
        <w:rPr>
          <w:i/>
        </w:rPr>
        <w:t>Teacher Quality Institute ACT 2010</w:t>
      </w:r>
      <w:r w:rsidRPr="00AE4411">
        <w:t xml:space="preserve"> and the </w:t>
      </w:r>
      <w:r w:rsidR="00C62A0F" w:rsidRPr="00AE4411">
        <w:t xml:space="preserve">commensurate Victorian and </w:t>
      </w:r>
      <w:r w:rsidRPr="00AE4411">
        <w:t xml:space="preserve">NSW </w:t>
      </w:r>
      <w:r w:rsidR="00C62A0F" w:rsidRPr="00AE4411">
        <w:t>laws</w:t>
      </w:r>
      <w:r w:rsidRPr="00AE4411">
        <w:t xml:space="preserve"> shows that </w:t>
      </w:r>
      <w:r w:rsidR="00C62A0F" w:rsidRPr="00AE4411">
        <w:t>Victoria and</w:t>
      </w:r>
      <w:r w:rsidR="0084434F">
        <w:t xml:space="preserve"> </w:t>
      </w:r>
      <w:r w:rsidRPr="00AE4411">
        <w:t>NSW</w:t>
      </w:r>
      <w:r w:rsidR="0084434F">
        <w:t xml:space="preserve"> </w:t>
      </w:r>
      <w:r w:rsidRPr="00AE4411">
        <w:t xml:space="preserve">recognise </w:t>
      </w:r>
      <w:r w:rsidR="00C62A0F" w:rsidRPr="00AE4411">
        <w:t xml:space="preserve">experience in </w:t>
      </w:r>
      <w:r w:rsidRPr="00AE4411">
        <w:t xml:space="preserve">r both schools and early childhood education </w:t>
      </w:r>
      <w:r w:rsidR="00C62A0F" w:rsidRPr="00AE4411">
        <w:t>services.</w:t>
      </w:r>
      <w:r w:rsidRPr="00AE4411">
        <w:t xml:space="preserve"> The ACT’s scheme, in contrast, </w:t>
      </w:r>
      <w:r w:rsidR="00C62A0F" w:rsidRPr="00AE4411">
        <w:t xml:space="preserve">only </w:t>
      </w:r>
      <w:r w:rsidRPr="00AE4411">
        <w:t xml:space="preserve">considers schools as established by the </w:t>
      </w:r>
      <w:r w:rsidRPr="00AE4411">
        <w:rPr>
          <w:i/>
        </w:rPr>
        <w:t>Education Act 2004</w:t>
      </w:r>
      <w:r w:rsidRPr="00AE4411">
        <w:t xml:space="preserve">. The clear difference in statutory provisions provides grounds to </w:t>
      </w:r>
      <w:r w:rsidR="001135FA" w:rsidRPr="00AE4411">
        <w:t>Review</w:t>
      </w:r>
      <w:r w:rsidRPr="00AE4411">
        <w:t xml:space="preserve"> the interaction of the ACT’s teacher accreditation law with the National Law to ensure that there is equal opportunity for students and providers.</w:t>
      </w:r>
    </w:p>
    <w:p w:rsidR="008D29D4" w:rsidRDefault="004B14CF" w:rsidP="00736353">
      <w:pPr>
        <w:pStyle w:val="AccessibleBody"/>
      </w:pPr>
      <w:r>
        <w:rPr>
          <w:noProof/>
          <w:lang w:eastAsia="en-AU"/>
        </w:rPr>
        <mc:AlternateContent>
          <mc:Choice Requires="wps">
            <w:drawing>
              <wp:anchor distT="91440" distB="91440" distL="114300" distR="114300" simplePos="0" relativeHeight="251665920" behindDoc="0" locked="0" layoutInCell="0" allowOverlap="1">
                <wp:simplePos x="0" y="0"/>
                <wp:positionH relativeFrom="margin">
                  <wp:posOffset>-64770</wp:posOffset>
                </wp:positionH>
                <wp:positionV relativeFrom="margin">
                  <wp:posOffset>3587115</wp:posOffset>
                </wp:positionV>
                <wp:extent cx="5913120" cy="1677670"/>
                <wp:effectExtent l="11430" t="15240" r="9525" b="12065"/>
                <wp:wrapSquare wrapText="bothSides"/>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13120" cy="167767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E0AC1" w:rsidRPr="00736353" w:rsidRDefault="007E0AC1" w:rsidP="00E7559A">
                            <w:pPr>
                              <w:rPr>
                                <w:sz w:val="24"/>
                                <w:szCs w:val="24"/>
                              </w:rPr>
                            </w:pPr>
                            <w:r w:rsidRPr="00736353">
                              <w:rPr>
                                <w:sz w:val="24"/>
                                <w:szCs w:val="24"/>
                              </w:rPr>
                              <w:t>ISSUES</w:t>
                            </w:r>
                          </w:p>
                          <w:p w:rsidR="007E0AC1" w:rsidRPr="00736353" w:rsidRDefault="007E0AC1" w:rsidP="00E7559A">
                            <w:pPr>
                              <w:rPr>
                                <w:sz w:val="24"/>
                                <w:szCs w:val="24"/>
                              </w:rPr>
                            </w:pPr>
                            <w:r>
                              <w:rPr>
                                <w:sz w:val="24"/>
                                <w:szCs w:val="24"/>
                              </w:rPr>
                              <w:t>There are opportunities to improve professional recognition of tertiary qualifications in the ECEC sector. There is also an opportunity to re-examine what constitutes best practice delivery of Cert III and Diploma qualifications.</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14" o:spid="_x0000_s1031" style="position:absolute;margin-left:-5.1pt;margin-top:282.45pt;width:465.6pt;height:132.1pt;flip:x;z-index:2516659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" o:allowincell="f" filled="f" fillcolor="black [3213]" strokecolor="black [3213]" strokeweight="1.5pt">
                <v:shadow color="#f79646 [3209]" opacity=".5" offset="-15pt,0"/>
                <v:textbox style="mso-fit-shape-to-text:t" inset="21.6pt,21.6pt,21.6pt,21.6pt">
                  <w:txbxContent>
                    <w:p w:rsidR="007E0AC1" w:rsidRPr="00736353" w:rsidRDefault="007E0AC1" w:rsidP="00E7559A">
                      <w:pPr>
                        <w:rPr>
                          <w:sz w:val="24"/>
                          <w:szCs w:val="24"/>
                        </w:rPr>
                      </w:pPr>
                      <w:r w:rsidRPr="00736353">
                        <w:rPr>
                          <w:sz w:val="24"/>
                          <w:szCs w:val="24"/>
                        </w:rPr>
                        <w:t>ISSUES</w:t>
                      </w:r>
                    </w:p>
                    <w:p w:rsidR="007E0AC1" w:rsidRPr="00736353" w:rsidRDefault="007E0AC1" w:rsidP="00E7559A">
                      <w:pPr>
                        <w:rPr>
                          <w:sz w:val="24"/>
                          <w:szCs w:val="24"/>
                        </w:rPr>
                      </w:pPr>
                      <w:r>
                        <w:rPr>
                          <w:sz w:val="24"/>
                          <w:szCs w:val="24"/>
                        </w:rPr>
                        <w:t>There are opportunities to improve professional recognition of tertiary qualifications in the ECEC sector. There is also an opportunity to re-examine what constitutes best practice delivery of Cert III and Diploma qualifications.</w:t>
                      </w:r>
                    </w:p>
                  </w:txbxContent>
                </v:textbox>
                <w10:wrap type="square" anchorx="margin" anchory="margin"/>
              </v:rect>
            </w:pict>
          </mc:Fallback>
        </mc:AlternateContent>
      </w:r>
      <w:r w:rsidR="008D29D4" w:rsidRPr="00AE4411">
        <w:t>Anecdotal evidence has indicated a professional preference for child care staff to pursue tertiary qualifications over Certificate and Diploma qualifications. Once these child care workers enter the tertiary stream it is widely perceived that their aim becomes to enter the school system due to an increase in earning capacity.</w:t>
      </w:r>
    </w:p>
    <w:p w:rsidR="00207A47" w:rsidRPr="00AE4411" w:rsidRDefault="00207A47" w:rsidP="008D29D4">
      <w:pPr>
        <w:pStyle w:val="AccessibleBody"/>
      </w:pPr>
    </w:p>
    <w:p w:rsidR="009259A2" w:rsidRPr="00AE4411" w:rsidRDefault="009259A2" w:rsidP="008D29D4">
      <w:pPr>
        <w:pStyle w:val="AccessibleBody"/>
        <w:sectPr w:rsidR="009259A2" w:rsidRPr="00AE4411" w:rsidSect="004D0A6D">
          <w:pgSz w:w="11906" w:h="16838"/>
          <w:pgMar w:top="1440" w:right="1440" w:bottom="1276" w:left="1440"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p>
    <w:p w:rsidR="008D29D4" w:rsidRPr="00AE4411" w:rsidRDefault="00FC06B0" w:rsidP="001E5AA4">
      <w:pPr>
        <w:pStyle w:val="PolicyHeading2-Accessible"/>
      </w:pPr>
      <w:bookmarkStart w:id="43" w:name="_Toc509497656"/>
      <w:r w:rsidRPr="00AE4411">
        <w:lastRenderedPageBreak/>
        <w:t>Other f</w:t>
      </w:r>
      <w:r w:rsidR="008D29D4" w:rsidRPr="00AE4411">
        <w:t xml:space="preserve">actors </w:t>
      </w:r>
      <w:r w:rsidRPr="00AE4411">
        <w:t xml:space="preserve">that interact with </w:t>
      </w:r>
      <w:r w:rsidR="008D29D4" w:rsidRPr="00AE4411">
        <w:t xml:space="preserve">cost </w:t>
      </w:r>
      <w:r w:rsidR="00D20D37" w:rsidRPr="00AE4411">
        <w:t xml:space="preserve">and quality </w:t>
      </w:r>
      <w:r w:rsidR="008D29D4" w:rsidRPr="00AE4411">
        <w:t>of</w:t>
      </w:r>
      <w:r w:rsidR="007E16D8" w:rsidRPr="00AE4411">
        <w:t xml:space="preserve"> ECEC</w:t>
      </w:r>
      <w:r w:rsidR="008D29D4" w:rsidRPr="00AE4411">
        <w:t xml:space="preserve"> services</w:t>
      </w:r>
      <w:r w:rsidR="007E16D8" w:rsidRPr="00AE4411">
        <w:t xml:space="preserve"> in the ACT</w:t>
      </w:r>
      <w:bookmarkEnd w:id="43"/>
    </w:p>
    <w:p w:rsidR="007E16D8" w:rsidRPr="00AE4411" w:rsidRDefault="007E16D8" w:rsidP="007E16D8">
      <w:pPr>
        <w:pStyle w:val="AccessibleBody"/>
      </w:pPr>
      <w:r w:rsidRPr="00AE4411">
        <w:t xml:space="preserve">The high cost of ECEC services in the ACT, when compared with other jurisdictions, </w:t>
      </w:r>
      <w:r w:rsidR="00977B53" w:rsidRPr="00AE4411">
        <w:t xml:space="preserve">along with </w:t>
      </w:r>
      <w:r w:rsidR="00977B53" w:rsidRPr="00AE4411">
        <w:rPr>
          <w:szCs w:val="24"/>
        </w:rPr>
        <w:t xml:space="preserve">the lowest proportion of qualified workers nationally, are </w:t>
      </w:r>
      <w:r w:rsidR="00A939C0" w:rsidRPr="00AE4411">
        <w:rPr>
          <w:szCs w:val="24"/>
        </w:rPr>
        <w:t xml:space="preserve">likely </w:t>
      </w:r>
      <w:r w:rsidR="00977B53" w:rsidRPr="00AE4411">
        <w:rPr>
          <w:szCs w:val="24"/>
        </w:rPr>
        <w:t>both</w:t>
      </w:r>
      <w:r w:rsidRPr="00AE4411">
        <w:t xml:space="preserve"> due to the complex interaction</w:t>
      </w:r>
      <w:r w:rsidR="00977B53" w:rsidRPr="00AE4411">
        <w:t xml:space="preserve"> between a</w:t>
      </w:r>
      <w:r w:rsidRPr="00AE4411">
        <w:t xml:space="preserve"> shortage of suitable workers, the historical structure of the sector in the ACT</w:t>
      </w:r>
      <w:r w:rsidR="00FD2793" w:rsidRPr="00AE4411">
        <w:t xml:space="preserve"> </w:t>
      </w:r>
      <w:r w:rsidRPr="00AE4411">
        <w:t>and through the interaction of the ECEC sector and the ACT G</w:t>
      </w:r>
      <w:r w:rsidR="00977B53" w:rsidRPr="00AE4411">
        <w:t>overnment’s preschool service. These factors exist in an environment where the size of the sector has been changing rapidly, as has been the community’s expectation of ECEC services, driven in part by the</w:t>
      </w:r>
      <w:r w:rsidR="00FD2793" w:rsidRPr="00AE4411">
        <w:t xml:space="preserve"> introduction of the</w:t>
      </w:r>
      <w:r w:rsidR="00977B53" w:rsidRPr="00AE4411">
        <w:t xml:space="preserve"> National Quality Framework.</w:t>
      </w:r>
    </w:p>
    <w:p w:rsidR="007E16D8" w:rsidRPr="00AE4411" w:rsidRDefault="007E16D8" w:rsidP="007E16D8">
      <w:pPr>
        <w:pStyle w:val="AccessibleBody"/>
      </w:pPr>
      <w:r w:rsidRPr="00AE4411">
        <w:t xml:space="preserve">Additional factors that contribute </w:t>
      </w:r>
      <w:r w:rsidR="00977B53" w:rsidRPr="00AE4411">
        <w:t xml:space="preserve">to the current situation </w:t>
      </w:r>
      <w:r w:rsidRPr="00AE4411">
        <w:t>is the relatively even social distribution of the ACT population, particularly of disadvantaged families,</w:t>
      </w:r>
      <w:r w:rsidR="00D5385F" w:rsidRPr="00AE4411">
        <w:t xml:space="preserve"> geographical spread and concentration of services and related consumer preferences,</w:t>
      </w:r>
      <w:r w:rsidRPr="00AE4411">
        <w:t xml:space="preserve"> and a view that the ACT has a ‘naturally’ high cost structure and that high prices</w:t>
      </w:r>
      <w:r w:rsidR="00977B53" w:rsidRPr="00AE4411">
        <w:t xml:space="preserve"> for services</w:t>
      </w:r>
      <w:r w:rsidRPr="00AE4411">
        <w:t xml:space="preserve"> are to be expected.</w:t>
      </w:r>
    </w:p>
    <w:p w:rsidR="00AD0163" w:rsidRPr="00AE4411" w:rsidRDefault="00AD0163" w:rsidP="007E16D8">
      <w:pPr>
        <w:pStyle w:val="AccessibleBody"/>
      </w:pPr>
      <w:r w:rsidRPr="00AE4411">
        <w:t>The key input costs for services relate to staff wages and both the initial and ongoing costs of infrastructure.</w:t>
      </w:r>
      <w:r w:rsidR="00BB394F">
        <w:t xml:space="preserve"> </w:t>
      </w:r>
      <w:r w:rsidR="006C29F4" w:rsidRPr="00AE4411">
        <w:t xml:space="preserve">The choice of approach to wages and infrastructure providers and services use is also connected to the historical </w:t>
      </w:r>
      <w:r w:rsidR="00AD0BAB" w:rsidRPr="00AE4411">
        <w:t xml:space="preserve">layers </w:t>
      </w:r>
      <w:r w:rsidR="006C29F4" w:rsidRPr="00AE4411">
        <w:t>of the sector</w:t>
      </w:r>
      <w:r w:rsidR="00AD0BAB" w:rsidRPr="00AE4411">
        <w:t xml:space="preserve">, as well as </w:t>
      </w:r>
      <w:r w:rsidR="006C29F4" w:rsidRPr="00AE4411">
        <w:t>physical location</w:t>
      </w:r>
      <w:r w:rsidR="00AD0BAB" w:rsidRPr="00AE4411">
        <w:t xml:space="preserve"> of services</w:t>
      </w:r>
      <w:r w:rsidR="006C29F4" w:rsidRPr="00AE4411">
        <w:t>.</w:t>
      </w:r>
    </w:p>
    <w:p w:rsidR="00841FED" w:rsidRPr="00AE4411" w:rsidRDefault="00FD2793" w:rsidP="00841FED">
      <w:pPr>
        <w:pStyle w:val="AccessibleBody"/>
      </w:pPr>
      <w:r w:rsidRPr="00AE4411">
        <w:t xml:space="preserve">The </w:t>
      </w:r>
      <w:r w:rsidR="001135FA" w:rsidRPr="00AE4411">
        <w:t>Review</w:t>
      </w:r>
      <w:r w:rsidRPr="00AE4411">
        <w:t xml:space="preserve"> was of the view that the</w:t>
      </w:r>
      <w:r w:rsidR="007E16D8" w:rsidRPr="00AE4411">
        <w:t xml:space="preserve"> high </w:t>
      </w:r>
      <w:r w:rsidR="00677D8D" w:rsidRPr="00AE4411">
        <w:t xml:space="preserve">price </w:t>
      </w:r>
      <w:r w:rsidR="007E16D8" w:rsidRPr="00AE4411">
        <w:t xml:space="preserve">of ECEC services in the ACT is the biggest single barrier to more children accessing the services. This is particularly the case for children excluded by price, and who are the very cohort likely to benefit the most from access to structured early childhood education. </w:t>
      </w:r>
    </w:p>
    <w:p w:rsidR="007E16D8" w:rsidRPr="00AE4411" w:rsidRDefault="00D5385F" w:rsidP="00BB394F">
      <w:pPr>
        <w:pStyle w:val="AccessibleBody"/>
      </w:pPr>
      <w:r w:rsidRPr="00BB394F">
        <w:t xml:space="preserve">Earlier sections in this </w:t>
      </w:r>
      <w:r w:rsidR="00AD0BAB" w:rsidRPr="00BB394F">
        <w:t>paper</w:t>
      </w:r>
      <w:r w:rsidRPr="00BB394F">
        <w:t xml:space="preserve"> separated out the various factors that impact on the cost and quality of services in the ACT and examined their nature and contribution to the overall outcome for ECEC services in the ACT. </w:t>
      </w:r>
      <w:r w:rsidR="007E16D8" w:rsidRPr="00AE4411">
        <w:t xml:space="preserve">The </w:t>
      </w:r>
      <w:r w:rsidR="00AD0BAB" w:rsidRPr="00AE4411">
        <w:t xml:space="preserve">2016 </w:t>
      </w:r>
      <w:r w:rsidR="001135FA" w:rsidRPr="00AE4411">
        <w:t>Review</w:t>
      </w:r>
      <w:r w:rsidR="007E16D8" w:rsidRPr="00AE4411">
        <w:t xml:space="preserve"> explored the reasons for the high cost of ECEC services in the ACT, relative to other jurisdictions.</w:t>
      </w:r>
      <w:r w:rsidR="00BB394F">
        <w:t xml:space="preserve"> Further analysis is required </w:t>
      </w:r>
      <w:r w:rsidR="00677D8D" w:rsidRPr="00AE4411">
        <w:t>however some useful observations can be made.</w:t>
      </w:r>
    </w:p>
    <w:p w:rsidR="00F315E7" w:rsidRPr="00AE4411" w:rsidRDefault="00403158" w:rsidP="00841FED">
      <w:pPr>
        <w:pStyle w:val="PolicyHeading3-Accessible"/>
      </w:pPr>
      <w:bookmarkStart w:id="44" w:name="_Toc509497657"/>
      <w:r w:rsidRPr="00AE4411">
        <w:t xml:space="preserve">Government </w:t>
      </w:r>
      <w:r w:rsidR="00C97449" w:rsidRPr="00AE4411">
        <w:t>support</w:t>
      </w:r>
      <w:r w:rsidRPr="00AE4411">
        <w:t xml:space="preserve"> and changes in demand or need</w:t>
      </w:r>
      <w:bookmarkEnd w:id="44"/>
    </w:p>
    <w:p w:rsidR="00F41505" w:rsidRPr="00AE4411" w:rsidRDefault="00403158" w:rsidP="00BB394F">
      <w:pPr>
        <w:pStyle w:val="AccessibleBody"/>
      </w:pPr>
      <w:r w:rsidRPr="00AE4411">
        <w:t>In 2012</w:t>
      </w:r>
      <w:r w:rsidR="00AD0BAB" w:rsidRPr="00AE4411">
        <w:t xml:space="preserve"> </w:t>
      </w:r>
      <w:r w:rsidR="00F41505" w:rsidRPr="00AE4411">
        <w:t>the ACT Government invested in early childhood education and care to support the sector to address an under supply of places and the introduction of the Education and Care Services National Law.</w:t>
      </w:r>
      <w:r w:rsidR="00BB394F">
        <w:t xml:space="preserve"> </w:t>
      </w:r>
      <w:r w:rsidR="00F41505" w:rsidRPr="00AE4411">
        <w:t>The National Law essentially remodelled the regulatory framework of all State and Territory regulators into one Federal model.</w:t>
      </w:r>
      <w:r w:rsidR="00BB394F">
        <w:t xml:space="preserve"> </w:t>
      </w:r>
      <w:r w:rsidR="00F41505" w:rsidRPr="00AE4411">
        <w:t>At the same time, the ACT was experiencing high demand for long day care places.</w:t>
      </w:r>
    </w:p>
    <w:p w:rsidR="00F41505" w:rsidRPr="00AE4411" w:rsidRDefault="00F41505" w:rsidP="00BB394F">
      <w:pPr>
        <w:pStyle w:val="AccessibleBody"/>
      </w:pPr>
      <w:r w:rsidRPr="00AE4411">
        <w:lastRenderedPageBreak/>
        <w:t xml:space="preserve">The ACT Government’s 2012 </w:t>
      </w:r>
      <w:r w:rsidR="00995B6D" w:rsidRPr="00AE4411">
        <w:rPr>
          <w:i/>
        </w:rPr>
        <w:t>Delivering Quality Early Childhood Education and Care</w:t>
      </w:r>
      <w:r w:rsidRPr="00AE4411">
        <w:t xml:space="preserve"> supported the sector with $15.2 million worth of capital upgrades of government properties used by Government and non-government services.</w:t>
      </w:r>
      <w:r w:rsidR="0084434F">
        <w:t xml:space="preserve"> </w:t>
      </w:r>
      <w:r w:rsidRPr="00AE4411">
        <w:t>A component of this money was also available as infrastructure grants to all services to meet the National Quality Framework.</w:t>
      </w:r>
    </w:p>
    <w:p w:rsidR="00FB0B5C" w:rsidRPr="00AE4411" w:rsidRDefault="00BB394F" w:rsidP="00BB394F">
      <w:pPr>
        <w:pStyle w:val="AccessibleBody"/>
      </w:pPr>
      <w:r>
        <w:t xml:space="preserve">There </w:t>
      </w:r>
      <w:r w:rsidR="00FB0B5C" w:rsidRPr="00AE4411">
        <w:t>are three tiers of rent the ACT Government charges for this infrastructure: zero rent, a community based rent and full profit rent.</w:t>
      </w:r>
      <w:r>
        <w:t xml:space="preserve"> </w:t>
      </w:r>
      <w:r w:rsidR="00FB0B5C" w:rsidRPr="00AE4411">
        <w:t>At the beginning of 2017</w:t>
      </w:r>
      <w:r w:rsidR="00610815" w:rsidRPr="00AE4411">
        <w:t>,</w:t>
      </w:r>
      <w:r w:rsidR="00FB0B5C" w:rsidRPr="00AE4411">
        <w:t xml:space="preserve"> 31 non-government services operated in Territory o</w:t>
      </w:r>
      <w:r>
        <w:t xml:space="preserve">wned facilities for zero rent. 9 </w:t>
      </w:r>
      <w:r w:rsidR="00FB0B5C" w:rsidRPr="00AE4411">
        <w:t xml:space="preserve">services are charged a community based rent, and 5 services are charged at </w:t>
      </w:r>
      <w:r w:rsidR="00610815" w:rsidRPr="00AE4411">
        <w:t>commercial rates.</w:t>
      </w:r>
    </w:p>
    <w:p w:rsidR="00610815" w:rsidRPr="00AE4411" w:rsidRDefault="00610815" w:rsidP="00BB394F">
      <w:pPr>
        <w:pStyle w:val="AccessibleBody"/>
      </w:pPr>
      <w:r w:rsidRPr="00AE4411">
        <w:t>In 2012 the Government’s focus was to ensure growing demand was met and at the time adopted an approach to rent on non-school sites that effectively sub</w:t>
      </w:r>
      <w:r w:rsidR="00BB394F">
        <w:t>sidised long day care services.</w:t>
      </w:r>
      <w:r w:rsidRPr="00AE4411">
        <w:t xml:space="preserve"> While this approach supported the provision of services, a long-term approach to the use of th</w:t>
      </w:r>
      <w:r w:rsidR="00BB394F">
        <w:t>is resource was not considered.</w:t>
      </w:r>
      <w:r w:rsidRPr="00AE4411">
        <w:t xml:space="preserve"> For example, the effect of this subsidy is that it is not available to the sector across the board at all times, nor is it linked to obligations for</w:t>
      </w:r>
      <w:r w:rsidR="0084434F">
        <w:t xml:space="preserve"> </w:t>
      </w:r>
      <w:r w:rsidRPr="00AE4411">
        <w:t>lower fees or increased access.</w:t>
      </w:r>
    </w:p>
    <w:p w:rsidR="00FB0B5C" w:rsidRPr="00AE4411" w:rsidRDefault="00610815" w:rsidP="00BB394F">
      <w:pPr>
        <w:pStyle w:val="AccessibleBody"/>
      </w:pPr>
      <w:r w:rsidRPr="00AE4411">
        <w:t xml:space="preserve">However, </w:t>
      </w:r>
      <w:r w:rsidR="007D7F9D" w:rsidRPr="00AE4411">
        <w:t xml:space="preserve">5 of the 31 services offer a daily cost at below, or in, the lowest quintile. 8 services offer a daily cost </w:t>
      </w:r>
      <w:r w:rsidR="00BB394F">
        <w:t xml:space="preserve">in the second lowest quintile. </w:t>
      </w:r>
      <w:r w:rsidR="007D7F9D" w:rsidRPr="00AE4411">
        <w:t>15 services offer a daily co</w:t>
      </w:r>
      <w:r w:rsidR="00BB394F">
        <w:t xml:space="preserve">st in the mid-quintile and two </w:t>
      </w:r>
      <w:r w:rsidR="007D7F9D" w:rsidRPr="00AE4411">
        <w:t>services offers a daily cost i</w:t>
      </w:r>
      <w:r w:rsidR="00BB394F">
        <w:t xml:space="preserve">n the second highest quintile. </w:t>
      </w:r>
      <w:r w:rsidR="007D7F9D" w:rsidRPr="00AE4411">
        <w:t>One services d</w:t>
      </w:r>
      <w:r w:rsidR="00BB394F">
        <w:t xml:space="preserve">aily costs are unknown. (See </w:t>
      </w:r>
      <w:r w:rsidR="00BB394F" w:rsidRPr="009646EC">
        <w:rPr>
          <w:b/>
        </w:rPr>
        <w:t>Figure 7</w:t>
      </w:r>
      <w:r w:rsidR="007D7F9D" w:rsidRPr="009646EC">
        <w:rPr>
          <w:b/>
        </w:rPr>
        <w:t xml:space="preserve"> </w:t>
      </w:r>
      <w:r w:rsidR="007D7F9D" w:rsidRPr="00AE4411">
        <w:t>for quintiles</w:t>
      </w:r>
      <w:r w:rsidR="00BB394F">
        <w:t>.)</w:t>
      </w:r>
    </w:p>
    <w:p w:rsidR="00F315E7" w:rsidRPr="00AE4411" w:rsidRDefault="007D7F9D" w:rsidP="009646EC">
      <w:pPr>
        <w:pStyle w:val="AccessibleBody"/>
      </w:pPr>
      <w:r w:rsidRPr="00AE4411">
        <w:t>S</w:t>
      </w:r>
      <w:r w:rsidR="00F315E7" w:rsidRPr="00AE4411">
        <w:t xml:space="preserve">ervices </w:t>
      </w:r>
      <w:r w:rsidRPr="00AE4411">
        <w:t xml:space="preserve">operating from Government properties </w:t>
      </w:r>
      <w:r w:rsidR="00F315E7" w:rsidRPr="00AE4411">
        <w:t xml:space="preserve">are responsible for the maintenance of these facilities which can be relatively old. </w:t>
      </w:r>
      <w:r w:rsidR="009646EC">
        <w:t xml:space="preserve">The total value of the </w:t>
      </w:r>
      <w:r w:rsidR="00F315E7" w:rsidRPr="009646EC">
        <w:t xml:space="preserve">rental benefit </w:t>
      </w:r>
      <w:r w:rsidRPr="009646EC">
        <w:t xml:space="preserve">was </w:t>
      </w:r>
      <w:r w:rsidR="00F315E7" w:rsidRPr="009646EC">
        <w:t>calculated a</w:t>
      </w:r>
      <w:r w:rsidRPr="009646EC">
        <w:t xml:space="preserve">s </w:t>
      </w:r>
      <w:r w:rsidR="00F315E7" w:rsidRPr="009646EC">
        <w:t>being worth $1.89m per year</w:t>
      </w:r>
      <w:r w:rsidRPr="009646EC">
        <w:t xml:space="preserve"> </w:t>
      </w:r>
      <w:r w:rsidR="001C3AB4" w:rsidRPr="009646EC">
        <w:t>in 2016 dollars</w:t>
      </w:r>
      <w:r w:rsidR="00F315E7" w:rsidRPr="009646EC">
        <w:t>.</w:t>
      </w:r>
      <w:r w:rsidR="00F315E7" w:rsidRPr="000B57F0">
        <w:rPr>
          <w:vertAlign w:val="superscript"/>
        </w:rPr>
        <w:footnoteReference w:id="19"/>
      </w:r>
      <w:r w:rsidR="00F315E7" w:rsidRPr="000B57F0">
        <w:rPr>
          <w:vertAlign w:val="superscript"/>
        </w:rPr>
        <w:t xml:space="preserve"> </w:t>
      </w:r>
    </w:p>
    <w:p w:rsidR="00F315E7" w:rsidRPr="00AE4411" w:rsidRDefault="00F315E7" w:rsidP="009646EC">
      <w:pPr>
        <w:pStyle w:val="AccessibleBody"/>
      </w:pPr>
      <w:r w:rsidRPr="00AE4411">
        <w:t xml:space="preserve">It should be noted, </w:t>
      </w:r>
      <w:r w:rsidR="001C3AB4" w:rsidRPr="00AE4411">
        <w:t xml:space="preserve">that </w:t>
      </w:r>
      <w:r w:rsidRPr="00AE4411">
        <w:t>the licence arrangements that support these tenancies generally require the lessee to pay for the cost of maintaining the premises. Given the variation in the ages of these facilities the cost of maintenance can also vary considerably.</w:t>
      </w:r>
    </w:p>
    <w:p w:rsidR="009A1D06" w:rsidRPr="00AE4411" w:rsidRDefault="00A61AAA" w:rsidP="00841FED">
      <w:pPr>
        <w:pStyle w:val="PolicyHeading4-Accessible"/>
      </w:pPr>
      <w:bookmarkStart w:id="45" w:name="_Toc509497658"/>
      <w:r w:rsidRPr="00AE4411">
        <w:t>Variable</w:t>
      </w:r>
      <w:r w:rsidR="0084434F">
        <w:t xml:space="preserve"> </w:t>
      </w:r>
      <w:r w:rsidR="0046600E" w:rsidRPr="00AE4411">
        <w:t>pressure</w:t>
      </w:r>
      <w:r w:rsidRPr="00AE4411">
        <w:t>s</w:t>
      </w:r>
      <w:r w:rsidR="0046600E" w:rsidRPr="00AE4411">
        <w:t xml:space="preserve"> on price</w:t>
      </w:r>
      <w:bookmarkEnd w:id="45"/>
    </w:p>
    <w:p w:rsidR="009A1D06" w:rsidRPr="00AE4411" w:rsidRDefault="00A61AAA" w:rsidP="009646EC">
      <w:pPr>
        <w:pStyle w:val="AccessibleBody"/>
      </w:pPr>
      <w:r w:rsidRPr="00AE4411">
        <w:t xml:space="preserve">Some </w:t>
      </w:r>
      <w:r w:rsidR="009A1D06" w:rsidRPr="00AE4411">
        <w:t xml:space="preserve">community sector not-for-profit providers </w:t>
      </w:r>
      <w:r w:rsidR="00535228" w:rsidRPr="00AE4411">
        <w:t>use a model that applies their surplus income from early childhood education and care to other community services.</w:t>
      </w:r>
      <w:r w:rsidR="009646EC">
        <w:t xml:space="preserve"> </w:t>
      </w:r>
      <w:r w:rsidR="009A1D06" w:rsidRPr="00AE4411">
        <w:t xml:space="preserve">This </w:t>
      </w:r>
      <w:r w:rsidR="00535228" w:rsidRPr="00AE4411">
        <w:t xml:space="preserve">type of </w:t>
      </w:r>
      <w:r w:rsidR="009A1D06" w:rsidRPr="00AE4411">
        <w:t xml:space="preserve">model </w:t>
      </w:r>
      <w:r w:rsidR="00535228" w:rsidRPr="00AE4411">
        <w:t xml:space="preserve">applies </w:t>
      </w:r>
      <w:r w:rsidR="009A1D06" w:rsidRPr="00AE4411">
        <w:t xml:space="preserve">market rates </w:t>
      </w:r>
      <w:r w:rsidR="00535228" w:rsidRPr="00AE4411">
        <w:t xml:space="preserve">for </w:t>
      </w:r>
      <w:r w:rsidR="009A1D06" w:rsidRPr="00AE4411">
        <w:t xml:space="preserve">ECEC services. The resulting surpluses are then redistributed according to the provisions of the articles of association that govern the operations of these entities. In practice, surpluses are directed to </w:t>
      </w:r>
      <w:r w:rsidR="00535228" w:rsidRPr="00AE4411">
        <w:t xml:space="preserve">other community services within their organisation that assist </w:t>
      </w:r>
      <w:r w:rsidR="009A1D06" w:rsidRPr="00AE4411">
        <w:t>ot</w:t>
      </w:r>
      <w:r w:rsidR="00EE51A4" w:rsidRPr="00AE4411">
        <w:t>her parts of the ACT community.</w:t>
      </w:r>
    </w:p>
    <w:p w:rsidR="00EE51A4" w:rsidRPr="00AE4411" w:rsidRDefault="000917EF" w:rsidP="009646EC">
      <w:pPr>
        <w:pStyle w:val="AccessibleBody"/>
      </w:pPr>
      <w:r w:rsidRPr="00AE4411">
        <w:lastRenderedPageBreak/>
        <w:t xml:space="preserve">It is an accepted model that enables </w:t>
      </w:r>
      <w:r w:rsidR="00EE51A4" w:rsidRPr="00AE4411">
        <w:t xml:space="preserve">redirected surpluses </w:t>
      </w:r>
      <w:r w:rsidRPr="00AE4411">
        <w:t xml:space="preserve">to be </w:t>
      </w:r>
      <w:r w:rsidR="00EE51A4" w:rsidRPr="00AE4411">
        <w:t xml:space="preserve">used to improve social outcomes elsewhere in the ACT. However, </w:t>
      </w:r>
      <w:r w:rsidR="00A47DBA" w:rsidRPr="00AE4411">
        <w:t>this practice engages a number of issues that warrant deliberate consideration by government</w:t>
      </w:r>
      <w:r w:rsidRPr="00AE4411">
        <w:t xml:space="preserve"> and the community</w:t>
      </w:r>
      <w:r w:rsidR="00EE51A4" w:rsidRPr="00AE4411">
        <w:t>:</w:t>
      </w:r>
    </w:p>
    <w:p w:rsidR="00EE51A4" w:rsidRPr="00AE4411" w:rsidRDefault="00EE51A4" w:rsidP="00421DCC">
      <w:pPr>
        <w:pStyle w:val="AccessibleBody"/>
        <w:numPr>
          <w:ilvl w:val="0"/>
          <w:numId w:val="9"/>
        </w:numPr>
      </w:pPr>
      <w:r w:rsidRPr="00AE4411">
        <w:t xml:space="preserve">Competition policy –whereby some service providers are treated differently dependent on the tax </w:t>
      </w:r>
      <w:r w:rsidR="009646EC">
        <w:t>status of the entities involved.</w:t>
      </w:r>
    </w:p>
    <w:p w:rsidR="00EE51A4" w:rsidRPr="00AE4411" w:rsidRDefault="00EE51A4" w:rsidP="00421DCC">
      <w:pPr>
        <w:pStyle w:val="AccessibleBody"/>
        <w:numPr>
          <w:ilvl w:val="0"/>
          <w:numId w:val="9"/>
        </w:numPr>
      </w:pPr>
      <w:r w:rsidRPr="00AE4411">
        <w:t>Opportunity competition – whereby the redirection of surpluses derived from favourable government treatment may not be the most effective use of those resources</w:t>
      </w:r>
      <w:r w:rsidR="00D77888" w:rsidRPr="00AE4411">
        <w:t xml:space="preserve"> from a whole of society perspective</w:t>
      </w:r>
      <w:r w:rsidR="009646EC">
        <w:t>.</w:t>
      </w:r>
    </w:p>
    <w:p w:rsidR="00EE51A4" w:rsidRPr="00AE4411" w:rsidRDefault="00EE51A4" w:rsidP="00421DCC">
      <w:pPr>
        <w:pStyle w:val="AccessibleBody"/>
        <w:numPr>
          <w:ilvl w:val="0"/>
          <w:numId w:val="9"/>
        </w:numPr>
      </w:pPr>
      <w:r w:rsidRPr="00AE4411">
        <w:t xml:space="preserve">Opportunity dissipation – whereby the surplus benefits derived from favourable government treatment are </w:t>
      </w:r>
      <w:r w:rsidR="004443CF" w:rsidRPr="00AE4411">
        <w:t>eroded</w:t>
      </w:r>
      <w:r w:rsidRPr="00AE4411">
        <w:t xml:space="preserve"> </w:t>
      </w:r>
      <w:r w:rsidR="00D77888" w:rsidRPr="00AE4411">
        <w:t>due to inefficiencies that arise from reduced competitive pressure.</w:t>
      </w:r>
    </w:p>
    <w:p w:rsidR="00D77888" w:rsidRPr="00AE4411" w:rsidRDefault="00D77888" w:rsidP="009646EC">
      <w:pPr>
        <w:pStyle w:val="AccessibleBody"/>
      </w:pPr>
      <w:r w:rsidRPr="00AE4411">
        <w:t>Th</w:t>
      </w:r>
      <w:r w:rsidR="00236FB1" w:rsidRPr="00AE4411">
        <w:t xml:space="preserve">is issue also relates to </w:t>
      </w:r>
      <w:r w:rsidR="00EE51A4" w:rsidRPr="00AE4411">
        <w:t>considerable differences</w:t>
      </w:r>
      <w:r w:rsidRPr="00AE4411">
        <w:t xml:space="preserve"> in salaries paid</w:t>
      </w:r>
      <w:r w:rsidR="00EE51A4" w:rsidRPr="00AE4411">
        <w:t xml:space="preserve"> </w:t>
      </w:r>
      <w:r w:rsidR="00236FB1" w:rsidRPr="00AE4411">
        <w:t xml:space="preserve">by </w:t>
      </w:r>
      <w:r w:rsidR="00EE51A4" w:rsidRPr="00AE4411">
        <w:t xml:space="preserve">different sector categories, as shown in </w:t>
      </w:r>
      <w:r w:rsidR="00EE51A4" w:rsidRPr="00AE4411">
        <w:rPr>
          <w:b/>
        </w:rPr>
        <w:t xml:space="preserve">Figure </w:t>
      </w:r>
      <w:r w:rsidR="009259A2" w:rsidRPr="00AE4411">
        <w:rPr>
          <w:b/>
        </w:rPr>
        <w:t>15</w:t>
      </w:r>
      <w:r w:rsidR="00EE51A4" w:rsidRPr="00AE4411">
        <w:t xml:space="preserve"> below</w:t>
      </w:r>
      <w:r w:rsidR="00D065C6" w:rsidRPr="00AE4411">
        <w:rPr>
          <w:rStyle w:val="FootnoteReference"/>
        </w:rPr>
        <w:footnoteReference w:id="20"/>
      </w:r>
      <w:r w:rsidR="00EE51A4" w:rsidRPr="00AE4411">
        <w:t xml:space="preserve">. The for-profit category pays the lowest salaries and, when assessed against the distribution of workers across Award categories, indicates that the for-profit sector, representing approximately 1/3 of total sector capacity, pays close to the </w:t>
      </w:r>
      <w:r w:rsidRPr="00AE4411">
        <w:t xml:space="preserve">rates specified in the </w:t>
      </w:r>
      <w:r w:rsidRPr="00AE4411">
        <w:rPr>
          <w:i/>
        </w:rPr>
        <w:t xml:space="preserve">Children’s Services </w:t>
      </w:r>
      <w:r w:rsidR="00EE51A4" w:rsidRPr="00AE4411">
        <w:rPr>
          <w:i/>
        </w:rPr>
        <w:t>Award</w:t>
      </w:r>
      <w:r w:rsidRPr="00AE4411">
        <w:rPr>
          <w:i/>
        </w:rPr>
        <w:t xml:space="preserve"> 2010</w:t>
      </w:r>
      <w:r w:rsidR="00EE51A4" w:rsidRPr="00AE4411">
        <w:t xml:space="preserve"> for its workers. The community service, not-for-profit category, also representing approximately 1/3 of the sector pays its workers, on average, 14.5% more than the for-profit sector, which would indicate average salaries for this category </w:t>
      </w:r>
      <w:r w:rsidR="004443CF" w:rsidRPr="00AE4411">
        <w:t xml:space="preserve">are </w:t>
      </w:r>
      <w:r w:rsidR="00EE51A4" w:rsidRPr="00AE4411">
        <w:t xml:space="preserve">considerably above the Award. </w:t>
      </w:r>
    </w:p>
    <w:p w:rsidR="00EE51A4" w:rsidRPr="00AE4411" w:rsidRDefault="00EE51A4" w:rsidP="009646EC">
      <w:pPr>
        <w:pStyle w:val="AccessibleBody"/>
      </w:pPr>
      <w:r w:rsidRPr="00AE4411">
        <w:t>Non-government schools and the independent not-for-profit category both show average salaries higher than the for-profit sector.</w:t>
      </w:r>
    </w:p>
    <w:p w:rsidR="00EE51A4" w:rsidRPr="00AE4411" w:rsidRDefault="00EE51A4" w:rsidP="009646EC">
      <w:pPr>
        <w:pStyle w:val="AccessibleBody"/>
      </w:pPr>
      <w:r w:rsidRPr="00AE4411">
        <w:rPr>
          <w:noProof/>
          <w:lang w:eastAsia="en-AU"/>
        </w:rPr>
        <w:drawing>
          <wp:inline distT="0" distB="0" distL="0" distR="0">
            <wp:extent cx="4500000" cy="2340000"/>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77888" w:rsidRPr="00AE4411" w:rsidRDefault="00D77888" w:rsidP="009646EC">
      <w:pPr>
        <w:pStyle w:val="AccessibleBody"/>
        <w:rPr>
          <w:sz w:val="18"/>
          <w:szCs w:val="18"/>
        </w:rPr>
      </w:pPr>
      <w:r w:rsidRPr="00AE4411">
        <w:rPr>
          <w:sz w:val="18"/>
          <w:szCs w:val="18"/>
        </w:rPr>
        <w:t xml:space="preserve">Fig </w:t>
      </w:r>
      <w:r w:rsidR="009259A2" w:rsidRPr="00AE4411">
        <w:rPr>
          <w:sz w:val="18"/>
          <w:szCs w:val="18"/>
        </w:rPr>
        <w:t>15</w:t>
      </w:r>
      <w:r w:rsidRPr="00AE4411">
        <w:rPr>
          <w:sz w:val="18"/>
          <w:szCs w:val="18"/>
        </w:rPr>
        <w:t xml:space="preserve"> </w:t>
      </w:r>
      <w:r w:rsidRPr="009646EC">
        <w:rPr>
          <w:sz w:val="18"/>
          <w:szCs w:val="18"/>
        </w:rPr>
        <w:t>Comparison</w:t>
      </w:r>
      <w:r w:rsidRPr="00AE4411">
        <w:rPr>
          <w:sz w:val="18"/>
          <w:szCs w:val="18"/>
        </w:rPr>
        <w:t xml:space="preserve"> of the average annual wage paid to ECEC workers by category of service provider</w:t>
      </w:r>
    </w:p>
    <w:p w:rsidR="00EE51A4" w:rsidRPr="00AE4411" w:rsidRDefault="00EE51A4" w:rsidP="009646EC">
      <w:pPr>
        <w:pStyle w:val="AccessibleBody"/>
      </w:pPr>
      <w:r w:rsidRPr="00AE4411">
        <w:lastRenderedPageBreak/>
        <w:t xml:space="preserve">The analysis above supports the advice provided to the </w:t>
      </w:r>
      <w:r w:rsidR="001912F4" w:rsidRPr="00AE4411">
        <w:t xml:space="preserve">2016 </w:t>
      </w:r>
      <w:r w:rsidR="001135FA" w:rsidRPr="00AE4411">
        <w:t>Review</w:t>
      </w:r>
      <w:r w:rsidRPr="00AE4411">
        <w:t xml:space="preserve"> through the 1 July</w:t>
      </w:r>
      <w:r w:rsidR="009646EC">
        <w:t xml:space="preserve"> 2016</w:t>
      </w:r>
      <w:r w:rsidRPr="00AE4411">
        <w:t xml:space="preserve"> </w:t>
      </w:r>
      <w:r w:rsidR="008C1EAF" w:rsidRPr="00AE4411">
        <w:t>Forum</w:t>
      </w:r>
      <w:r w:rsidRPr="00AE4411">
        <w:t xml:space="preserve"> that </w:t>
      </w:r>
      <w:r w:rsidR="00863482" w:rsidRPr="00AE4411">
        <w:t xml:space="preserve">some </w:t>
      </w:r>
      <w:r w:rsidRPr="00AE4411">
        <w:t xml:space="preserve">service providers are paying higher than Award salaries. </w:t>
      </w:r>
      <w:r w:rsidR="00D77888" w:rsidRPr="00AE4411">
        <w:t xml:space="preserve">The </w:t>
      </w:r>
      <w:r w:rsidR="001135FA" w:rsidRPr="00AE4411">
        <w:t>Review</w:t>
      </w:r>
      <w:r w:rsidR="00D77888" w:rsidRPr="00AE4411">
        <w:t xml:space="preserve"> notes that many service providers have indicated that enhanced conditions of service, in addition to higher wages, are provided to workers</w:t>
      </w:r>
      <w:r w:rsidR="004443CF" w:rsidRPr="00AE4411">
        <w:t xml:space="preserve"> as attraction and retention measures</w:t>
      </w:r>
      <w:r w:rsidR="00D77888" w:rsidRPr="00AE4411">
        <w:t>. E</w:t>
      </w:r>
      <w:r w:rsidRPr="00AE4411">
        <w:t>nhanced employment conditions will have an impact on total employment costs, but the impact cannot be determined through salary figures.</w:t>
      </w:r>
    </w:p>
    <w:p w:rsidR="007B31BA" w:rsidRPr="00AE4411" w:rsidRDefault="007B31BA" w:rsidP="009646EC">
      <w:pPr>
        <w:pStyle w:val="AccessibleBody"/>
      </w:pPr>
      <w:r w:rsidRPr="00AE4411">
        <w:t xml:space="preserve">The Review also explored for relationships between the prices charged to clients for ECEC services and the levels of wages paid, excluding non-government schools, which operate in a different price category and with a different business model. This analysis shows in </w:t>
      </w:r>
      <w:r w:rsidRPr="00AE4411">
        <w:rPr>
          <w:b/>
        </w:rPr>
        <w:t>Figure 16</w:t>
      </w:r>
      <w:r w:rsidRPr="00AE4411">
        <w:t xml:space="preserve"> below, that while the for-profit providers pay the lowest wages, they charge the highest prices for their services, resulting in the lowest ratio between prices charged and wages paid of all of the sector categories by a considerable margin. On the other hand, not-for-profit service providers demonstrate the highest ratio between prices charged and wages paid. The figure indicates that the for-profit providers only need to have 1.61 children in full time care per employee to cover wage costs while not-for-profit providers require 1.9 children per employee.</w:t>
      </w:r>
    </w:p>
    <w:tbl>
      <w:tblPr>
        <w:tblStyle w:val="MediumShading1-Accent4"/>
        <w:tblW w:w="7383" w:type="dxa"/>
        <w:tblLook w:val="04A0" w:firstRow="1" w:lastRow="0" w:firstColumn="1" w:lastColumn="0" w:noHBand="0" w:noVBand="1"/>
      </w:tblPr>
      <w:tblGrid>
        <w:gridCol w:w="2305"/>
        <w:gridCol w:w="1565"/>
        <w:gridCol w:w="1751"/>
        <w:gridCol w:w="1762"/>
      </w:tblGrid>
      <w:tr w:rsidR="005F66E6" w:rsidRPr="00AE4411" w:rsidTr="00852F96">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305" w:type="dxa"/>
          </w:tcPr>
          <w:p w:rsidR="005F66E6" w:rsidRPr="00261A9F" w:rsidRDefault="005F66E6" w:rsidP="00852F96">
            <w:pPr>
              <w:rPr>
                <w:lang w:eastAsia="en-AU"/>
              </w:rPr>
            </w:pPr>
            <w:r w:rsidRPr="00261A9F">
              <w:rPr>
                <w:lang w:eastAsia="en-AU"/>
              </w:rPr>
              <w:t>ECEC Provider Category</w:t>
            </w:r>
          </w:p>
        </w:tc>
        <w:tc>
          <w:tcPr>
            <w:tcW w:w="1565" w:type="dxa"/>
          </w:tcPr>
          <w:p w:rsidR="005F66E6" w:rsidRPr="00261A9F" w:rsidRDefault="005F66E6" w:rsidP="00852F96">
            <w:pPr>
              <w:cnfStyle w:val="100000000000" w:firstRow="1" w:lastRow="0" w:firstColumn="0" w:lastColumn="0" w:oddVBand="0" w:evenVBand="0" w:oddHBand="0" w:evenHBand="0" w:firstRowFirstColumn="0" w:firstRowLastColumn="0" w:lastRowFirstColumn="0" w:lastRowLastColumn="0"/>
              <w:rPr>
                <w:lang w:eastAsia="en-AU"/>
              </w:rPr>
            </w:pPr>
            <w:r w:rsidRPr="00261A9F">
              <w:rPr>
                <w:lang w:eastAsia="en-AU"/>
              </w:rPr>
              <w:t>Average Weekly Price</w:t>
            </w:r>
          </w:p>
        </w:tc>
        <w:tc>
          <w:tcPr>
            <w:tcW w:w="1751" w:type="dxa"/>
          </w:tcPr>
          <w:p w:rsidR="005F66E6" w:rsidRPr="00261A9F" w:rsidRDefault="005F66E6" w:rsidP="00852F96">
            <w:pPr>
              <w:cnfStyle w:val="100000000000" w:firstRow="1" w:lastRow="0" w:firstColumn="0" w:lastColumn="0" w:oddVBand="0" w:evenVBand="0" w:oddHBand="0" w:evenHBand="0" w:firstRowFirstColumn="0" w:firstRowLastColumn="0" w:lastRowFirstColumn="0" w:lastRowLastColumn="0"/>
              <w:rPr>
                <w:lang w:eastAsia="en-AU"/>
              </w:rPr>
            </w:pPr>
            <w:r w:rsidRPr="00261A9F">
              <w:rPr>
                <w:lang w:eastAsia="en-AU"/>
              </w:rPr>
              <w:t xml:space="preserve">Average Weekly Salary </w:t>
            </w:r>
          </w:p>
        </w:tc>
        <w:tc>
          <w:tcPr>
            <w:tcW w:w="1762" w:type="dxa"/>
          </w:tcPr>
          <w:p w:rsidR="005F66E6" w:rsidRPr="00261A9F" w:rsidRDefault="005F66E6" w:rsidP="00852F96">
            <w:pPr>
              <w:cnfStyle w:val="100000000000" w:firstRow="1" w:lastRow="0" w:firstColumn="0" w:lastColumn="0" w:oddVBand="0" w:evenVBand="0" w:oddHBand="0" w:evenHBand="0" w:firstRowFirstColumn="0" w:firstRowLastColumn="0" w:lastRowFirstColumn="0" w:lastRowLastColumn="0"/>
              <w:rPr>
                <w:lang w:eastAsia="en-AU"/>
              </w:rPr>
            </w:pPr>
            <w:r w:rsidRPr="00261A9F">
              <w:rPr>
                <w:lang w:eastAsia="en-AU"/>
              </w:rPr>
              <w:t xml:space="preserve">Ratio between Average salary and average price </w:t>
            </w:r>
          </w:p>
        </w:tc>
      </w:tr>
      <w:tr w:rsidR="005F66E6" w:rsidRPr="00AE4411" w:rsidTr="00852F9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05" w:type="dxa"/>
          </w:tcPr>
          <w:p w:rsidR="005F66E6" w:rsidRPr="00B2434F" w:rsidRDefault="005F66E6" w:rsidP="00852F96">
            <w:pPr>
              <w:rPr>
                <w:color w:val="000000"/>
                <w:lang w:eastAsia="en-AU"/>
              </w:rPr>
            </w:pPr>
            <w:r w:rsidRPr="00B2434F">
              <w:rPr>
                <w:color w:val="000000"/>
                <w:lang w:eastAsia="en-AU"/>
              </w:rPr>
              <w:t>For</w:t>
            </w:r>
            <w:r w:rsidR="00675249" w:rsidRPr="00B2434F">
              <w:rPr>
                <w:color w:val="000000"/>
                <w:lang w:eastAsia="en-AU"/>
              </w:rPr>
              <w:t>-</w:t>
            </w:r>
            <w:r w:rsidRPr="00B2434F">
              <w:rPr>
                <w:color w:val="000000"/>
                <w:lang w:eastAsia="en-AU"/>
              </w:rPr>
              <w:t>Profit Providers</w:t>
            </w:r>
          </w:p>
        </w:tc>
        <w:tc>
          <w:tcPr>
            <w:tcW w:w="1565" w:type="dxa"/>
          </w:tcPr>
          <w:p w:rsidR="005F66E6" w:rsidRPr="009646EC" w:rsidRDefault="005F66E6" w:rsidP="00852F96">
            <w:pPr>
              <w:cnfStyle w:val="000000100000" w:firstRow="0" w:lastRow="0" w:firstColumn="0" w:lastColumn="0" w:oddVBand="0" w:evenVBand="0" w:oddHBand="1" w:evenHBand="0" w:firstRowFirstColumn="0" w:firstRowLastColumn="0" w:lastRowFirstColumn="0" w:lastRowLastColumn="0"/>
            </w:pPr>
            <w:r w:rsidRPr="009646EC">
              <w:t>$528.44</w:t>
            </w:r>
          </w:p>
        </w:tc>
        <w:tc>
          <w:tcPr>
            <w:tcW w:w="1751" w:type="dxa"/>
          </w:tcPr>
          <w:p w:rsidR="005F66E6" w:rsidRPr="009646EC" w:rsidRDefault="005F66E6" w:rsidP="00852F96">
            <w:pPr>
              <w:cnfStyle w:val="000000100000" w:firstRow="0" w:lastRow="0" w:firstColumn="0" w:lastColumn="0" w:oddVBand="0" w:evenVBand="0" w:oddHBand="1" w:evenHBand="0" w:firstRowFirstColumn="0" w:firstRowLastColumn="0" w:lastRowFirstColumn="0" w:lastRowLastColumn="0"/>
            </w:pPr>
            <w:r w:rsidRPr="009646EC">
              <w:t>$853.05</w:t>
            </w:r>
          </w:p>
        </w:tc>
        <w:tc>
          <w:tcPr>
            <w:tcW w:w="1762" w:type="dxa"/>
          </w:tcPr>
          <w:p w:rsidR="005F66E6" w:rsidRPr="009646EC" w:rsidRDefault="005F66E6" w:rsidP="00852F96">
            <w:pPr>
              <w:cnfStyle w:val="000000100000" w:firstRow="0" w:lastRow="0" w:firstColumn="0" w:lastColumn="0" w:oddVBand="0" w:evenVBand="0" w:oddHBand="1" w:evenHBand="0" w:firstRowFirstColumn="0" w:firstRowLastColumn="0" w:lastRowFirstColumn="0" w:lastRowLastColumn="0"/>
            </w:pPr>
            <w:r w:rsidRPr="009646EC">
              <w:t>1:1.61</w:t>
            </w:r>
          </w:p>
        </w:tc>
      </w:tr>
      <w:tr w:rsidR="005F66E6" w:rsidRPr="00AE4411" w:rsidTr="00852F9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5" w:type="dxa"/>
          </w:tcPr>
          <w:p w:rsidR="005F66E6" w:rsidRPr="00B2434F" w:rsidRDefault="005F66E6" w:rsidP="00852F96">
            <w:pPr>
              <w:rPr>
                <w:color w:val="000000"/>
                <w:lang w:eastAsia="en-AU"/>
              </w:rPr>
            </w:pPr>
            <w:r w:rsidRPr="00B2434F">
              <w:rPr>
                <w:color w:val="000000"/>
                <w:lang w:eastAsia="en-AU"/>
              </w:rPr>
              <w:t>Community Not-for-profit Providers</w:t>
            </w:r>
          </w:p>
        </w:tc>
        <w:tc>
          <w:tcPr>
            <w:tcW w:w="1565" w:type="dxa"/>
          </w:tcPr>
          <w:p w:rsidR="005F66E6" w:rsidRPr="009646EC" w:rsidRDefault="005F66E6" w:rsidP="00852F96">
            <w:pPr>
              <w:cnfStyle w:val="000000010000" w:firstRow="0" w:lastRow="0" w:firstColumn="0" w:lastColumn="0" w:oddVBand="0" w:evenVBand="0" w:oddHBand="0" w:evenHBand="1" w:firstRowFirstColumn="0" w:firstRowLastColumn="0" w:lastRowFirstColumn="0" w:lastRowLastColumn="0"/>
            </w:pPr>
            <w:r w:rsidRPr="009646EC">
              <w:t>$512.90</w:t>
            </w:r>
          </w:p>
        </w:tc>
        <w:tc>
          <w:tcPr>
            <w:tcW w:w="1751" w:type="dxa"/>
          </w:tcPr>
          <w:p w:rsidR="005F66E6" w:rsidRPr="009646EC" w:rsidRDefault="005F66E6" w:rsidP="00852F96">
            <w:pPr>
              <w:cnfStyle w:val="000000010000" w:firstRow="0" w:lastRow="0" w:firstColumn="0" w:lastColumn="0" w:oddVBand="0" w:evenVBand="0" w:oddHBand="0" w:evenHBand="1" w:firstRowFirstColumn="0" w:firstRowLastColumn="0" w:lastRowFirstColumn="0" w:lastRowLastColumn="0"/>
            </w:pPr>
            <w:r w:rsidRPr="009646EC">
              <w:t>$976.96</w:t>
            </w:r>
          </w:p>
        </w:tc>
        <w:tc>
          <w:tcPr>
            <w:tcW w:w="1762" w:type="dxa"/>
          </w:tcPr>
          <w:p w:rsidR="005F66E6" w:rsidRPr="009646EC" w:rsidRDefault="005F66E6" w:rsidP="00852F96">
            <w:pPr>
              <w:cnfStyle w:val="000000010000" w:firstRow="0" w:lastRow="0" w:firstColumn="0" w:lastColumn="0" w:oddVBand="0" w:evenVBand="0" w:oddHBand="0" w:evenHBand="1" w:firstRowFirstColumn="0" w:firstRowLastColumn="0" w:lastRowFirstColumn="0" w:lastRowLastColumn="0"/>
            </w:pPr>
            <w:r w:rsidRPr="009646EC">
              <w:t>1:1.90</w:t>
            </w:r>
          </w:p>
        </w:tc>
      </w:tr>
      <w:tr w:rsidR="005F66E6" w:rsidRPr="00AE4411" w:rsidTr="00852F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5" w:type="dxa"/>
          </w:tcPr>
          <w:p w:rsidR="005F66E6" w:rsidRPr="00B2434F" w:rsidRDefault="005F66E6" w:rsidP="00852F96">
            <w:pPr>
              <w:rPr>
                <w:color w:val="000000"/>
                <w:lang w:eastAsia="en-AU"/>
              </w:rPr>
            </w:pPr>
            <w:r w:rsidRPr="00B2434F">
              <w:rPr>
                <w:color w:val="000000"/>
                <w:lang w:eastAsia="en-AU"/>
              </w:rPr>
              <w:t>Independent Not-for-profit Providers</w:t>
            </w:r>
          </w:p>
        </w:tc>
        <w:tc>
          <w:tcPr>
            <w:tcW w:w="1565" w:type="dxa"/>
          </w:tcPr>
          <w:p w:rsidR="005F66E6" w:rsidRPr="009646EC" w:rsidRDefault="005F66E6" w:rsidP="00852F96">
            <w:pPr>
              <w:cnfStyle w:val="000000100000" w:firstRow="0" w:lastRow="0" w:firstColumn="0" w:lastColumn="0" w:oddVBand="0" w:evenVBand="0" w:oddHBand="1" w:evenHBand="0" w:firstRowFirstColumn="0" w:firstRowLastColumn="0" w:lastRowFirstColumn="0" w:lastRowLastColumn="0"/>
            </w:pPr>
            <w:r w:rsidRPr="009646EC">
              <w:t>$464.72</w:t>
            </w:r>
          </w:p>
        </w:tc>
        <w:tc>
          <w:tcPr>
            <w:tcW w:w="1751" w:type="dxa"/>
          </w:tcPr>
          <w:p w:rsidR="005F66E6" w:rsidRPr="009646EC" w:rsidRDefault="005F66E6" w:rsidP="00852F96">
            <w:pPr>
              <w:cnfStyle w:val="000000100000" w:firstRow="0" w:lastRow="0" w:firstColumn="0" w:lastColumn="0" w:oddVBand="0" w:evenVBand="0" w:oddHBand="1" w:evenHBand="0" w:firstRowFirstColumn="0" w:firstRowLastColumn="0" w:lastRowFirstColumn="0" w:lastRowLastColumn="0"/>
            </w:pPr>
            <w:r w:rsidRPr="009646EC">
              <w:t>$906.61</w:t>
            </w:r>
          </w:p>
        </w:tc>
        <w:tc>
          <w:tcPr>
            <w:tcW w:w="1762" w:type="dxa"/>
          </w:tcPr>
          <w:p w:rsidR="005F66E6" w:rsidRPr="009646EC" w:rsidRDefault="005F66E6" w:rsidP="00852F96">
            <w:pPr>
              <w:cnfStyle w:val="000000100000" w:firstRow="0" w:lastRow="0" w:firstColumn="0" w:lastColumn="0" w:oddVBand="0" w:evenVBand="0" w:oddHBand="1" w:evenHBand="0" w:firstRowFirstColumn="0" w:firstRowLastColumn="0" w:lastRowFirstColumn="0" w:lastRowLastColumn="0"/>
            </w:pPr>
            <w:r w:rsidRPr="009646EC">
              <w:t>1:1.95</w:t>
            </w:r>
          </w:p>
        </w:tc>
      </w:tr>
      <w:tr w:rsidR="005F66E6" w:rsidRPr="00AE4411" w:rsidTr="00852F9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5" w:type="dxa"/>
          </w:tcPr>
          <w:p w:rsidR="005F66E6" w:rsidRPr="00B2434F" w:rsidRDefault="005F66E6" w:rsidP="00852F96">
            <w:pPr>
              <w:rPr>
                <w:color w:val="000000"/>
                <w:lang w:eastAsia="en-AU"/>
              </w:rPr>
            </w:pPr>
            <w:r w:rsidRPr="00B2434F">
              <w:rPr>
                <w:color w:val="000000"/>
                <w:lang w:eastAsia="en-AU"/>
              </w:rPr>
              <w:t>Non-government School Providers</w:t>
            </w:r>
          </w:p>
        </w:tc>
        <w:tc>
          <w:tcPr>
            <w:tcW w:w="1565" w:type="dxa"/>
          </w:tcPr>
          <w:p w:rsidR="005F66E6" w:rsidRPr="009646EC" w:rsidRDefault="005F66E6" w:rsidP="00852F96">
            <w:pPr>
              <w:cnfStyle w:val="000000010000" w:firstRow="0" w:lastRow="0" w:firstColumn="0" w:lastColumn="0" w:oddVBand="0" w:evenVBand="0" w:oddHBand="0" w:evenHBand="1" w:firstRowFirstColumn="0" w:firstRowLastColumn="0" w:lastRowFirstColumn="0" w:lastRowLastColumn="0"/>
            </w:pPr>
            <w:r w:rsidRPr="009646EC">
              <w:t>$562.50</w:t>
            </w:r>
          </w:p>
        </w:tc>
        <w:tc>
          <w:tcPr>
            <w:tcW w:w="1751" w:type="dxa"/>
          </w:tcPr>
          <w:p w:rsidR="005F66E6" w:rsidRPr="009646EC" w:rsidRDefault="005F66E6" w:rsidP="00852F96">
            <w:pPr>
              <w:cnfStyle w:val="000000010000" w:firstRow="0" w:lastRow="0" w:firstColumn="0" w:lastColumn="0" w:oddVBand="0" w:evenVBand="0" w:oddHBand="0" w:evenHBand="1" w:firstRowFirstColumn="0" w:firstRowLastColumn="0" w:lastRowFirstColumn="0" w:lastRowLastColumn="0"/>
            </w:pPr>
            <w:r w:rsidRPr="009646EC">
              <w:t>$875.12</w:t>
            </w:r>
          </w:p>
        </w:tc>
        <w:tc>
          <w:tcPr>
            <w:tcW w:w="1762" w:type="dxa"/>
          </w:tcPr>
          <w:p w:rsidR="005F66E6" w:rsidRPr="009646EC" w:rsidRDefault="005F66E6" w:rsidP="00852F96">
            <w:pPr>
              <w:cnfStyle w:val="000000010000" w:firstRow="0" w:lastRow="0" w:firstColumn="0" w:lastColumn="0" w:oddVBand="0" w:evenVBand="0" w:oddHBand="0" w:evenHBand="1" w:firstRowFirstColumn="0" w:firstRowLastColumn="0" w:lastRowFirstColumn="0" w:lastRowLastColumn="0"/>
            </w:pPr>
            <w:r w:rsidRPr="009646EC">
              <w:t>1:1.56</w:t>
            </w:r>
          </w:p>
        </w:tc>
      </w:tr>
    </w:tbl>
    <w:p w:rsidR="00EE51A4" w:rsidRPr="00AE4411" w:rsidRDefault="00EE51A4" w:rsidP="009646EC">
      <w:pPr>
        <w:pStyle w:val="AccessibleBody"/>
        <w:rPr>
          <w:sz w:val="18"/>
          <w:szCs w:val="18"/>
        </w:rPr>
      </w:pPr>
      <w:r w:rsidRPr="00AE4411">
        <w:rPr>
          <w:sz w:val="18"/>
          <w:szCs w:val="18"/>
        </w:rPr>
        <w:t xml:space="preserve">Fig </w:t>
      </w:r>
      <w:r w:rsidR="009259A2" w:rsidRPr="00AE4411">
        <w:rPr>
          <w:sz w:val="18"/>
          <w:szCs w:val="18"/>
        </w:rPr>
        <w:t>16</w:t>
      </w:r>
      <w:r w:rsidRPr="00AE4411">
        <w:rPr>
          <w:sz w:val="18"/>
          <w:szCs w:val="18"/>
        </w:rPr>
        <w:t xml:space="preserve"> Ratio of prices charged to wages paid by ECEC service provider category</w:t>
      </w:r>
    </w:p>
    <w:p w:rsidR="00D065C6" w:rsidRDefault="00D065C6" w:rsidP="009646EC">
      <w:pPr>
        <w:pStyle w:val="AccessibleBody"/>
      </w:pPr>
    </w:p>
    <w:p w:rsidR="00703293" w:rsidRDefault="00703293" w:rsidP="009646EC">
      <w:pPr>
        <w:pStyle w:val="AccessibleBody"/>
      </w:pPr>
    </w:p>
    <w:p w:rsidR="00703293" w:rsidRDefault="00703293" w:rsidP="009646EC">
      <w:pPr>
        <w:pStyle w:val="AccessibleBody"/>
      </w:pPr>
    </w:p>
    <w:p w:rsidR="00703293" w:rsidRDefault="00703293" w:rsidP="009646EC">
      <w:pPr>
        <w:pStyle w:val="AccessibleBody"/>
      </w:pPr>
    </w:p>
    <w:p w:rsidR="00703293" w:rsidRPr="00AE4411" w:rsidRDefault="00703293" w:rsidP="009646EC">
      <w:pPr>
        <w:pStyle w:val="AccessibleBody"/>
      </w:pPr>
    </w:p>
    <w:tbl>
      <w:tblPr>
        <w:tblW w:w="10211" w:type="dxa"/>
        <w:tblCellMar>
          <w:left w:w="0" w:type="dxa"/>
          <w:right w:w="0" w:type="dxa"/>
        </w:tblCellMar>
        <w:tblLook w:val="04A0" w:firstRow="1" w:lastRow="0" w:firstColumn="1" w:lastColumn="0" w:noHBand="0" w:noVBand="1"/>
      </w:tblPr>
      <w:tblGrid>
        <w:gridCol w:w="1431"/>
        <w:gridCol w:w="1218"/>
        <w:gridCol w:w="1407"/>
        <w:gridCol w:w="824"/>
        <w:gridCol w:w="1539"/>
        <w:gridCol w:w="1340"/>
        <w:gridCol w:w="934"/>
        <w:gridCol w:w="728"/>
        <w:gridCol w:w="730"/>
        <w:gridCol w:w="60"/>
      </w:tblGrid>
      <w:tr w:rsidR="00BC6FF1" w:rsidTr="00FD2343">
        <w:trPr>
          <w:trHeight w:val="321"/>
        </w:trPr>
        <w:tc>
          <w:tcPr>
            <w:tcW w:w="1431" w:type="dxa"/>
            <w:vMerge w:val="restart"/>
            <w:tcBorders>
              <w:top w:val="single" w:sz="8" w:space="0" w:color="000000"/>
              <w:left w:val="single" w:sz="8" w:space="0" w:color="000000"/>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FFFFFF"/>
                <w:sz w:val="16"/>
                <w:szCs w:val="16"/>
              </w:rPr>
              <w:lastRenderedPageBreak/>
              <w:t>Final Rating</w:t>
            </w:r>
          </w:p>
        </w:tc>
        <w:tc>
          <w:tcPr>
            <w:tcW w:w="8720" w:type="dxa"/>
            <w:gridSpan w:val="8"/>
            <w:tcBorders>
              <w:top w:val="single" w:sz="8" w:space="0" w:color="000000"/>
              <w:left w:val="nil"/>
              <w:bottom w:val="single" w:sz="8" w:space="0" w:color="FFFFFF"/>
              <w:right w:val="single" w:sz="8" w:space="0" w:color="000000"/>
            </w:tcBorders>
            <w:shd w:val="clear" w:color="auto" w:fill="552579"/>
            <w:tcMar>
              <w:top w:w="0" w:type="dxa"/>
              <w:left w:w="108" w:type="dxa"/>
              <w:bottom w:w="0" w:type="dxa"/>
              <w:right w:w="108" w:type="dxa"/>
            </w:tcMar>
            <w:vAlign w:val="center"/>
            <w:hideMark/>
          </w:tcPr>
          <w:p w:rsidR="00BC6FF1" w:rsidRDefault="00BC6FF1" w:rsidP="00FD2343">
            <w:pPr>
              <w:spacing w:after="0"/>
              <w:jc w:val="center"/>
              <w:rPr>
                <w:rFonts w:eastAsiaTheme="minorHAnsi"/>
              </w:rPr>
            </w:pPr>
            <w:r>
              <w:rPr>
                <w:rFonts w:ascii="Verdana" w:hAnsi="Verdana"/>
                <w:color w:val="FFFFFF"/>
                <w:sz w:val="16"/>
                <w:szCs w:val="16"/>
              </w:rPr>
              <w:t>Assessment and Rating Count</w:t>
            </w:r>
          </w:p>
        </w:tc>
        <w:tc>
          <w:tcPr>
            <w:tcW w:w="60" w:type="dxa"/>
            <w:shd w:val="clear" w:color="auto" w:fill="552579"/>
            <w:vAlign w:val="center"/>
            <w:hideMark/>
          </w:tcPr>
          <w:p w:rsidR="00BC6FF1" w:rsidRDefault="00BC6FF1" w:rsidP="00FD2343">
            <w:pPr>
              <w:spacing w:after="0"/>
              <w:rPr>
                <w:rFonts w:eastAsiaTheme="minorHAnsi"/>
              </w:rPr>
            </w:pPr>
            <w:r>
              <w:t> </w:t>
            </w:r>
          </w:p>
        </w:tc>
      </w:tr>
      <w:tr w:rsidR="00BC6FF1" w:rsidTr="00FD2343">
        <w:trPr>
          <w:trHeight w:val="450"/>
        </w:trPr>
        <w:tc>
          <w:tcPr>
            <w:tcW w:w="0" w:type="auto"/>
            <w:vMerge/>
            <w:tcBorders>
              <w:top w:val="single" w:sz="8" w:space="0" w:color="000000"/>
              <w:left w:val="single" w:sz="8" w:space="0" w:color="000000"/>
              <w:bottom w:val="single" w:sz="8" w:space="0" w:color="D8D8D8"/>
              <w:right w:val="single" w:sz="8" w:space="0" w:color="D8D8D8"/>
            </w:tcBorders>
            <w:shd w:val="clear" w:color="auto" w:fill="552579"/>
            <w:vAlign w:val="center"/>
            <w:hideMark/>
          </w:tcPr>
          <w:p w:rsidR="00BC6FF1" w:rsidRDefault="00BC6FF1" w:rsidP="00FD2343">
            <w:pPr>
              <w:spacing w:after="0"/>
              <w:rPr>
                <w:rFonts w:eastAsiaTheme="minorHAnsi"/>
              </w:rPr>
            </w:pPr>
          </w:p>
        </w:tc>
        <w:tc>
          <w:tcPr>
            <w:tcW w:w="1218"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FFFFFF"/>
                <w:sz w:val="16"/>
                <w:szCs w:val="16"/>
              </w:rPr>
              <w:t>Private not for profit community managed</w:t>
            </w:r>
          </w:p>
        </w:tc>
        <w:tc>
          <w:tcPr>
            <w:tcW w:w="1407"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FFFFFF"/>
                <w:sz w:val="16"/>
                <w:szCs w:val="16"/>
              </w:rPr>
              <w:t>Private not for profit other organisations</w:t>
            </w:r>
          </w:p>
        </w:tc>
        <w:tc>
          <w:tcPr>
            <w:tcW w:w="824"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FFFFFF"/>
                <w:sz w:val="16"/>
                <w:szCs w:val="16"/>
              </w:rPr>
              <w:t>Private for profit</w:t>
            </w:r>
          </w:p>
        </w:tc>
        <w:tc>
          <w:tcPr>
            <w:tcW w:w="1539"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FFFFFF"/>
                <w:sz w:val="16"/>
                <w:szCs w:val="16"/>
              </w:rPr>
              <w:t>State/Territory government schools</w:t>
            </w:r>
          </w:p>
        </w:tc>
        <w:tc>
          <w:tcPr>
            <w:tcW w:w="1340"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FFFFFF"/>
                <w:sz w:val="16"/>
                <w:szCs w:val="16"/>
              </w:rPr>
              <w:t>Independent schools</w:t>
            </w:r>
          </w:p>
        </w:tc>
        <w:tc>
          <w:tcPr>
            <w:tcW w:w="934"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FFFFFF"/>
                <w:sz w:val="16"/>
                <w:szCs w:val="16"/>
              </w:rPr>
              <w:t>Catholic schools</w:t>
            </w:r>
          </w:p>
        </w:tc>
        <w:tc>
          <w:tcPr>
            <w:tcW w:w="728"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FFFFFF"/>
                <w:sz w:val="16"/>
                <w:szCs w:val="16"/>
              </w:rPr>
              <w:t>Other</w:t>
            </w:r>
          </w:p>
        </w:tc>
        <w:tc>
          <w:tcPr>
            <w:tcW w:w="790" w:type="dxa"/>
            <w:gridSpan w:val="2"/>
            <w:tcBorders>
              <w:top w:val="nil"/>
              <w:left w:val="nil"/>
              <w:bottom w:val="single" w:sz="8" w:space="0" w:color="D8D8D8"/>
              <w:right w:val="single" w:sz="8" w:space="0" w:color="000000"/>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FFFFFF"/>
                <w:sz w:val="16"/>
                <w:szCs w:val="16"/>
              </w:rPr>
              <w:t>Total</w:t>
            </w:r>
          </w:p>
        </w:tc>
      </w:tr>
      <w:tr w:rsidR="00BC6FF1" w:rsidTr="00FD2343">
        <w:trPr>
          <w:trHeight w:val="450"/>
        </w:trPr>
        <w:tc>
          <w:tcPr>
            <w:tcW w:w="1431" w:type="dxa"/>
            <w:tcBorders>
              <w:top w:val="nil"/>
              <w:left w:val="single" w:sz="8" w:space="0" w:color="000000"/>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Significant Improvement Required</w:t>
            </w:r>
          </w:p>
        </w:tc>
        <w:tc>
          <w:tcPr>
            <w:tcW w:w="1218"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1407"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824"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1%</w:t>
            </w:r>
          </w:p>
        </w:tc>
        <w:tc>
          <w:tcPr>
            <w:tcW w:w="1539"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1340"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934"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728"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790" w:type="dxa"/>
            <w:gridSpan w:val="2"/>
            <w:tcBorders>
              <w:top w:val="nil"/>
              <w:left w:val="nil"/>
              <w:bottom w:val="single" w:sz="8" w:space="0" w:color="D8D8D8"/>
              <w:right w:val="single" w:sz="8" w:space="0" w:color="000000"/>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3B3B3B"/>
                <w:sz w:val="16"/>
                <w:szCs w:val="16"/>
              </w:rPr>
              <w:t>1%</w:t>
            </w:r>
          </w:p>
        </w:tc>
      </w:tr>
      <w:tr w:rsidR="00BC6FF1" w:rsidTr="00FD2343">
        <w:trPr>
          <w:trHeight w:val="321"/>
        </w:trPr>
        <w:tc>
          <w:tcPr>
            <w:tcW w:w="1431" w:type="dxa"/>
            <w:tcBorders>
              <w:top w:val="nil"/>
              <w:left w:val="single" w:sz="8" w:space="0" w:color="000000"/>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Working Towards NQS</w:t>
            </w:r>
          </w:p>
        </w:tc>
        <w:tc>
          <w:tcPr>
            <w:tcW w:w="1218"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13.5%</w:t>
            </w:r>
          </w:p>
        </w:tc>
        <w:tc>
          <w:tcPr>
            <w:tcW w:w="1407"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3.5%</w:t>
            </w:r>
          </w:p>
        </w:tc>
        <w:tc>
          <w:tcPr>
            <w:tcW w:w="824"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8%</w:t>
            </w:r>
          </w:p>
        </w:tc>
        <w:tc>
          <w:tcPr>
            <w:tcW w:w="1539"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3%</w:t>
            </w:r>
          </w:p>
        </w:tc>
        <w:tc>
          <w:tcPr>
            <w:tcW w:w="1340"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2%</w:t>
            </w:r>
          </w:p>
        </w:tc>
        <w:tc>
          <w:tcPr>
            <w:tcW w:w="934"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2%</w:t>
            </w:r>
          </w:p>
        </w:tc>
        <w:tc>
          <w:tcPr>
            <w:tcW w:w="728"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790" w:type="dxa"/>
            <w:gridSpan w:val="2"/>
            <w:tcBorders>
              <w:top w:val="nil"/>
              <w:left w:val="nil"/>
              <w:bottom w:val="single" w:sz="8" w:space="0" w:color="D8D8D8"/>
              <w:right w:val="single" w:sz="8" w:space="0" w:color="000000"/>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3B3B3B"/>
                <w:sz w:val="16"/>
                <w:szCs w:val="16"/>
              </w:rPr>
              <w:t>30%</w:t>
            </w:r>
          </w:p>
        </w:tc>
      </w:tr>
      <w:tr w:rsidR="00BC6FF1" w:rsidTr="00FD2343">
        <w:trPr>
          <w:trHeight w:val="321"/>
        </w:trPr>
        <w:tc>
          <w:tcPr>
            <w:tcW w:w="1431" w:type="dxa"/>
            <w:tcBorders>
              <w:top w:val="nil"/>
              <w:left w:val="single" w:sz="8" w:space="0" w:color="000000"/>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Meeting NQS</w:t>
            </w:r>
          </w:p>
        </w:tc>
        <w:tc>
          <w:tcPr>
            <w:tcW w:w="1218"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14%</w:t>
            </w:r>
          </w:p>
        </w:tc>
        <w:tc>
          <w:tcPr>
            <w:tcW w:w="1407"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1.5%</w:t>
            </w:r>
          </w:p>
        </w:tc>
        <w:tc>
          <w:tcPr>
            <w:tcW w:w="824"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5%</w:t>
            </w:r>
          </w:p>
        </w:tc>
        <w:tc>
          <w:tcPr>
            <w:tcW w:w="1539"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2.5%</w:t>
            </w:r>
          </w:p>
        </w:tc>
        <w:tc>
          <w:tcPr>
            <w:tcW w:w="1340"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934"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.5%</w:t>
            </w:r>
          </w:p>
        </w:tc>
        <w:tc>
          <w:tcPr>
            <w:tcW w:w="728"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790" w:type="dxa"/>
            <w:gridSpan w:val="2"/>
            <w:tcBorders>
              <w:top w:val="nil"/>
              <w:left w:val="nil"/>
              <w:bottom w:val="single" w:sz="8" w:space="0" w:color="D8D8D8"/>
              <w:right w:val="single" w:sz="8" w:space="0" w:color="000000"/>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3B3B3B"/>
                <w:sz w:val="16"/>
                <w:szCs w:val="16"/>
              </w:rPr>
              <w:t>24%</w:t>
            </w:r>
          </w:p>
        </w:tc>
      </w:tr>
      <w:tr w:rsidR="00BC6FF1" w:rsidTr="00FD2343">
        <w:trPr>
          <w:trHeight w:val="321"/>
        </w:trPr>
        <w:tc>
          <w:tcPr>
            <w:tcW w:w="1431" w:type="dxa"/>
            <w:tcBorders>
              <w:top w:val="nil"/>
              <w:left w:val="single" w:sz="8" w:space="0" w:color="000000"/>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Exceeding NQS</w:t>
            </w:r>
          </w:p>
        </w:tc>
        <w:tc>
          <w:tcPr>
            <w:tcW w:w="1218"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12%</w:t>
            </w:r>
          </w:p>
        </w:tc>
        <w:tc>
          <w:tcPr>
            <w:tcW w:w="1407"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2.5%</w:t>
            </w:r>
          </w:p>
        </w:tc>
        <w:tc>
          <w:tcPr>
            <w:tcW w:w="824"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4%</w:t>
            </w:r>
          </w:p>
        </w:tc>
        <w:tc>
          <w:tcPr>
            <w:tcW w:w="1539"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19%</w:t>
            </w:r>
          </w:p>
        </w:tc>
        <w:tc>
          <w:tcPr>
            <w:tcW w:w="1340"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3%</w:t>
            </w:r>
          </w:p>
        </w:tc>
        <w:tc>
          <w:tcPr>
            <w:tcW w:w="934"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1%</w:t>
            </w:r>
          </w:p>
        </w:tc>
        <w:tc>
          <w:tcPr>
            <w:tcW w:w="728"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790" w:type="dxa"/>
            <w:gridSpan w:val="2"/>
            <w:tcBorders>
              <w:top w:val="nil"/>
              <w:left w:val="nil"/>
              <w:bottom w:val="single" w:sz="8" w:space="0" w:color="D8D8D8"/>
              <w:right w:val="single" w:sz="8" w:space="0" w:color="000000"/>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3B3B3B"/>
                <w:sz w:val="16"/>
                <w:szCs w:val="16"/>
              </w:rPr>
              <w:t>42%</w:t>
            </w:r>
          </w:p>
        </w:tc>
      </w:tr>
      <w:tr w:rsidR="00BC6FF1" w:rsidTr="00FD2343">
        <w:trPr>
          <w:trHeight w:val="321"/>
        </w:trPr>
        <w:tc>
          <w:tcPr>
            <w:tcW w:w="1431" w:type="dxa"/>
            <w:tcBorders>
              <w:top w:val="nil"/>
              <w:left w:val="single" w:sz="8" w:space="0" w:color="000000"/>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Excellent</w:t>
            </w:r>
          </w:p>
        </w:tc>
        <w:tc>
          <w:tcPr>
            <w:tcW w:w="1218"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.5%</w:t>
            </w:r>
          </w:p>
        </w:tc>
        <w:tc>
          <w:tcPr>
            <w:tcW w:w="1407"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824"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1539"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1340"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1.5%</w:t>
            </w:r>
          </w:p>
        </w:tc>
        <w:tc>
          <w:tcPr>
            <w:tcW w:w="934"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 </w:t>
            </w:r>
          </w:p>
        </w:tc>
        <w:tc>
          <w:tcPr>
            <w:tcW w:w="728" w:type="dxa"/>
            <w:tcBorders>
              <w:top w:val="nil"/>
              <w:left w:val="nil"/>
              <w:bottom w:val="single" w:sz="8" w:space="0" w:color="D8D8D8"/>
              <w:right w:val="single" w:sz="8" w:space="0" w:color="D8D8D8"/>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color w:val="3B3B3B"/>
                <w:sz w:val="16"/>
                <w:szCs w:val="16"/>
              </w:rPr>
              <w:t>.5%</w:t>
            </w:r>
          </w:p>
        </w:tc>
        <w:tc>
          <w:tcPr>
            <w:tcW w:w="790" w:type="dxa"/>
            <w:gridSpan w:val="2"/>
            <w:tcBorders>
              <w:top w:val="nil"/>
              <w:left w:val="nil"/>
              <w:bottom w:val="single" w:sz="8" w:space="0" w:color="D8D8D8"/>
              <w:right w:val="single" w:sz="8" w:space="0" w:color="000000"/>
            </w:tcBorders>
            <w:shd w:val="clear" w:color="auto" w:fill="FFFFFF"/>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3B3B3B"/>
                <w:sz w:val="16"/>
                <w:szCs w:val="16"/>
              </w:rPr>
              <w:t>2.5%</w:t>
            </w:r>
          </w:p>
        </w:tc>
      </w:tr>
      <w:tr w:rsidR="00BC6FF1" w:rsidTr="00FD2343">
        <w:trPr>
          <w:trHeight w:val="321"/>
        </w:trPr>
        <w:tc>
          <w:tcPr>
            <w:tcW w:w="1431" w:type="dxa"/>
            <w:tcBorders>
              <w:top w:val="nil"/>
              <w:left w:val="single" w:sz="8" w:space="0" w:color="000000"/>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FFFFFF"/>
                <w:sz w:val="16"/>
                <w:szCs w:val="16"/>
              </w:rPr>
              <w:t>Total</w:t>
            </w:r>
          </w:p>
        </w:tc>
        <w:tc>
          <w:tcPr>
            <w:tcW w:w="1218"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FFFFFF"/>
                <w:sz w:val="16"/>
                <w:szCs w:val="16"/>
              </w:rPr>
              <w:t>40%</w:t>
            </w:r>
          </w:p>
        </w:tc>
        <w:tc>
          <w:tcPr>
            <w:tcW w:w="1407"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FFFFFF"/>
                <w:sz w:val="16"/>
                <w:szCs w:val="16"/>
              </w:rPr>
              <w:t>7.5%</w:t>
            </w:r>
          </w:p>
        </w:tc>
        <w:tc>
          <w:tcPr>
            <w:tcW w:w="824"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FFFFFF"/>
                <w:sz w:val="16"/>
                <w:szCs w:val="16"/>
              </w:rPr>
              <w:t>18%</w:t>
            </w:r>
          </w:p>
        </w:tc>
        <w:tc>
          <w:tcPr>
            <w:tcW w:w="1539"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FFFFFF"/>
                <w:sz w:val="16"/>
                <w:szCs w:val="16"/>
              </w:rPr>
              <w:t>25%</w:t>
            </w:r>
          </w:p>
        </w:tc>
        <w:tc>
          <w:tcPr>
            <w:tcW w:w="1340"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FFFFFF"/>
                <w:sz w:val="16"/>
                <w:szCs w:val="16"/>
              </w:rPr>
              <w:t>6.5%</w:t>
            </w:r>
          </w:p>
        </w:tc>
        <w:tc>
          <w:tcPr>
            <w:tcW w:w="934"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FFFFFF"/>
                <w:sz w:val="16"/>
                <w:szCs w:val="16"/>
              </w:rPr>
              <w:t>3.5%</w:t>
            </w:r>
          </w:p>
        </w:tc>
        <w:tc>
          <w:tcPr>
            <w:tcW w:w="728" w:type="dxa"/>
            <w:tcBorders>
              <w:top w:val="nil"/>
              <w:left w:val="nil"/>
              <w:bottom w:val="single" w:sz="8" w:space="0" w:color="D8D8D8"/>
              <w:right w:val="single" w:sz="8" w:space="0" w:color="D8D8D8"/>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FFFFFF"/>
                <w:sz w:val="16"/>
                <w:szCs w:val="16"/>
              </w:rPr>
              <w:t>.5%</w:t>
            </w:r>
          </w:p>
        </w:tc>
        <w:tc>
          <w:tcPr>
            <w:tcW w:w="790" w:type="dxa"/>
            <w:gridSpan w:val="2"/>
            <w:tcBorders>
              <w:top w:val="nil"/>
              <w:left w:val="nil"/>
              <w:bottom w:val="single" w:sz="8" w:space="0" w:color="D8D8D8"/>
              <w:right w:val="single" w:sz="8" w:space="0" w:color="000000"/>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rPr>
            </w:pPr>
            <w:r>
              <w:rPr>
                <w:rFonts w:ascii="Verdana" w:hAnsi="Verdana"/>
                <w:b/>
                <w:bCs/>
                <w:color w:val="FFFFFF"/>
                <w:sz w:val="16"/>
                <w:szCs w:val="16"/>
              </w:rPr>
              <w:t>100%</w:t>
            </w:r>
          </w:p>
        </w:tc>
      </w:tr>
      <w:tr w:rsidR="00BC6FF1" w:rsidTr="00FD2343">
        <w:trPr>
          <w:trHeight w:val="321"/>
        </w:trPr>
        <w:tc>
          <w:tcPr>
            <w:tcW w:w="10211" w:type="dxa"/>
            <w:gridSpan w:val="10"/>
            <w:tcBorders>
              <w:top w:val="nil"/>
              <w:left w:val="single" w:sz="8" w:space="0" w:color="000000"/>
              <w:bottom w:val="single" w:sz="8" w:space="0" w:color="D8D8D8"/>
              <w:right w:val="single" w:sz="8" w:space="0" w:color="000000"/>
            </w:tcBorders>
            <w:shd w:val="clear" w:color="auto" w:fill="552579"/>
            <w:tcMar>
              <w:top w:w="0" w:type="dxa"/>
              <w:left w:w="108" w:type="dxa"/>
              <w:bottom w:w="0" w:type="dxa"/>
              <w:right w:w="108" w:type="dxa"/>
            </w:tcMar>
            <w:vAlign w:val="center"/>
            <w:hideMark/>
          </w:tcPr>
          <w:p w:rsidR="00BC6FF1" w:rsidRDefault="00BC6FF1" w:rsidP="00FD2343">
            <w:pPr>
              <w:spacing w:after="0"/>
              <w:rPr>
                <w:rFonts w:eastAsiaTheme="minorHAnsi"/>
                <w:color w:val="FFFFFF"/>
                <w:sz w:val="18"/>
                <w:szCs w:val="18"/>
              </w:rPr>
            </w:pPr>
            <w:r>
              <w:rPr>
                <w:color w:val="FFFFFF"/>
                <w:sz w:val="18"/>
                <w:szCs w:val="18"/>
              </w:rPr>
              <w:t xml:space="preserve">*all </w:t>
            </w:r>
            <w:r w:rsidRPr="000B57F0">
              <w:rPr>
                <w:color w:val="FFFFFF" w:themeColor="background1"/>
                <w:sz w:val="18"/>
                <w:szCs w:val="18"/>
              </w:rPr>
              <w:t xml:space="preserve">percentages are rounded </w:t>
            </w:r>
            <w:r>
              <w:rPr>
                <w:color w:val="FFFFFF"/>
                <w:sz w:val="18"/>
                <w:szCs w:val="18"/>
              </w:rPr>
              <w:t>to the nearest .5</w:t>
            </w:r>
          </w:p>
          <w:p w:rsidR="00BC6FF1" w:rsidRDefault="00BC6FF1" w:rsidP="00FD2343">
            <w:pPr>
              <w:spacing w:after="0"/>
              <w:rPr>
                <w:rFonts w:eastAsiaTheme="minorHAnsi"/>
                <w:b/>
                <w:bCs/>
                <w:color w:val="FFFFFF"/>
              </w:rPr>
            </w:pPr>
            <w:r>
              <w:rPr>
                <w:color w:val="FFFFFF"/>
                <w:sz w:val="18"/>
                <w:szCs w:val="18"/>
              </w:rPr>
              <w:t xml:space="preserve">~ provider management type is based on information </w:t>
            </w:r>
            <w:r w:rsidRPr="000B57F0">
              <w:rPr>
                <w:color w:val="FFFFFF" w:themeColor="background1"/>
                <w:sz w:val="18"/>
                <w:szCs w:val="18"/>
              </w:rPr>
              <w:t>held in the NQAITS</w:t>
            </w:r>
          </w:p>
        </w:tc>
      </w:tr>
    </w:tbl>
    <w:p w:rsidR="008C6BA6" w:rsidRPr="00F71059" w:rsidRDefault="00F71059" w:rsidP="009646EC">
      <w:pPr>
        <w:pStyle w:val="AccessibleBody"/>
        <w:rPr>
          <w:sz w:val="18"/>
          <w:szCs w:val="18"/>
        </w:rPr>
      </w:pPr>
      <w:r w:rsidRPr="00F71059">
        <w:rPr>
          <w:sz w:val="18"/>
          <w:szCs w:val="18"/>
        </w:rPr>
        <w:t xml:space="preserve">Fig 16A Proportion of rating as a percentage of the cohort by Management </w:t>
      </w:r>
      <w:r w:rsidR="00713ADB">
        <w:rPr>
          <w:sz w:val="18"/>
          <w:szCs w:val="18"/>
        </w:rPr>
        <w:t>T</w:t>
      </w:r>
      <w:r w:rsidRPr="00F71059">
        <w:rPr>
          <w:sz w:val="18"/>
          <w:szCs w:val="18"/>
        </w:rPr>
        <w:t>ype</w:t>
      </w:r>
      <w:r w:rsidR="00713ADB">
        <w:rPr>
          <w:sz w:val="18"/>
          <w:szCs w:val="18"/>
        </w:rPr>
        <w:t>: Source ACECQA</w:t>
      </w:r>
      <w:r w:rsidRPr="00F71059">
        <w:rPr>
          <w:sz w:val="18"/>
          <w:szCs w:val="18"/>
        </w:rPr>
        <w:t>.</w:t>
      </w:r>
    </w:p>
    <w:p w:rsidR="00597836" w:rsidRPr="00AE4411" w:rsidRDefault="00597836" w:rsidP="009646EC">
      <w:pPr>
        <w:pStyle w:val="AccessibleBody"/>
      </w:pPr>
      <w:r w:rsidRPr="00AE4411">
        <w:t xml:space="preserve">When compared to quality ratings for each provider category there is an association between quality and </w:t>
      </w:r>
      <w:r w:rsidR="000521A4" w:rsidRPr="00AE4411">
        <w:t>better conditions.</w:t>
      </w:r>
    </w:p>
    <w:p w:rsidR="00C354DA" w:rsidRDefault="000521A4" w:rsidP="004F1504">
      <w:pPr>
        <w:pStyle w:val="AccessibleBody"/>
      </w:pPr>
      <w:r w:rsidRPr="00AE4411">
        <w:t>T</w:t>
      </w:r>
      <w:r w:rsidR="00D33A92" w:rsidRPr="00AE4411">
        <w:t xml:space="preserve">he spread between the lowest and highest prices available in the ACT </w:t>
      </w:r>
      <w:r w:rsidRPr="00AE4411">
        <w:t>is</w:t>
      </w:r>
      <w:r w:rsidR="00D33A92" w:rsidRPr="00AE4411">
        <w:t xml:space="preserve"> considerably narrower than in other jurisdictions. </w:t>
      </w:r>
      <w:r w:rsidR="005740C5" w:rsidRPr="00AE4411">
        <w:t>T</w:t>
      </w:r>
      <w:r w:rsidR="005435FB" w:rsidRPr="00AE4411">
        <w:t>he narrow spread of prices does suggest that there is less competitive pressure in the ACT than in other jurisdictions.</w:t>
      </w:r>
    </w:p>
    <w:p w:rsidR="00C354DA" w:rsidRDefault="00C354DA">
      <w:pPr>
        <w:spacing w:after="0" w:line="240" w:lineRule="auto"/>
        <w:rPr>
          <w:rFonts w:eastAsia="Times New Roman"/>
          <w:sz w:val="24"/>
          <w:szCs w:val="20"/>
        </w:rPr>
      </w:pPr>
      <w:r>
        <w:br w:type="page"/>
      </w:r>
    </w:p>
    <w:p w:rsidR="00F315E7" w:rsidRPr="00AE4411" w:rsidRDefault="00F315E7" w:rsidP="00841FED">
      <w:pPr>
        <w:pStyle w:val="PolicyHeading3-Accessible"/>
      </w:pPr>
      <w:bookmarkStart w:id="46" w:name="_Toc509497659"/>
      <w:r w:rsidRPr="00AE4411">
        <w:lastRenderedPageBreak/>
        <w:t xml:space="preserve">Interaction with the ACT Government preschool </w:t>
      </w:r>
      <w:r w:rsidR="009570FD" w:rsidRPr="00AE4411">
        <w:t>programs</w:t>
      </w:r>
      <w:bookmarkEnd w:id="46"/>
    </w:p>
    <w:p w:rsidR="00F315E7" w:rsidRPr="00AE4411" w:rsidRDefault="00F315E7" w:rsidP="00F315E7">
      <w:pPr>
        <w:rPr>
          <w:rFonts w:asciiTheme="minorHAnsi" w:hAnsiTheme="minorHAnsi" w:cs="Arial"/>
          <w:sz w:val="24"/>
        </w:rPr>
      </w:pPr>
      <w:r w:rsidRPr="00AE4411">
        <w:rPr>
          <w:rFonts w:asciiTheme="minorHAnsi" w:hAnsiTheme="minorHAnsi" w:cs="Arial"/>
          <w:sz w:val="24"/>
        </w:rPr>
        <w:t xml:space="preserve">The number of 0-2 year olds placed in </w:t>
      </w:r>
      <w:r w:rsidR="00D046ED" w:rsidRPr="00AE4411">
        <w:rPr>
          <w:rFonts w:asciiTheme="minorHAnsi" w:hAnsiTheme="minorHAnsi" w:cs="Arial"/>
          <w:sz w:val="24"/>
        </w:rPr>
        <w:t>ECEC services in the ACT</w:t>
      </w:r>
      <w:r w:rsidRPr="00AE4411">
        <w:rPr>
          <w:rFonts w:asciiTheme="minorHAnsi" w:hAnsiTheme="minorHAnsi" w:cs="Arial"/>
          <w:sz w:val="24"/>
        </w:rPr>
        <w:t xml:space="preserve"> is substantially higher than in other States and Territories. The NQF requires </w:t>
      </w:r>
      <w:r w:rsidR="009570FD" w:rsidRPr="00AE4411">
        <w:rPr>
          <w:rFonts w:asciiTheme="minorHAnsi" w:hAnsiTheme="minorHAnsi" w:cs="Arial"/>
          <w:sz w:val="24"/>
        </w:rPr>
        <w:t xml:space="preserve">a </w:t>
      </w:r>
      <w:r w:rsidR="00D046ED" w:rsidRPr="00AE4411">
        <w:rPr>
          <w:rFonts w:asciiTheme="minorHAnsi" w:hAnsiTheme="minorHAnsi" w:cs="Arial"/>
          <w:sz w:val="24"/>
        </w:rPr>
        <w:t>higher</w:t>
      </w:r>
      <w:r w:rsidRPr="00AE4411">
        <w:rPr>
          <w:rFonts w:asciiTheme="minorHAnsi" w:hAnsiTheme="minorHAnsi" w:cs="Arial"/>
          <w:sz w:val="24"/>
        </w:rPr>
        <w:t xml:space="preserve"> staffing ratio for children aged 0-2, </w:t>
      </w:r>
      <w:r w:rsidR="009570FD" w:rsidRPr="00AE4411">
        <w:rPr>
          <w:rFonts w:asciiTheme="minorHAnsi" w:hAnsiTheme="minorHAnsi" w:cs="Arial"/>
          <w:sz w:val="24"/>
        </w:rPr>
        <w:t>than for older age cohorts.</w:t>
      </w:r>
      <w:r w:rsidR="0084434F">
        <w:rPr>
          <w:rFonts w:asciiTheme="minorHAnsi" w:hAnsiTheme="minorHAnsi" w:cs="Arial"/>
          <w:sz w:val="24"/>
        </w:rPr>
        <w:t xml:space="preserve"> </w:t>
      </w:r>
      <w:r w:rsidR="009570FD" w:rsidRPr="00AE4411">
        <w:rPr>
          <w:rFonts w:asciiTheme="minorHAnsi" w:hAnsiTheme="minorHAnsi" w:cs="Arial"/>
          <w:sz w:val="24"/>
        </w:rPr>
        <w:t>Higher staffing ratios inherently results in higher costs.</w:t>
      </w:r>
      <w:r w:rsidRPr="00AE4411">
        <w:rPr>
          <w:rFonts w:asciiTheme="minorHAnsi" w:hAnsiTheme="minorHAnsi" w:cs="Arial"/>
          <w:sz w:val="24"/>
        </w:rPr>
        <w:t xml:space="preserve"> This increased demand for 0-2 year olds </w:t>
      </w:r>
      <w:r w:rsidR="00D046ED" w:rsidRPr="00AE4411">
        <w:rPr>
          <w:rFonts w:asciiTheme="minorHAnsi" w:hAnsiTheme="minorHAnsi" w:cs="Arial"/>
          <w:sz w:val="24"/>
        </w:rPr>
        <w:t xml:space="preserve">is likely to </w:t>
      </w:r>
      <w:r w:rsidRPr="00AE4411">
        <w:rPr>
          <w:rFonts w:asciiTheme="minorHAnsi" w:hAnsiTheme="minorHAnsi" w:cs="Arial"/>
          <w:sz w:val="24"/>
        </w:rPr>
        <w:t xml:space="preserve">increase the average cost in the ACT. While it would be difficult to measure the impact of this, this compositional anomaly in the ACT </w:t>
      </w:r>
      <w:r w:rsidR="009570FD" w:rsidRPr="00AE4411">
        <w:rPr>
          <w:rFonts w:asciiTheme="minorHAnsi" w:hAnsiTheme="minorHAnsi" w:cs="Arial"/>
          <w:sz w:val="24"/>
        </w:rPr>
        <w:t>is relevant</w:t>
      </w:r>
      <w:r w:rsidRPr="00AE4411">
        <w:rPr>
          <w:rFonts w:asciiTheme="minorHAnsi" w:hAnsiTheme="minorHAnsi" w:cs="Arial"/>
          <w:sz w:val="24"/>
        </w:rPr>
        <w:t xml:space="preserve"> </w:t>
      </w:r>
      <w:r w:rsidR="008A5FE5" w:rsidRPr="00AE4411">
        <w:rPr>
          <w:rFonts w:asciiTheme="minorHAnsi" w:hAnsiTheme="minorHAnsi" w:cs="Arial"/>
          <w:b/>
          <w:sz w:val="24"/>
        </w:rPr>
        <w:t>Figure </w:t>
      </w:r>
      <w:r w:rsidRPr="00AE4411">
        <w:rPr>
          <w:rFonts w:asciiTheme="minorHAnsi" w:hAnsiTheme="minorHAnsi" w:cs="Arial"/>
          <w:b/>
          <w:sz w:val="24"/>
        </w:rPr>
        <w:t>1</w:t>
      </w:r>
      <w:r w:rsidR="009259A2" w:rsidRPr="00AE4411">
        <w:rPr>
          <w:rFonts w:asciiTheme="minorHAnsi" w:hAnsiTheme="minorHAnsi" w:cs="Arial"/>
          <w:b/>
          <w:sz w:val="24"/>
        </w:rPr>
        <w:t>7</w:t>
      </w:r>
      <w:r w:rsidRPr="00AE4411">
        <w:rPr>
          <w:rFonts w:asciiTheme="minorHAnsi" w:hAnsiTheme="minorHAnsi" w:cs="Arial"/>
          <w:sz w:val="24"/>
        </w:rPr>
        <w:t xml:space="preserve"> below outlines the proportion of children attending ECEC by age and shows different composition of ACT ECEC compared to other States and Territories</w:t>
      </w:r>
      <w:r w:rsidRPr="00AE4411">
        <w:rPr>
          <w:rStyle w:val="FootnoteReference"/>
          <w:rFonts w:asciiTheme="minorHAnsi" w:hAnsiTheme="minorHAnsi" w:cs="Arial"/>
          <w:sz w:val="24"/>
        </w:rPr>
        <w:footnoteReference w:id="21"/>
      </w:r>
      <w:r w:rsidRPr="00AE4411">
        <w:rPr>
          <w:rFonts w:asciiTheme="minorHAnsi" w:hAnsiTheme="minorHAnsi" w:cs="Arial"/>
          <w:sz w:val="24"/>
        </w:rPr>
        <w:t>.</w:t>
      </w:r>
    </w:p>
    <w:tbl>
      <w:tblPr>
        <w:tblStyle w:val="MediumShading1-Accent4"/>
        <w:tblW w:w="8797" w:type="dxa"/>
        <w:tblLook w:val="04A0" w:firstRow="1" w:lastRow="0" w:firstColumn="1" w:lastColumn="0" w:noHBand="0" w:noVBand="1"/>
      </w:tblPr>
      <w:tblGrid>
        <w:gridCol w:w="2119"/>
        <w:gridCol w:w="742"/>
        <w:gridCol w:w="742"/>
        <w:gridCol w:w="742"/>
        <w:gridCol w:w="742"/>
        <w:gridCol w:w="742"/>
        <w:gridCol w:w="742"/>
        <w:gridCol w:w="742"/>
        <w:gridCol w:w="742"/>
        <w:gridCol w:w="742"/>
      </w:tblGrid>
      <w:tr w:rsidR="00F315E7" w:rsidRPr="00AE4411" w:rsidTr="00852F96">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19" w:type="dxa"/>
            <w:noWrap/>
            <w:hideMark/>
          </w:tcPr>
          <w:p w:rsidR="00F315E7" w:rsidRPr="00261A9F" w:rsidRDefault="005740C5" w:rsidP="00852F96">
            <w:pPr>
              <w:rPr>
                <w:lang w:eastAsia="en-AU"/>
              </w:rPr>
            </w:pPr>
            <w:r w:rsidRPr="00261A9F">
              <w:rPr>
                <w:lang w:eastAsia="en-AU"/>
              </w:rPr>
              <w:t>Cohort Groups</w:t>
            </w:r>
          </w:p>
        </w:tc>
        <w:tc>
          <w:tcPr>
            <w:tcW w:w="742" w:type="dxa"/>
            <w:noWrap/>
            <w:hideMark/>
          </w:tcPr>
          <w:p w:rsidR="00F315E7" w:rsidRPr="00261A9F" w:rsidRDefault="00F315E7" w:rsidP="00852F96">
            <w:pPr>
              <w:cnfStyle w:val="100000000000" w:firstRow="1" w:lastRow="0" w:firstColumn="0" w:lastColumn="0" w:oddVBand="0" w:evenVBand="0" w:oddHBand="0" w:evenHBand="0" w:firstRowFirstColumn="0" w:firstRowLastColumn="0" w:lastRowFirstColumn="0" w:lastRowLastColumn="0"/>
              <w:rPr>
                <w:bCs w:val="0"/>
                <w:lang w:eastAsia="en-AU"/>
              </w:rPr>
            </w:pPr>
            <w:r w:rsidRPr="00261A9F">
              <w:rPr>
                <w:bCs w:val="0"/>
                <w:lang w:eastAsia="en-AU"/>
              </w:rPr>
              <w:t>NSW</w:t>
            </w:r>
          </w:p>
        </w:tc>
        <w:tc>
          <w:tcPr>
            <w:tcW w:w="742" w:type="dxa"/>
            <w:noWrap/>
            <w:hideMark/>
          </w:tcPr>
          <w:p w:rsidR="00F315E7" w:rsidRPr="00261A9F" w:rsidRDefault="00F315E7" w:rsidP="00852F96">
            <w:pPr>
              <w:cnfStyle w:val="100000000000" w:firstRow="1" w:lastRow="0" w:firstColumn="0" w:lastColumn="0" w:oddVBand="0" w:evenVBand="0" w:oddHBand="0" w:evenHBand="0" w:firstRowFirstColumn="0" w:firstRowLastColumn="0" w:lastRowFirstColumn="0" w:lastRowLastColumn="0"/>
              <w:rPr>
                <w:bCs w:val="0"/>
                <w:lang w:eastAsia="en-AU"/>
              </w:rPr>
            </w:pPr>
            <w:r w:rsidRPr="00261A9F">
              <w:rPr>
                <w:bCs w:val="0"/>
                <w:lang w:eastAsia="en-AU"/>
              </w:rPr>
              <w:t>VIC</w:t>
            </w:r>
          </w:p>
        </w:tc>
        <w:tc>
          <w:tcPr>
            <w:tcW w:w="742" w:type="dxa"/>
            <w:noWrap/>
            <w:hideMark/>
          </w:tcPr>
          <w:p w:rsidR="00F315E7" w:rsidRPr="00261A9F" w:rsidRDefault="00F315E7" w:rsidP="00852F96">
            <w:pPr>
              <w:cnfStyle w:val="100000000000" w:firstRow="1" w:lastRow="0" w:firstColumn="0" w:lastColumn="0" w:oddVBand="0" w:evenVBand="0" w:oddHBand="0" w:evenHBand="0" w:firstRowFirstColumn="0" w:firstRowLastColumn="0" w:lastRowFirstColumn="0" w:lastRowLastColumn="0"/>
              <w:rPr>
                <w:bCs w:val="0"/>
                <w:lang w:eastAsia="en-AU"/>
              </w:rPr>
            </w:pPr>
            <w:r w:rsidRPr="00261A9F">
              <w:rPr>
                <w:bCs w:val="0"/>
                <w:lang w:eastAsia="en-AU"/>
              </w:rPr>
              <w:t>QLD</w:t>
            </w:r>
          </w:p>
        </w:tc>
        <w:tc>
          <w:tcPr>
            <w:tcW w:w="742" w:type="dxa"/>
            <w:noWrap/>
            <w:hideMark/>
          </w:tcPr>
          <w:p w:rsidR="00F315E7" w:rsidRPr="00261A9F" w:rsidRDefault="00F315E7" w:rsidP="00852F96">
            <w:pPr>
              <w:cnfStyle w:val="100000000000" w:firstRow="1" w:lastRow="0" w:firstColumn="0" w:lastColumn="0" w:oddVBand="0" w:evenVBand="0" w:oddHBand="0" w:evenHBand="0" w:firstRowFirstColumn="0" w:firstRowLastColumn="0" w:lastRowFirstColumn="0" w:lastRowLastColumn="0"/>
              <w:rPr>
                <w:bCs w:val="0"/>
                <w:lang w:eastAsia="en-AU"/>
              </w:rPr>
            </w:pPr>
            <w:r w:rsidRPr="00261A9F">
              <w:rPr>
                <w:bCs w:val="0"/>
                <w:lang w:eastAsia="en-AU"/>
              </w:rPr>
              <w:t>WA</w:t>
            </w:r>
          </w:p>
        </w:tc>
        <w:tc>
          <w:tcPr>
            <w:tcW w:w="742" w:type="dxa"/>
            <w:noWrap/>
            <w:hideMark/>
          </w:tcPr>
          <w:p w:rsidR="00F315E7" w:rsidRPr="00261A9F" w:rsidRDefault="00F315E7" w:rsidP="00852F96">
            <w:pPr>
              <w:cnfStyle w:val="100000000000" w:firstRow="1" w:lastRow="0" w:firstColumn="0" w:lastColumn="0" w:oddVBand="0" w:evenVBand="0" w:oddHBand="0" w:evenHBand="0" w:firstRowFirstColumn="0" w:firstRowLastColumn="0" w:lastRowFirstColumn="0" w:lastRowLastColumn="0"/>
              <w:rPr>
                <w:bCs w:val="0"/>
                <w:lang w:eastAsia="en-AU"/>
              </w:rPr>
            </w:pPr>
            <w:r w:rsidRPr="00261A9F">
              <w:rPr>
                <w:bCs w:val="0"/>
                <w:lang w:eastAsia="en-AU"/>
              </w:rPr>
              <w:t>SA</w:t>
            </w:r>
          </w:p>
        </w:tc>
        <w:tc>
          <w:tcPr>
            <w:tcW w:w="742" w:type="dxa"/>
            <w:noWrap/>
            <w:hideMark/>
          </w:tcPr>
          <w:p w:rsidR="00F315E7" w:rsidRPr="00261A9F" w:rsidRDefault="00F315E7" w:rsidP="00852F96">
            <w:pPr>
              <w:cnfStyle w:val="100000000000" w:firstRow="1" w:lastRow="0" w:firstColumn="0" w:lastColumn="0" w:oddVBand="0" w:evenVBand="0" w:oddHBand="0" w:evenHBand="0" w:firstRowFirstColumn="0" w:firstRowLastColumn="0" w:lastRowFirstColumn="0" w:lastRowLastColumn="0"/>
              <w:rPr>
                <w:bCs w:val="0"/>
                <w:lang w:eastAsia="en-AU"/>
              </w:rPr>
            </w:pPr>
            <w:r w:rsidRPr="00261A9F">
              <w:rPr>
                <w:bCs w:val="0"/>
                <w:lang w:eastAsia="en-AU"/>
              </w:rPr>
              <w:t>TAS</w:t>
            </w:r>
          </w:p>
        </w:tc>
        <w:tc>
          <w:tcPr>
            <w:tcW w:w="742" w:type="dxa"/>
            <w:noWrap/>
            <w:hideMark/>
          </w:tcPr>
          <w:p w:rsidR="00F315E7" w:rsidRPr="00261A9F" w:rsidRDefault="00F315E7" w:rsidP="00852F96">
            <w:pPr>
              <w:cnfStyle w:val="100000000000" w:firstRow="1" w:lastRow="0" w:firstColumn="0" w:lastColumn="0" w:oddVBand="0" w:evenVBand="0" w:oddHBand="0" w:evenHBand="0" w:firstRowFirstColumn="0" w:firstRowLastColumn="0" w:lastRowFirstColumn="0" w:lastRowLastColumn="0"/>
              <w:rPr>
                <w:bCs w:val="0"/>
                <w:lang w:eastAsia="en-AU"/>
              </w:rPr>
            </w:pPr>
            <w:r w:rsidRPr="00261A9F">
              <w:rPr>
                <w:bCs w:val="0"/>
                <w:lang w:eastAsia="en-AU"/>
              </w:rPr>
              <w:t>ACT</w:t>
            </w:r>
          </w:p>
        </w:tc>
        <w:tc>
          <w:tcPr>
            <w:tcW w:w="742" w:type="dxa"/>
            <w:noWrap/>
            <w:hideMark/>
          </w:tcPr>
          <w:p w:rsidR="00F315E7" w:rsidRPr="00261A9F" w:rsidRDefault="00F315E7" w:rsidP="00852F96">
            <w:pPr>
              <w:cnfStyle w:val="100000000000" w:firstRow="1" w:lastRow="0" w:firstColumn="0" w:lastColumn="0" w:oddVBand="0" w:evenVBand="0" w:oddHBand="0" w:evenHBand="0" w:firstRowFirstColumn="0" w:firstRowLastColumn="0" w:lastRowFirstColumn="0" w:lastRowLastColumn="0"/>
              <w:rPr>
                <w:bCs w:val="0"/>
                <w:lang w:eastAsia="en-AU"/>
              </w:rPr>
            </w:pPr>
            <w:r w:rsidRPr="00261A9F">
              <w:rPr>
                <w:bCs w:val="0"/>
                <w:lang w:eastAsia="en-AU"/>
              </w:rPr>
              <w:t>NT</w:t>
            </w:r>
          </w:p>
        </w:tc>
        <w:tc>
          <w:tcPr>
            <w:tcW w:w="742" w:type="dxa"/>
            <w:noWrap/>
            <w:hideMark/>
          </w:tcPr>
          <w:p w:rsidR="00F315E7" w:rsidRPr="00261A9F" w:rsidRDefault="00F315E7" w:rsidP="00852F96">
            <w:pPr>
              <w:cnfStyle w:val="100000000000" w:firstRow="1" w:lastRow="0" w:firstColumn="0" w:lastColumn="0" w:oddVBand="0" w:evenVBand="0" w:oddHBand="0" w:evenHBand="0" w:firstRowFirstColumn="0" w:firstRowLastColumn="0" w:lastRowFirstColumn="0" w:lastRowLastColumn="0"/>
              <w:rPr>
                <w:bCs w:val="0"/>
                <w:lang w:eastAsia="en-AU"/>
              </w:rPr>
            </w:pPr>
            <w:r w:rsidRPr="00261A9F">
              <w:rPr>
                <w:bCs w:val="0"/>
                <w:lang w:eastAsia="en-AU"/>
              </w:rPr>
              <w:t>Aust</w:t>
            </w:r>
          </w:p>
        </w:tc>
      </w:tr>
      <w:tr w:rsidR="00F315E7" w:rsidRPr="00AE4411" w:rsidTr="00852F9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19" w:type="dxa"/>
            <w:noWrap/>
            <w:hideMark/>
          </w:tcPr>
          <w:p w:rsidR="00F315E7" w:rsidRPr="00AE4411" w:rsidRDefault="00F315E7" w:rsidP="00852F96">
            <w:pPr>
              <w:rPr>
                <w:rFonts w:cs="Arial"/>
                <w:lang w:eastAsia="en-AU"/>
              </w:rPr>
            </w:pPr>
            <w:r w:rsidRPr="00AE4411">
              <w:rPr>
                <w:rFonts w:cs="Arial"/>
                <w:lang w:eastAsia="en-AU"/>
              </w:rPr>
              <w:t>0 years (%)</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9.5</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11.1</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11.4</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7.5</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9.4</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11.0</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15.3</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7.0</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10.1</w:t>
            </w:r>
          </w:p>
        </w:tc>
      </w:tr>
      <w:tr w:rsidR="00F315E7" w:rsidRPr="00AE4411" w:rsidTr="00852F96">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19" w:type="dxa"/>
            <w:noWrap/>
            <w:hideMark/>
          </w:tcPr>
          <w:p w:rsidR="00F315E7" w:rsidRPr="00AE4411" w:rsidRDefault="00F315E7" w:rsidP="00852F96">
            <w:pPr>
              <w:rPr>
                <w:rFonts w:cs="Arial"/>
                <w:lang w:eastAsia="en-AU"/>
              </w:rPr>
            </w:pPr>
            <w:r w:rsidRPr="00AE4411">
              <w:rPr>
                <w:rFonts w:cs="Arial"/>
                <w:lang w:eastAsia="en-AU"/>
              </w:rPr>
              <w:t>1 years (%)</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39.1</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41.1</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44.3</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31.6</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39.1</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41.6</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54.6</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27.5</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39.7</w:t>
            </w:r>
          </w:p>
        </w:tc>
      </w:tr>
      <w:tr w:rsidR="00F315E7" w:rsidRPr="00AE4411" w:rsidTr="00852F9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19" w:type="dxa"/>
            <w:noWrap/>
            <w:hideMark/>
          </w:tcPr>
          <w:p w:rsidR="00F315E7" w:rsidRPr="00AE4411" w:rsidRDefault="00F315E7" w:rsidP="00852F96">
            <w:pPr>
              <w:rPr>
                <w:rFonts w:cs="Arial"/>
                <w:lang w:eastAsia="en-AU"/>
              </w:rPr>
            </w:pPr>
            <w:r w:rsidRPr="00AE4411">
              <w:rPr>
                <w:rFonts w:cs="Arial"/>
                <w:lang w:eastAsia="en-AU"/>
              </w:rPr>
              <w:t>2 years (%)</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58.8</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54.4</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59.7</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43.8</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51.5</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50.3</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67.2</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35.1</w:t>
            </w:r>
          </w:p>
        </w:tc>
        <w:tc>
          <w:tcPr>
            <w:tcW w:w="742" w:type="dxa"/>
            <w:noWrap/>
            <w:hideMark/>
          </w:tcPr>
          <w:p w:rsidR="00F315E7" w:rsidRPr="00AE4411" w:rsidRDefault="00F315E7"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55.1</w:t>
            </w:r>
          </w:p>
        </w:tc>
      </w:tr>
      <w:tr w:rsidR="00F315E7" w:rsidRPr="00AE4411" w:rsidTr="00852F96">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19" w:type="dxa"/>
            <w:noWrap/>
            <w:hideMark/>
          </w:tcPr>
          <w:p w:rsidR="00F315E7" w:rsidRPr="00AE4411" w:rsidRDefault="00F315E7" w:rsidP="00852F96">
            <w:pPr>
              <w:rPr>
                <w:rFonts w:cs="Arial"/>
                <w:lang w:eastAsia="en-AU"/>
              </w:rPr>
            </w:pPr>
            <w:r w:rsidRPr="00AE4411">
              <w:rPr>
                <w:rFonts w:cs="Arial"/>
                <w:lang w:eastAsia="en-AU"/>
              </w:rPr>
              <w:t>3 years (%)</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67.9</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59.1</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67.3</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46.8</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58.7</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58.4</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71.9</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39.0</w:t>
            </w:r>
          </w:p>
        </w:tc>
        <w:tc>
          <w:tcPr>
            <w:tcW w:w="742" w:type="dxa"/>
            <w:noWrap/>
            <w:hideMark/>
          </w:tcPr>
          <w:p w:rsidR="00F315E7" w:rsidRPr="00AE4411" w:rsidRDefault="00F315E7"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61.8</w:t>
            </w:r>
          </w:p>
        </w:tc>
      </w:tr>
    </w:tbl>
    <w:p w:rsidR="00F315E7" w:rsidRPr="00AE4411" w:rsidRDefault="00F315E7" w:rsidP="00F315E7">
      <w:pPr>
        <w:pStyle w:val="AccessibleBody"/>
        <w:rPr>
          <w:sz w:val="18"/>
          <w:szCs w:val="18"/>
        </w:rPr>
      </w:pPr>
      <w:r w:rsidRPr="00AE4411">
        <w:rPr>
          <w:sz w:val="18"/>
          <w:szCs w:val="18"/>
        </w:rPr>
        <w:t>Figure 1</w:t>
      </w:r>
      <w:r w:rsidR="009259A2" w:rsidRPr="00AE4411">
        <w:rPr>
          <w:sz w:val="18"/>
          <w:szCs w:val="18"/>
        </w:rPr>
        <w:t>7</w:t>
      </w:r>
      <w:r w:rsidRPr="00AE4411">
        <w:rPr>
          <w:sz w:val="18"/>
          <w:szCs w:val="18"/>
        </w:rPr>
        <w:t xml:space="preserve"> – Distribution of children by age cohort across jurisdictions</w:t>
      </w:r>
    </w:p>
    <w:p w:rsidR="00F315E7" w:rsidRPr="00AE4411" w:rsidRDefault="009570FD" w:rsidP="00F315E7">
      <w:pPr>
        <w:pStyle w:val="AccessibleBody"/>
      </w:pPr>
      <w:r w:rsidRPr="00AE4411">
        <w:t>T</w:t>
      </w:r>
      <w:r w:rsidR="00F315E7" w:rsidRPr="00AE4411">
        <w:t xml:space="preserve">he ECEC sector </w:t>
      </w:r>
      <w:r w:rsidRPr="00AE4411">
        <w:t>advised the 2016</w:t>
      </w:r>
      <w:r w:rsidR="009C5EBE">
        <w:t xml:space="preserve"> </w:t>
      </w:r>
      <w:r w:rsidR="001135FA" w:rsidRPr="00AE4411">
        <w:t>Review</w:t>
      </w:r>
      <w:r w:rsidR="00F315E7" w:rsidRPr="00AE4411">
        <w:t xml:space="preserve"> that one of the primary drivers of cost in the ECEC sector is the intersection between the ACT Government preschool program and the ECEC services. In essence, th</w:t>
      </w:r>
      <w:r w:rsidRPr="00AE4411">
        <w:t>e</w:t>
      </w:r>
      <w:r w:rsidR="00F315E7" w:rsidRPr="00AE4411">
        <w:t xml:space="preserve"> </w:t>
      </w:r>
      <w:r w:rsidRPr="00AE4411">
        <w:t xml:space="preserve">view put was that the success of </w:t>
      </w:r>
      <w:r w:rsidR="00F315E7" w:rsidRPr="00AE4411">
        <w:t>15 hours of free preschool</w:t>
      </w:r>
      <w:r w:rsidRPr="00AE4411">
        <w:t xml:space="preserve"> per week</w:t>
      </w:r>
      <w:r w:rsidR="00F315E7" w:rsidRPr="00AE4411">
        <w:t xml:space="preserve"> </w:t>
      </w:r>
      <w:r w:rsidRPr="00AE4411">
        <w:t xml:space="preserve">reduces the numbers of four year-olds </w:t>
      </w:r>
      <w:r w:rsidR="00F315E7" w:rsidRPr="00AE4411">
        <w:t xml:space="preserve">from ECEC centres and that </w:t>
      </w:r>
      <w:r w:rsidRPr="00AE4411">
        <w:t xml:space="preserve">four year olds are </w:t>
      </w:r>
      <w:r w:rsidR="00F315E7" w:rsidRPr="00AE4411">
        <w:t xml:space="preserve">most ‘profitable’ </w:t>
      </w:r>
      <w:r w:rsidRPr="00AE4411">
        <w:t xml:space="preserve">cohort of children </w:t>
      </w:r>
      <w:r w:rsidR="00F315E7" w:rsidRPr="00AE4411">
        <w:t xml:space="preserve">due to much lower staffing ratios required for </w:t>
      </w:r>
      <w:r w:rsidR="005435FB" w:rsidRPr="00AE4411">
        <w:t>four</w:t>
      </w:r>
      <w:r w:rsidR="00F315E7" w:rsidRPr="00AE4411">
        <w:t xml:space="preserve"> year</w:t>
      </w:r>
      <w:r w:rsidRPr="00AE4411">
        <w:t>-</w:t>
      </w:r>
      <w:r w:rsidR="00F315E7" w:rsidRPr="00AE4411">
        <w:t>old</w:t>
      </w:r>
      <w:r w:rsidRPr="00AE4411">
        <w:t>s. Consequently, the higher numbers of younger children combined with lower numbers of four year-olds creates in a higher cost profile.</w:t>
      </w:r>
    </w:p>
    <w:p w:rsidR="00D046ED" w:rsidRPr="00AE4411" w:rsidRDefault="00A90FE6" w:rsidP="00F315E7">
      <w:pPr>
        <w:pStyle w:val="AccessibleBody"/>
      </w:pPr>
      <w:r w:rsidRPr="00AE4411">
        <w:t>The resident population of four year old children in the ACT in 2015 was</w:t>
      </w:r>
      <w:r w:rsidR="00D046ED" w:rsidRPr="00AE4411">
        <w:t xml:space="preserve"> 5193</w:t>
      </w:r>
      <w:r w:rsidRPr="00AE4411">
        <w:rPr>
          <w:rStyle w:val="FootnoteReference"/>
        </w:rPr>
        <w:footnoteReference w:id="22"/>
      </w:r>
      <w:r w:rsidRPr="00AE4411">
        <w:t xml:space="preserve">. In 2016, there were 4,456 children enrolled in ACT Government preschools (a very small number were 3 years old due to the provisions of early entry schemes). A further 1,213 were enrolled at preschools associated with non-government schools, for a total </w:t>
      </w:r>
      <w:r w:rsidR="005435FB" w:rsidRPr="00AE4411">
        <w:t xml:space="preserve">preschool </w:t>
      </w:r>
      <w:r w:rsidRPr="00AE4411">
        <w:t xml:space="preserve">enrolment of 5,669. </w:t>
      </w:r>
      <w:r w:rsidR="00F21990" w:rsidRPr="00AE4411">
        <w:t>(</w:t>
      </w:r>
      <w:r w:rsidRPr="00AE4411">
        <w:t>The total does not match the ACT resident population primarily due to enrolments from NSW.</w:t>
      </w:r>
      <w:r w:rsidR="00F21990" w:rsidRPr="00AE4411">
        <w:t>)</w:t>
      </w:r>
    </w:p>
    <w:p w:rsidR="00F21990" w:rsidRPr="00AE4411" w:rsidRDefault="00A90FE6" w:rsidP="00F315E7">
      <w:pPr>
        <w:pStyle w:val="AccessibleBody"/>
      </w:pPr>
      <w:r w:rsidRPr="00AE4411">
        <w:t>Enrolments at non-government school associated preschools tend to involve wrap-around services, which mean that these children are no longer likely to be clients of other ECEC service providers. Children a</w:t>
      </w:r>
      <w:r w:rsidR="009C5EBE">
        <w:t xml:space="preserve">ttending Government preschools </w:t>
      </w:r>
      <w:r w:rsidRPr="00AE4411">
        <w:t xml:space="preserve">however receive 15 hours of </w:t>
      </w:r>
      <w:r w:rsidR="00F21990" w:rsidRPr="00AE4411">
        <w:lastRenderedPageBreak/>
        <w:t xml:space="preserve">free education and </w:t>
      </w:r>
      <w:r w:rsidRPr="00AE4411">
        <w:t xml:space="preserve">care per week, </w:t>
      </w:r>
      <w:r w:rsidR="009259A2" w:rsidRPr="00AE4411">
        <w:t xml:space="preserve">expressed as two or three </w:t>
      </w:r>
      <w:r w:rsidRPr="00AE4411">
        <w:t xml:space="preserve">days between 9:00 and 3:00pm </w:t>
      </w:r>
      <w:r w:rsidR="009259A2" w:rsidRPr="00AE4411">
        <w:t>each week</w:t>
      </w:r>
      <w:r w:rsidR="009C5EBE">
        <w:t xml:space="preserve">. </w:t>
      </w:r>
      <w:r w:rsidR="00F21990" w:rsidRPr="00AE4411">
        <w:t xml:space="preserve">Families and carers </w:t>
      </w:r>
      <w:r w:rsidRPr="00AE4411">
        <w:t xml:space="preserve">need to make alternative arrangements for the remainder of the week. </w:t>
      </w:r>
    </w:p>
    <w:p w:rsidR="00A90FE6" w:rsidRPr="00AE4411" w:rsidRDefault="00F21990" w:rsidP="00F315E7">
      <w:pPr>
        <w:pStyle w:val="AccessibleBody"/>
      </w:pPr>
      <w:r w:rsidRPr="00AE4411">
        <w:t>T</w:t>
      </w:r>
      <w:r w:rsidR="00201B4F" w:rsidRPr="00AE4411">
        <w:t>he overall proportion of 4 year old children at Government preschools is very high, approximately 90% of the total available population of 4 year olds. This is considerably higher than the proportion of children who attend ECEC services prior to becoming eligible for preschool. This can be for multiple reasons, including cost, and parental choice.</w:t>
      </w:r>
    </w:p>
    <w:p w:rsidR="005435FB" w:rsidRPr="00AE4411" w:rsidRDefault="00A90FE6" w:rsidP="009259A2">
      <w:pPr>
        <w:pStyle w:val="AccessibleBody"/>
      </w:pPr>
      <w:r w:rsidRPr="00AE4411">
        <w:t>Some of these</w:t>
      </w:r>
      <w:r w:rsidR="00201B4F" w:rsidRPr="00AE4411">
        <w:t xml:space="preserve"> attending Government preschools</w:t>
      </w:r>
      <w:r w:rsidRPr="00AE4411">
        <w:t xml:space="preserve"> children have part time places at ECEC service providers</w:t>
      </w:r>
      <w:r w:rsidR="00201B4F" w:rsidRPr="00AE4411">
        <w:t xml:space="preserve"> for the period outside the 15 hours</w:t>
      </w:r>
      <w:r w:rsidRPr="00AE4411">
        <w:t xml:space="preserve">, while the parents of others make their own arrangements. </w:t>
      </w:r>
      <w:r w:rsidR="00201B4F" w:rsidRPr="00AE4411">
        <w:t>While this arrangement does indeed impact on the cost structures of ECEC service providers, it has been stable as a proportion of 4 year olds removed from the care of ECEC service providers for a number of years.</w:t>
      </w:r>
      <w:r w:rsidR="009259A2" w:rsidRPr="00AE4411">
        <w:t xml:space="preserve"> </w:t>
      </w:r>
      <w:r w:rsidR="005435FB" w:rsidRPr="00AE4411">
        <w:rPr>
          <w:b/>
        </w:rPr>
        <w:t xml:space="preserve">Figure </w:t>
      </w:r>
      <w:r w:rsidR="009259A2" w:rsidRPr="00AE4411">
        <w:rPr>
          <w:b/>
        </w:rPr>
        <w:t>18</w:t>
      </w:r>
      <w:r w:rsidR="005435FB" w:rsidRPr="00AE4411">
        <w:t xml:space="preserve"> below shows the share of preschool enrolments in the ACT between 2009 and 2015 by school sector</w:t>
      </w:r>
      <w:r w:rsidR="005435FB" w:rsidRPr="00AE4411">
        <w:rPr>
          <w:rStyle w:val="FootnoteReference"/>
        </w:rPr>
        <w:footnoteReference w:id="23"/>
      </w:r>
      <w:r w:rsidR="005435FB" w:rsidRPr="00AE4411">
        <w:t>.</w:t>
      </w:r>
    </w:p>
    <w:tbl>
      <w:tblPr>
        <w:tblStyle w:val="MediumShading1-Accent4"/>
        <w:tblW w:w="8647" w:type="dxa"/>
        <w:tblLook w:val="04A0" w:firstRow="1" w:lastRow="0" w:firstColumn="1" w:lastColumn="0" w:noHBand="0" w:noVBand="1"/>
      </w:tblPr>
      <w:tblGrid>
        <w:gridCol w:w="1427"/>
        <w:gridCol w:w="1280"/>
        <w:gridCol w:w="1531"/>
        <w:gridCol w:w="1341"/>
        <w:gridCol w:w="1417"/>
        <w:gridCol w:w="1651"/>
      </w:tblGrid>
      <w:tr w:rsidR="005435FB" w:rsidRPr="00AE4411" w:rsidTr="00852F96">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417" w:type="dxa"/>
            <w:hideMark/>
          </w:tcPr>
          <w:p w:rsidR="009259A2" w:rsidRPr="00261A9F" w:rsidRDefault="005435FB" w:rsidP="00852F96">
            <w:pPr>
              <w:rPr>
                <w:lang w:eastAsia="en-AU"/>
              </w:rPr>
            </w:pPr>
            <w:r w:rsidRPr="00261A9F">
              <w:rPr>
                <w:lang w:eastAsia="en-AU"/>
              </w:rPr>
              <w:t>Census Year</w:t>
            </w:r>
            <w:r w:rsidR="009259A2" w:rsidRPr="00261A9F">
              <w:rPr>
                <w:lang w:eastAsia="en-AU"/>
              </w:rPr>
              <w:t xml:space="preserve"> Enrolments</w:t>
            </w:r>
          </w:p>
        </w:tc>
        <w:tc>
          <w:tcPr>
            <w:tcW w:w="1273" w:type="dxa"/>
            <w:noWrap/>
            <w:hideMark/>
          </w:tcPr>
          <w:p w:rsidR="005435FB" w:rsidRPr="00261A9F" w:rsidRDefault="005435FB" w:rsidP="00852F96">
            <w:pPr>
              <w:cnfStyle w:val="100000000000" w:firstRow="1" w:lastRow="0" w:firstColumn="0" w:lastColumn="0" w:oddVBand="0" w:evenVBand="0" w:oddHBand="0" w:evenHBand="0" w:firstRowFirstColumn="0" w:firstRowLastColumn="0" w:lastRowFirstColumn="0" w:lastRowLastColumn="0"/>
              <w:rPr>
                <w:lang w:eastAsia="en-AU"/>
              </w:rPr>
            </w:pPr>
            <w:r w:rsidRPr="00261A9F">
              <w:rPr>
                <w:lang w:eastAsia="en-AU"/>
              </w:rPr>
              <w:t xml:space="preserve">Total Gov’ Preschool </w:t>
            </w:r>
          </w:p>
        </w:tc>
        <w:tc>
          <w:tcPr>
            <w:tcW w:w="1551" w:type="dxa"/>
          </w:tcPr>
          <w:p w:rsidR="005435FB" w:rsidRPr="00261A9F" w:rsidRDefault="009259A2" w:rsidP="00852F96">
            <w:pPr>
              <w:cnfStyle w:val="100000000000" w:firstRow="1" w:lastRow="0" w:firstColumn="0" w:lastColumn="0" w:oddVBand="0" w:evenVBand="0" w:oddHBand="0" w:evenHBand="0" w:firstRowFirstColumn="0" w:firstRowLastColumn="0" w:lastRowFirstColumn="0" w:lastRowLastColumn="0"/>
              <w:rPr>
                <w:lang w:eastAsia="en-AU"/>
              </w:rPr>
            </w:pPr>
            <w:r w:rsidRPr="00261A9F">
              <w:rPr>
                <w:lang w:eastAsia="en-AU"/>
              </w:rPr>
              <w:t>Total Non-gov Preschool</w:t>
            </w:r>
          </w:p>
        </w:tc>
        <w:tc>
          <w:tcPr>
            <w:tcW w:w="1309" w:type="dxa"/>
            <w:hideMark/>
          </w:tcPr>
          <w:p w:rsidR="005435FB" w:rsidRPr="00261A9F" w:rsidRDefault="005435FB" w:rsidP="00852F96">
            <w:pPr>
              <w:cnfStyle w:val="100000000000" w:firstRow="1" w:lastRow="0" w:firstColumn="0" w:lastColumn="0" w:oddVBand="0" w:evenVBand="0" w:oddHBand="0" w:evenHBand="0" w:firstRowFirstColumn="0" w:firstRowLastColumn="0" w:lastRowFirstColumn="0" w:lastRowLastColumn="0"/>
              <w:rPr>
                <w:lang w:eastAsia="en-AU"/>
              </w:rPr>
            </w:pPr>
            <w:r w:rsidRPr="00261A9F">
              <w:rPr>
                <w:lang w:eastAsia="en-AU"/>
              </w:rPr>
              <w:t>ACT 4 yr old population</w:t>
            </w:r>
          </w:p>
        </w:tc>
        <w:tc>
          <w:tcPr>
            <w:tcW w:w="1417" w:type="dxa"/>
            <w:hideMark/>
          </w:tcPr>
          <w:p w:rsidR="005435FB" w:rsidRPr="00261A9F" w:rsidRDefault="005435FB" w:rsidP="00852F96">
            <w:pPr>
              <w:cnfStyle w:val="100000000000" w:firstRow="1" w:lastRow="0" w:firstColumn="0" w:lastColumn="0" w:oddVBand="0" w:evenVBand="0" w:oddHBand="0" w:evenHBand="0" w:firstRowFirstColumn="0" w:firstRowLastColumn="0" w:lastRowFirstColumn="0" w:lastRowLastColumn="0"/>
              <w:rPr>
                <w:lang w:eastAsia="en-AU"/>
              </w:rPr>
            </w:pPr>
            <w:r w:rsidRPr="00261A9F">
              <w:rPr>
                <w:lang w:eastAsia="en-AU"/>
              </w:rPr>
              <w:t>Public Preschool (%)</w:t>
            </w:r>
          </w:p>
        </w:tc>
        <w:tc>
          <w:tcPr>
            <w:tcW w:w="1680" w:type="dxa"/>
          </w:tcPr>
          <w:p w:rsidR="005435FB" w:rsidRPr="00261A9F" w:rsidRDefault="005435FB" w:rsidP="00852F96">
            <w:pPr>
              <w:cnfStyle w:val="100000000000" w:firstRow="1" w:lastRow="0" w:firstColumn="0" w:lastColumn="0" w:oddVBand="0" w:evenVBand="0" w:oddHBand="0" w:evenHBand="0" w:firstRowFirstColumn="0" w:firstRowLastColumn="0" w:lastRowFirstColumn="0" w:lastRowLastColumn="0"/>
              <w:rPr>
                <w:lang w:eastAsia="en-AU"/>
              </w:rPr>
            </w:pPr>
            <w:r w:rsidRPr="00261A9F">
              <w:rPr>
                <w:lang w:eastAsia="en-AU"/>
              </w:rPr>
              <w:t>Non-gov Preschool (%)</w:t>
            </w:r>
          </w:p>
        </w:tc>
      </w:tr>
      <w:tr w:rsidR="005435FB" w:rsidRPr="00AE4411" w:rsidTr="00852F96">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417" w:type="dxa"/>
            <w:hideMark/>
          </w:tcPr>
          <w:p w:rsidR="002B4542" w:rsidRPr="00AE4411" w:rsidRDefault="005435FB" w:rsidP="00852F96">
            <w:pPr>
              <w:rPr>
                <w:color w:val="000000"/>
                <w:lang w:eastAsia="en-AU"/>
              </w:rPr>
            </w:pPr>
            <w:r w:rsidRPr="00AE4411">
              <w:rPr>
                <w:color w:val="000000"/>
                <w:lang w:eastAsia="en-AU"/>
              </w:rPr>
              <w:t>2009</w:t>
            </w:r>
          </w:p>
        </w:tc>
        <w:tc>
          <w:tcPr>
            <w:tcW w:w="1273"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4033</w:t>
            </w:r>
          </w:p>
        </w:tc>
        <w:tc>
          <w:tcPr>
            <w:tcW w:w="1551" w:type="dxa"/>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lang w:eastAsia="en-AU"/>
              </w:rPr>
            </w:pPr>
            <w:r w:rsidRPr="00AE4411">
              <w:rPr>
                <w:color w:val="000000"/>
                <w:lang w:eastAsia="en-AU"/>
              </w:rPr>
              <w:t>514</w:t>
            </w:r>
          </w:p>
        </w:tc>
        <w:tc>
          <w:tcPr>
            <w:tcW w:w="1309"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4363</w:t>
            </w:r>
          </w:p>
        </w:tc>
        <w:tc>
          <w:tcPr>
            <w:tcW w:w="1417"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92</w:t>
            </w:r>
          </w:p>
        </w:tc>
        <w:tc>
          <w:tcPr>
            <w:tcW w:w="1680" w:type="dxa"/>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12</w:t>
            </w:r>
          </w:p>
        </w:tc>
      </w:tr>
      <w:tr w:rsidR="005435FB" w:rsidRPr="00AE4411" w:rsidTr="00852F96">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7" w:type="dxa"/>
            <w:hideMark/>
          </w:tcPr>
          <w:p w:rsidR="002B4542" w:rsidRPr="00AE4411" w:rsidRDefault="005435FB" w:rsidP="00852F96">
            <w:pPr>
              <w:rPr>
                <w:color w:val="000000"/>
                <w:lang w:eastAsia="en-AU"/>
              </w:rPr>
            </w:pPr>
            <w:r w:rsidRPr="00AE4411">
              <w:rPr>
                <w:color w:val="000000"/>
                <w:lang w:eastAsia="en-AU"/>
              </w:rPr>
              <w:t>2010</w:t>
            </w:r>
          </w:p>
        </w:tc>
        <w:tc>
          <w:tcPr>
            <w:tcW w:w="1273" w:type="dxa"/>
            <w:noWrap/>
            <w:hideMark/>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4260</w:t>
            </w:r>
          </w:p>
        </w:tc>
        <w:tc>
          <w:tcPr>
            <w:tcW w:w="1551" w:type="dxa"/>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lang w:eastAsia="en-AU"/>
              </w:rPr>
            </w:pPr>
            <w:r w:rsidRPr="00AE4411">
              <w:rPr>
                <w:color w:val="000000"/>
                <w:lang w:eastAsia="en-AU"/>
              </w:rPr>
              <w:t>585</w:t>
            </w:r>
          </w:p>
        </w:tc>
        <w:tc>
          <w:tcPr>
            <w:tcW w:w="1309" w:type="dxa"/>
            <w:noWrap/>
            <w:hideMark/>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4679</w:t>
            </w:r>
          </w:p>
        </w:tc>
        <w:tc>
          <w:tcPr>
            <w:tcW w:w="1417" w:type="dxa"/>
            <w:noWrap/>
            <w:hideMark/>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91</w:t>
            </w:r>
          </w:p>
        </w:tc>
        <w:tc>
          <w:tcPr>
            <w:tcW w:w="1680" w:type="dxa"/>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13</w:t>
            </w:r>
          </w:p>
        </w:tc>
      </w:tr>
      <w:tr w:rsidR="005435FB" w:rsidRPr="00AE4411" w:rsidTr="00852F9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7" w:type="dxa"/>
            <w:hideMark/>
          </w:tcPr>
          <w:p w:rsidR="002B4542" w:rsidRPr="00AE4411" w:rsidRDefault="005435FB" w:rsidP="00852F96">
            <w:pPr>
              <w:rPr>
                <w:color w:val="000000"/>
                <w:lang w:eastAsia="en-AU"/>
              </w:rPr>
            </w:pPr>
            <w:r w:rsidRPr="00AE4411">
              <w:rPr>
                <w:color w:val="000000"/>
                <w:lang w:eastAsia="en-AU"/>
              </w:rPr>
              <w:t>2011</w:t>
            </w:r>
          </w:p>
        </w:tc>
        <w:tc>
          <w:tcPr>
            <w:tcW w:w="1273"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4346</w:t>
            </w:r>
          </w:p>
        </w:tc>
        <w:tc>
          <w:tcPr>
            <w:tcW w:w="1551" w:type="dxa"/>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lang w:eastAsia="en-AU"/>
              </w:rPr>
            </w:pPr>
            <w:r w:rsidRPr="00AE4411">
              <w:rPr>
                <w:color w:val="000000"/>
                <w:lang w:eastAsia="en-AU"/>
              </w:rPr>
              <w:t>820</w:t>
            </w:r>
          </w:p>
        </w:tc>
        <w:tc>
          <w:tcPr>
            <w:tcW w:w="1309"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4583</w:t>
            </w:r>
          </w:p>
        </w:tc>
        <w:tc>
          <w:tcPr>
            <w:tcW w:w="1417"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95</w:t>
            </w:r>
          </w:p>
        </w:tc>
        <w:tc>
          <w:tcPr>
            <w:tcW w:w="1680" w:type="dxa"/>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18</w:t>
            </w:r>
          </w:p>
        </w:tc>
      </w:tr>
      <w:tr w:rsidR="005435FB" w:rsidRPr="00AE4411" w:rsidTr="00852F9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7" w:type="dxa"/>
            <w:hideMark/>
          </w:tcPr>
          <w:p w:rsidR="002B4542" w:rsidRPr="00AE4411" w:rsidRDefault="005435FB" w:rsidP="00852F96">
            <w:pPr>
              <w:rPr>
                <w:color w:val="000000"/>
                <w:lang w:eastAsia="en-AU"/>
              </w:rPr>
            </w:pPr>
            <w:r w:rsidRPr="00AE4411">
              <w:rPr>
                <w:color w:val="000000"/>
                <w:lang w:eastAsia="en-AU"/>
              </w:rPr>
              <w:t>2012</w:t>
            </w:r>
          </w:p>
        </w:tc>
        <w:tc>
          <w:tcPr>
            <w:tcW w:w="1273" w:type="dxa"/>
            <w:noWrap/>
            <w:hideMark/>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4477</w:t>
            </w:r>
          </w:p>
        </w:tc>
        <w:tc>
          <w:tcPr>
            <w:tcW w:w="1551" w:type="dxa"/>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lang w:eastAsia="en-AU"/>
              </w:rPr>
            </w:pPr>
            <w:r w:rsidRPr="00AE4411">
              <w:rPr>
                <w:color w:val="000000"/>
                <w:lang w:eastAsia="en-AU"/>
              </w:rPr>
              <w:t>873</w:t>
            </w:r>
          </w:p>
        </w:tc>
        <w:tc>
          <w:tcPr>
            <w:tcW w:w="1309" w:type="dxa"/>
            <w:noWrap/>
            <w:hideMark/>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4740</w:t>
            </w:r>
          </w:p>
        </w:tc>
        <w:tc>
          <w:tcPr>
            <w:tcW w:w="1417" w:type="dxa"/>
            <w:noWrap/>
            <w:hideMark/>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94</w:t>
            </w:r>
          </w:p>
        </w:tc>
        <w:tc>
          <w:tcPr>
            <w:tcW w:w="1680" w:type="dxa"/>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18</w:t>
            </w:r>
          </w:p>
        </w:tc>
      </w:tr>
      <w:tr w:rsidR="005435FB" w:rsidRPr="00AE4411" w:rsidTr="00852F9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7" w:type="dxa"/>
            <w:hideMark/>
          </w:tcPr>
          <w:p w:rsidR="002B4542" w:rsidRPr="00AE4411" w:rsidRDefault="005435FB" w:rsidP="00852F96">
            <w:pPr>
              <w:rPr>
                <w:color w:val="000000"/>
                <w:lang w:eastAsia="en-AU"/>
              </w:rPr>
            </w:pPr>
            <w:r w:rsidRPr="00AE4411">
              <w:rPr>
                <w:color w:val="000000"/>
                <w:lang w:eastAsia="en-AU"/>
              </w:rPr>
              <w:t>2013</w:t>
            </w:r>
          </w:p>
        </w:tc>
        <w:tc>
          <w:tcPr>
            <w:tcW w:w="1273"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4583</w:t>
            </w:r>
          </w:p>
        </w:tc>
        <w:tc>
          <w:tcPr>
            <w:tcW w:w="1551" w:type="dxa"/>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lang w:eastAsia="en-AU"/>
              </w:rPr>
            </w:pPr>
            <w:r w:rsidRPr="00AE4411">
              <w:rPr>
                <w:color w:val="000000"/>
                <w:lang w:eastAsia="en-AU"/>
              </w:rPr>
              <w:t>956</w:t>
            </w:r>
          </w:p>
        </w:tc>
        <w:tc>
          <w:tcPr>
            <w:tcW w:w="1309"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4998</w:t>
            </w:r>
          </w:p>
        </w:tc>
        <w:tc>
          <w:tcPr>
            <w:tcW w:w="1417"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92</w:t>
            </w:r>
          </w:p>
        </w:tc>
        <w:tc>
          <w:tcPr>
            <w:tcW w:w="1680" w:type="dxa"/>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19</w:t>
            </w:r>
          </w:p>
        </w:tc>
      </w:tr>
      <w:tr w:rsidR="005435FB" w:rsidRPr="00AE4411" w:rsidTr="00852F9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7" w:type="dxa"/>
            <w:hideMark/>
          </w:tcPr>
          <w:p w:rsidR="002B4542" w:rsidRPr="00AE4411" w:rsidRDefault="005435FB" w:rsidP="00852F96">
            <w:pPr>
              <w:rPr>
                <w:color w:val="000000"/>
                <w:lang w:eastAsia="en-AU"/>
              </w:rPr>
            </w:pPr>
            <w:r w:rsidRPr="00AE4411">
              <w:rPr>
                <w:color w:val="000000"/>
                <w:lang w:eastAsia="en-AU"/>
              </w:rPr>
              <w:t>2014</w:t>
            </w:r>
          </w:p>
        </w:tc>
        <w:tc>
          <w:tcPr>
            <w:tcW w:w="1273" w:type="dxa"/>
            <w:noWrap/>
            <w:hideMark/>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4873</w:t>
            </w:r>
          </w:p>
        </w:tc>
        <w:tc>
          <w:tcPr>
            <w:tcW w:w="1551" w:type="dxa"/>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lang w:eastAsia="en-AU"/>
              </w:rPr>
            </w:pPr>
            <w:r w:rsidRPr="00AE4411">
              <w:rPr>
                <w:color w:val="000000"/>
                <w:lang w:eastAsia="en-AU"/>
              </w:rPr>
              <w:t>999</w:t>
            </w:r>
          </w:p>
        </w:tc>
        <w:tc>
          <w:tcPr>
            <w:tcW w:w="1309" w:type="dxa"/>
            <w:noWrap/>
            <w:hideMark/>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5213</w:t>
            </w:r>
          </w:p>
        </w:tc>
        <w:tc>
          <w:tcPr>
            <w:tcW w:w="1417" w:type="dxa"/>
            <w:noWrap/>
            <w:hideMark/>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93</w:t>
            </w:r>
          </w:p>
        </w:tc>
        <w:tc>
          <w:tcPr>
            <w:tcW w:w="1680" w:type="dxa"/>
          </w:tcPr>
          <w:p w:rsidR="002B4542" w:rsidRPr="00AE4411" w:rsidRDefault="005435FB" w:rsidP="00852F96">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19</w:t>
            </w:r>
          </w:p>
        </w:tc>
      </w:tr>
      <w:tr w:rsidR="005435FB" w:rsidRPr="00AE4411" w:rsidTr="00852F9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7" w:type="dxa"/>
            <w:hideMark/>
          </w:tcPr>
          <w:p w:rsidR="002B4542" w:rsidRPr="00AE4411" w:rsidRDefault="005435FB" w:rsidP="00852F96">
            <w:pPr>
              <w:rPr>
                <w:color w:val="000000"/>
                <w:lang w:eastAsia="en-AU"/>
              </w:rPr>
            </w:pPr>
            <w:r w:rsidRPr="00AE4411">
              <w:rPr>
                <w:color w:val="000000"/>
                <w:lang w:eastAsia="en-AU"/>
              </w:rPr>
              <w:t>2015</w:t>
            </w:r>
          </w:p>
        </w:tc>
        <w:tc>
          <w:tcPr>
            <w:tcW w:w="1273" w:type="dxa"/>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4740</w:t>
            </w:r>
          </w:p>
        </w:tc>
        <w:tc>
          <w:tcPr>
            <w:tcW w:w="1551" w:type="dxa"/>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lang w:eastAsia="en-AU"/>
              </w:rPr>
            </w:pPr>
            <w:r w:rsidRPr="00AE4411">
              <w:rPr>
                <w:color w:val="000000"/>
                <w:lang w:eastAsia="en-AU"/>
              </w:rPr>
              <w:t>975</w:t>
            </w:r>
          </w:p>
        </w:tc>
        <w:tc>
          <w:tcPr>
            <w:tcW w:w="1309"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5195</w:t>
            </w:r>
          </w:p>
        </w:tc>
        <w:tc>
          <w:tcPr>
            <w:tcW w:w="1417" w:type="dxa"/>
            <w:noWrap/>
            <w:hideMark/>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91</w:t>
            </w:r>
          </w:p>
        </w:tc>
        <w:tc>
          <w:tcPr>
            <w:tcW w:w="1680" w:type="dxa"/>
          </w:tcPr>
          <w:p w:rsidR="002B4542" w:rsidRPr="00AE4411" w:rsidRDefault="005435FB" w:rsidP="00852F96">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19</w:t>
            </w:r>
          </w:p>
        </w:tc>
      </w:tr>
    </w:tbl>
    <w:p w:rsidR="005435FB" w:rsidRPr="00AE4411" w:rsidRDefault="005435FB" w:rsidP="005435FB">
      <w:pPr>
        <w:pStyle w:val="AccessibleBody"/>
        <w:spacing w:before="120"/>
        <w:rPr>
          <w:color w:val="000000"/>
          <w:sz w:val="18"/>
          <w:szCs w:val="18"/>
          <w:lang w:eastAsia="en-AU"/>
        </w:rPr>
      </w:pPr>
      <w:r w:rsidRPr="00AE4411">
        <w:rPr>
          <w:color w:val="000000"/>
          <w:sz w:val="18"/>
          <w:szCs w:val="18"/>
          <w:lang w:eastAsia="en-AU"/>
        </w:rPr>
        <w:t>Fig 1</w:t>
      </w:r>
      <w:r w:rsidR="009259A2" w:rsidRPr="00AE4411">
        <w:rPr>
          <w:color w:val="000000"/>
          <w:sz w:val="18"/>
          <w:szCs w:val="18"/>
          <w:lang w:eastAsia="en-AU"/>
        </w:rPr>
        <w:t>8</w:t>
      </w:r>
      <w:r w:rsidRPr="00AE4411">
        <w:rPr>
          <w:color w:val="000000"/>
          <w:sz w:val="18"/>
          <w:szCs w:val="18"/>
          <w:lang w:eastAsia="en-AU"/>
        </w:rPr>
        <w:t xml:space="preserve"> Preschool enrolments in the ACT by school sector 2009-2015</w:t>
      </w:r>
    </w:p>
    <w:p w:rsidR="00F315E7" w:rsidRPr="00AE4411" w:rsidRDefault="00201B4F" w:rsidP="00F315E7">
      <w:pPr>
        <w:pStyle w:val="AccessibleBody"/>
      </w:pPr>
      <w:r w:rsidRPr="00AE4411">
        <w:t xml:space="preserve">The one area where it is less stable is in the numbers of children enrolling in non-government school associated preschools. </w:t>
      </w:r>
      <w:r w:rsidR="00F315E7" w:rsidRPr="00AE4411">
        <w:t>The total enrolment in Government and non-government preschools shows a total increase of approximately 1,20</w:t>
      </w:r>
      <w:r w:rsidRPr="00AE4411">
        <w:t>0 places between 2008 and 2015. Of this increase, the Government preschool proportion has been steady, but t</w:t>
      </w:r>
      <w:r w:rsidR="00F315E7" w:rsidRPr="00AE4411">
        <w:t xml:space="preserve">he </w:t>
      </w:r>
      <w:r w:rsidR="00F315E7" w:rsidRPr="00AE4411">
        <w:lastRenderedPageBreak/>
        <w:t xml:space="preserve">proportion of </w:t>
      </w:r>
      <w:r w:rsidRPr="00AE4411">
        <w:t xml:space="preserve">eligible </w:t>
      </w:r>
      <w:r w:rsidR="00F315E7" w:rsidRPr="00AE4411">
        <w:t>children entering non-government preschools has risen by approximately 5% of the</w:t>
      </w:r>
      <w:r w:rsidRPr="00AE4411">
        <w:t xml:space="preserve"> eligible</w:t>
      </w:r>
      <w:r w:rsidR="00F315E7" w:rsidRPr="00AE4411">
        <w:t xml:space="preserve"> children over the last six years.</w:t>
      </w:r>
    </w:p>
    <w:p w:rsidR="00F315E7" w:rsidRPr="00AE4411" w:rsidRDefault="00F315E7" w:rsidP="00F315E7">
      <w:pPr>
        <w:pStyle w:val="AccessibleBody"/>
      </w:pPr>
      <w:r w:rsidRPr="00AE4411">
        <w:t>Given that non-government preschools tend to provide a ‘wrap-around’ service beyond preschool hours, increases in their proportion of the total share of preschool places will have a disproportionate impact on the ECEC sector as these children are not available to attend ECEC services outside preschool hours, which is the case with regard to ACT Government preschools.</w:t>
      </w:r>
    </w:p>
    <w:p w:rsidR="00F315E7" w:rsidRPr="00AE4411" w:rsidRDefault="00F315E7" w:rsidP="00F315E7">
      <w:pPr>
        <w:rPr>
          <w:sz w:val="24"/>
          <w:szCs w:val="24"/>
        </w:rPr>
      </w:pPr>
      <w:r w:rsidRPr="00AE4411">
        <w:rPr>
          <w:sz w:val="24"/>
          <w:szCs w:val="24"/>
        </w:rPr>
        <w:t xml:space="preserve">Another aspect of the interaction between ACT Government preschools and the ECEC sector in the ACT </w:t>
      </w:r>
      <w:r w:rsidR="005435FB" w:rsidRPr="00AE4411">
        <w:rPr>
          <w:sz w:val="24"/>
          <w:szCs w:val="24"/>
        </w:rPr>
        <w:t xml:space="preserve">raised in the 1 July </w:t>
      </w:r>
      <w:r w:rsidR="008C1EAF" w:rsidRPr="00AE4411">
        <w:rPr>
          <w:sz w:val="24"/>
          <w:szCs w:val="24"/>
        </w:rPr>
        <w:t>Forum</w:t>
      </w:r>
      <w:r w:rsidR="005435FB" w:rsidRPr="00AE4411">
        <w:rPr>
          <w:sz w:val="24"/>
          <w:szCs w:val="24"/>
        </w:rPr>
        <w:t xml:space="preserve"> </w:t>
      </w:r>
      <w:r w:rsidRPr="00AE4411">
        <w:rPr>
          <w:sz w:val="24"/>
          <w:szCs w:val="24"/>
        </w:rPr>
        <w:t xml:space="preserve">is </w:t>
      </w:r>
      <w:r w:rsidR="005435FB" w:rsidRPr="00AE4411">
        <w:rPr>
          <w:sz w:val="24"/>
          <w:szCs w:val="24"/>
        </w:rPr>
        <w:t>the</w:t>
      </w:r>
      <w:r w:rsidRPr="00AE4411">
        <w:rPr>
          <w:sz w:val="24"/>
          <w:szCs w:val="24"/>
        </w:rPr>
        <w:t xml:space="preserve"> competition for workers between the </w:t>
      </w:r>
      <w:r w:rsidR="005435FB" w:rsidRPr="00AE4411">
        <w:rPr>
          <w:sz w:val="24"/>
          <w:szCs w:val="24"/>
        </w:rPr>
        <w:t xml:space="preserve">ECEC sector and the Government preschools. </w:t>
      </w:r>
      <w:r w:rsidR="005435FB" w:rsidRPr="00AE4411">
        <w:rPr>
          <w:b/>
          <w:sz w:val="24"/>
          <w:szCs w:val="24"/>
        </w:rPr>
        <w:t xml:space="preserve">Figure </w:t>
      </w:r>
      <w:r w:rsidR="00D459F6" w:rsidRPr="00AE4411">
        <w:rPr>
          <w:b/>
          <w:sz w:val="24"/>
          <w:szCs w:val="24"/>
        </w:rPr>
        <w:t>19</w:t>
      </w:r>
      <w:r w:rsidRPr="00AE4411">
        <w:rPr>
          <w:sz w:val="24"/>
          <w:szCs w:val="24"/>
        </w:rPr>
        <w:t xml:space="preserve"> below shows the workforce employed in ACT Government preschools.</w:t>
      </w:r>
    </w:p>
    <w:tbl>
      <w:tblPr>
        <w:tblStyle w:val="MediumShading1-Accent4"/>
        <w:tblW w:w="8613" w:type="dxa"/>
        <w:tblLook w:val="04A0" w:firstRow="1" w:lastRow="0" w:firstColumn="1" w:lastColumn="0" w:noHBand="0" w:noVBand="1"/>
      </w:tblPr>
      <w:tblGrid>
        <w:gridCol w:w="4880"/>
        <w:gridCol w:w="1749"/>
        <w:gridCol w:w="1984"/>
      </w:tblGrid>
      <w:tr w:rsidR="00F315E7" w:rsidRPr="00261A9F" w:rsidTr="00CD644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noWrap/>
            <w:hideMark/>
          </w:tcPr>
          <w:p w:rsidR="00F315E7" w:rsidRPr="00261A9F" w:rsidRDefault="00F315E7" w:rsidP="00CD644C">
            <w:pPr>
              <w:rPr>
                <w:lang w:eastAsia="en-AU"/>
              </w:rPr>
            </w:pPr>
            <w:r w:rsidRPr="00261A9F">
              <w:rPr>
                <w:lang w:eastAsia="en-AU"/>
              </w:rPr>
              <w:t> </w:t>
            </w:r>
            <w:r w:rsidR="0015026B" w:rsidRPr="00261A9F">
              <w:rPr>
                <w:lang w:eastAsia="en-AU"/>
              </w:rPr>
              <w:t>ACT Government Preschool Workers</w:t>
            </w:r>
          </w:p>
        </w:tc>
        <w:tc>
          <w:tcPr>
            <w:tcW w:w="1749" w:type="dxa"/>
            <w:noWrap/>
            <w:hideMark/>
          </w:tcPr>
          <w:p w:rsidR="00F315E7" w:rsidRPr="00261A9F" w:rsidRDefault="00F315E7" w:rsidP="00CD644C">
            <w:pPr>
              <w:cnfStyle w:val="100000000000" w:firstRow="1" w:lastRow="0" w:firstColumn="0" w:lastColumn="0" w:oddVBand="0" w:evenVBand="0" w:oddHBand="0" w:evenHBand="0" w:firstRowFirstColumn="0" w:firstRowLastColumn="0" w:lastRowFirstColumn="0" w:lastRowLastColumn="0"/>
              <w:rPr>
                <w:lang w:eastAsia="en-AU"/>
              </w:rPr>
            </w:pPr>
            <w:r w:rsidRPr="00261A9F">
              <w:rPr>
                <w:lang w:eastAsia="en-AU"/>
              </w:rPr>
              <w:t>Total FTE</w:t>
            </w:r>
          </w:p>
        </w:tc>
        <w:tc>
          <w:tcPr>
            <w:tcW w:w="1984" w:type="dxa"/>
            <w:noWrap/>
            <w:hideMark/>
          </w:tcPr>
          <w:p w:rsidR="00F315E7" w:rsidRPr="00261A9F" w:rsidRDefault="00F315E7" w:rsidP="00CD644C">
            <w:pPr>
              <w:cnfStyle w:val="100000000000" w:firstRow="1" w:lastRow="0" w:firstColumn="0" w:lastColumn="0" w:oddVBand="0" w:evenVBand="0" w:oddHBand="0" w:evenHBand="0" w:firstRowFirstColumn="0" w:firstRowLastColumn="0" w:lastRowFirstColumn="0" w:lastRowLastColumn="0"/>
              <w:rPr>
                <w:lang w:eastAsia="en-AU"/>
              </w:rPr>
            </w:pPr>
            <w:r w:rsidRPr="00261A9F">
              <w:rPr>
                <w:lang w:eastAsia="en-AU"/>
              </w:rPr>
              <w:t>Total Headcount</w:t>
            </w:r>
          </w:p>
        </w:tc>
      </w:tr>
      <w:tr w:rsidR="00F315E7" w:rsidRPr="00AE4411" w:rsidTr="00CD64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noWrap/>
            <w:hideMark/>
          </w:tcPr>
          <w:p w:rsidR="00F315E7" w:rsidRPr="00AE4411" w:rsidRDefault="00F315E7" w:rsidP="00CD644C">
            <w:pPr>
              <w:rPr>
                <w:color w:val="000000"/>
                <w:lang w:eastAsia="en-AU"/>
              </w:rPr>
            </w:pPr>
            <w:r w:rsidRPr="00AE4411">
              <w:rPr>
                <w:color w:val="000000"/>
                <w:lang w:eastAsia="en-AU"/>
              </w:rPr>
              <w:t>School Network</w:t>
            </w:r>
          </w:p>
        </w:tc>
        <w:tc>
          <w:tcPr>
            <w:tcW w:w="1749" w:type="dxa"/>
            <w:noWrap/>
            <w:hideMark/>
          </w:tcPr>
          <w:p w:rsidR="00F315E7" w:rsidRPr="00AE4411" w:rsidRDefault="00F315E7" w:rsidP="00CD644C">
            <w:pPr>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AE4411">
              <w:rPr>
                <w:rFonts w:eastAsia="Times New Roman"/>
                <w:szCs w:val="20"/>
                <w:lang w:eastAsia="en-AU"/>
              </w:rPr>
              <w:t> </w:t>
            </w:r>
          </w:p>
        </w:tc>
        <w:tc>
          <w:tcPr>
            <w:tcW w:w="1984" w:type="dxa"/>
            <w:noWrap/>
            <w:hideMark/>
          </w:tcPr>
          <w:p w:rsidR="00F315E7" w:rsidRPr="00AE4411" w:rsidRDefault="00F315E7" w:rsidP="00CD644C">
            <w:pPr>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AE4411">
              <w:rPr>
                <w:rFonts w:eastAsia="Times New Roman"/>
                <w:szCs w:val="20"/>
                <w:lang w:eastAsia="en-AU"/>
              </w:rPr>
              <w:t> </w:t>
            </w:r>
          </w:p>
        </w:tc>
      </w:tr>
      <w:tr w:rsidR="00F315E7" w:rsidRPr="00AE4411" w:rsidTr="00CD644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noWrap/>
            <w:hideMark/>
          </w:tcPr>
          <w:p w:rsidR="00F315E7" w:rsidRPr="009F71F9" w:rsidRDefault="00F315E7" w:rsidP="00CD644C">
            <w:pPr>
              <w:rPr>
                <w:color w:val="000000"/>
                <w:lang w:eastAsia="en-AU"/>
              </w:rPr>
            </w:pPr>
            <w:r w:rsidRPr="009F71F9">
              <w:rPr>
                <w:color w:val="000000"/>
                <w:lang w:eastAsia="en-AU"/>
              </w:rPr>
              <w:t>BELCONNEN NETWORK Total</w:t>
            </w:r>
          </w:p>
        </w:tc>
        <w:tc>
          <w:tcPr>
            <w:tcW w:w="1749" w:type="dxa"/>
            <w:noWrap/>
            <w:hideMark/>
          </w:tcPr>
          <w:p w:rsidR="00F315E7" w:rsidRPr="00AE4411" w:rsidRDefault="00F315E7" w:rsidP="00CD644C">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63.11</w:t>
            </w:r>
          </w:p>
        </w:tc>
        <w:tc>
          <w:tcPr>
            <w:tcW w:w="1984" w:type="dxa"/>
            <w:noWrap/>
            <w:hideMark/>
          </w:tcPr>
          <w:p w:rsidR="00F315E7" w:rsidRPr="00AE4411" w:rsidRDefault="00F315E7" w:rsidP="00CD644C">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81</w:t>
            </w:r>
          </w:p>
        </w:tc>
      </w:tr>
      <w:tr w:rsidR="00F315E7" w:rsidRPr="00AE4411" w:rsidTr="00CD64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noWrap/>
            <w:hideMark/>
          </w:tcPr>
          <w:p w:rsidR="00F315E7" w:rsidRPr="009F71F9" w:rsidRDefault="00F315E7" w:rsidP="00CD644C">
            <w:pPr>
              <w:rPr>
                <w:color w:val="000000"/>
                <w:lang w:eastAsia="en-AU"/>
              </w:rPr>
            </w:pPr>
            <w:r w:rsidRPr="009F71F9">
              <w:rPr>
                <w:color w:val="000000"/>
                <w:lang w:eastAsia="en-AU"/>
              </w:rPr>
              <w:t>NORTH &amp; GUNG NETWORK Total</w:t>
            </w:r>
          </w:p>
        </w:tc>
        <w:tc>
          <w:tcPr>
            <w:tcW w:w="1749" w:type="dxa"/>
            <w:noWrap/>
            <w:hideMark/>
          </w:tcPr>
          <w:p w:rsidR="00F315E7" w:rsidRPr="00AE4411" w:rsidRDefault="00F315E7" w:rsidP="00CD644C">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65.67</w:t>
            </w:r>
          </w:p>
        </w:tc>
        <w:tc>
          <w:tcPr>
            <w:tcW w:w="1984" w:type="dxa"/>
            <w:noWrap/>
            <w:hideMark/>
          </w:tcPr>
          <w:p w:rsidR="00F315E7" w:rsidRPr="00AE4411" w:rsidRDefault="00F315E7" w:rsidP="00CD644C">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81</w:t>
            </w:r>
          </w:p>
        </w:tc>
      </w:tr>
      <w:tr w:rsidR="00F315E7" w:rsidRPr="00AE4411" w:rsidTr="00CD644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noWrap/>
            <w:hideMark/>
          </w:tcPr>
          <w:p w:rsidR="00F315E7" w:rsidRPr="009F71F9" w:rsidRDefault="00F315E7" w:rsidP="00CD644C">
            <w:pPr>
              <w:rPr>
                <w:color w:val="000000"/>
                <w:lang w:eastAsia="en-AU"/>
              </w:rPr>
            </w:pPr>
            <w:r w:rsidRPr="009F71F9">
              <w:rPr>
                <w:color w:val="000000"/>
                <w:lang w:eastAsia="en-AU"/>
              </w:rPr>
              <w:t>SOUTH &amp; WESTON NETWORK Total</w:t>
            </w:r>
          </w:p>
        </w:tc>
        <w:tc>
          <w:tcPr>
            <w:tcW w:w="1749" w:type="dxa"/>
            <w:noWrap/>
            <w:hideMark/>
          </w:tcPr>
          <w:p w:rsidR="00F315E7" w:rsidRPr="00AE4411" w:rsidRDefault="00F315E7" w:rsidP="00CD644C">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53.41</w:t>
            </w:r>
          </w:p>
        </w:tc>
        <w:tc>
          <w:tcPr>
            <w:tcW w:w="1984" w:type="dxa"/>
            <w:noWrap/>
            <w:hideMark/>
          </w:tcPr>
          <w:p w:rsidR="00F315E7" w:rsidRPr="00AE4411" w:rsidRDefault="00F315E7" w:rsidP="00CD644C">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66</w:t>
            </w:r>
          </w:p>
        </w:tc>
      </w:tr>
      <w:tr w:rsidR="00F315E7" w:rsidRPr="00AE4411" w:rsidTr="00CD64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noWrap/>
            <w:hideMark/>
          </w:tcPr>
          <w:p w:rsidR="00F315E7" w:rsidRPr="009F71F9" w:rsidRDefault="00F315E7" w:rsidP="00CD644C">
            <w:pPr>
              <w:rPr>
                <w:color w:val="000000"/>
                <w:lang w:eastAsia="en-AU"/>
              </w:rPr>
            </w:pPr>
            <w:r w:rsidRPr="009F71F9">
              <w:rPr>
                <w:color w:val="000000"/>
                <w:lang w:eastAsia="en-AU"/>
              </w:rPr>
              <w:t>TUGGERANONG NETWORK Total</w:t>
            </w:r>
          </w:p>
        </w:tc>
        <w:tc>
          <w:tcPr>
            <w:tcW w:w="1749" w:type="dxa"/>
            <w:noWrap/>
            <w:hideMark/>
          </w:tcPr>
          <w:p w:rsidR="00F315E7" w:rsidRPr="00AE4411" w:rsidRDefault="00F315E7" w:rsidP="00CD644C">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61.93</w:t>
            </w:r>
          </w:p>
        </w:tc>
        <w:tc>
          <w:tcPr>
            <w:tcW w:w="1984" w:type="dxa"/>
            <w:noWrap/>
            <w:hideMark/>
          </w:tcPr>
          <w:p w:rsidR="00F315E7" w:rsidRPr="00AE4411" w:rsidRDefault="00F315E7" w:rsidP="00CD644C">
            <w:pPr>
              <w:cnfStyle w:val="000000100000" w:firstRow="0" w:lastRow="0" w:firstColumn="0" w:lastColumn="0" w:oddVBand="0" w:evenVBand="0" w:oddHBand="1" w:evenHBand="0" w:firstRowFirstColumn="0" w:firstRowLastColumn="0" w:lastRowFirstColumn="0" w:lastRowLastColumn="0"/>
              <w:rPr>
                <w:color w:val="000000"/>
                <w:lang w:eastAsia="en-AU"/>
              </w:rPr>
            </w:pPr>
            <w:r w:rsidRPr="00AE4411">
              <w:rPr>
                <w:color w:val="000000"/>
                <w:lang w:eastAsia="en-AU"/>
              </w:rPr>
              <w:t>81</w:t>
            </w:r>
          </w:p>
        </w:tc>
      </w:tr>
      <w:tr w:rsidR="00F315E7" w:rsidRPr="00AE4411" w:rsidTr="00CD644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noWrap/>
            <w:hideMark/>
          </w:tcPr>
          <w:p w:rsidR="00F315E7" w:rsidRPr="00AE4411" w:rsidRDefault="00F315E7" w:rsidP="00CD644C">
            <w:pPr>
              <w:rPr>
                <w:color w:val="000000"/>
                <w:lang w:eastAsia="en-AU"/>
              </w:rPr>
            </w:pPr>
            <w:r w:rsidRPr="00AE4411">
              <w:rPr>
                <w:color w:val="000000"/>
                <w:lang w:eastAsia="en-AU"/>
              </w:rPr>
              <w:t>Grand Total</w:t>
            </w:r>
          </w:p>
        </w:tc>
        <w:tc>
          <w:tcPr>
            <w:tcW w:w="1749" w:type="dxa"/>
            <w:noWrap/>
            <w:hideMark/>
          </w:tcPr>
          <w:p w:rsidR="00F315E7" w:rsidRPr="00AE4411" w:rsidRDefault="00F315E7" w:rsidP="00CD644C">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244.12</w:t>
            </w:r>
          </w:p>
        </w:tc>
        <w:tc>
          <w:tcPr>
            <w:tcW w:w="1984" w:type="dxa"/>
            <w:noWrap/>
            <w:hideMark/>
          </w:tcPr>
          <w:p w:rsidR="00F315E7" w:rsidRPr="00AE4411" w:rsidRDefault="00F315E7" w:rsidP="00CD644C">
            <w:pPr>
              <w:cnfStyle w:val="000000010000" w:firstRow="0" w:lastRow="0" w:firstColumn="0" w:lastColumn="0" w:oddVBand="0" w:evenVBand="0" w:oddHBand="0" w:evenHBand="1" w:firstRowFirstColumn="0" w:firstRowLastColumn="0" w:lastRowFirstColumn="0" w:lastRowLastColumn="0"/>
              <w:rPr>
                <w:color w:val="000000"/>
                <w:lang w:eastAsia="en-AU"/>
              </w:rPr>
            </w:pPr>
            <w:r w:rsidRPr="00AE4411">
              <w:rPr>
                <w:color w:val="000000"/>
                <w:lang w:eastAsia="en-AU"/>
              </w:rPr>
              <w:t>309</w:t>
            </w:r>
          </w:p>
        </w:tc>
      </w:tr>
    </w:tbl>
    <w:p w:rsidR="00F315E7" w:rsidRPr="00AE4411" w:rsidRDefault="0015026B" w:rsidP="00F315E7">
      <w:pPr>
        <w:rPr>
          <w:sz w:val="18"/>
          <w:szCs w:val="18"/>
        </w:rPr>
      </w:pPr>
      <w:r w:rsidRPr="00AE4411">
        <w:rPr>
          <w:sz w:val="18"/>
          <w:szCs w:val="18"/>
        </w:rPr>
        <w:t xml:space="preserve">Fig </w:t>
      </w:r>
      <w:r w:rsidR="00D459F6" w:rsidRPr="00AE4411">
        <w:rPr>
          <w:sz w:val="18"/>
          <w:szCs w:val="18"/>
        </w:rPr>
        <w:t>19</w:t>
      </w:r>
      <w:r w:rsidRPr="00AE4411">
        <w:rPr>
          <w:sz w:val="18"/>
          <w:szCs w:val="18"/>
        </w:rPr>
        <w:t xml:space="preserve"> ACT Government workers in preschools</w:t>
      </w:r>
    </w:p>
    <w:p w:rsidR="00F315E7" w:rsidRPr="00AE4411" w:rsidRDefault="005740C5" w:rsidP="00F315E7">
      <w:pPr>
        <w:rPr>
          <w:sz w:val="24"/>
          <w:szCs w:val="24"/>
        </w:rPr>
      </w:pPr>
      <w:r w:rsidRPr="00AE4411">
        <w:rPr>
          <w:sz w:val="24"/>
          <w:szCs w:val="24"/>
        </w:rPr>
        <w:t>Salaries for workers in ACT Government Preschools range from School Assistants</w:t>
      </w:r>
      <w:r w:rsidR="00EC0C6B" w:rsidRPr="00AE4411">
        <w:rPr>
          <w:sz w:val="24"/>
          <w:szCs w:val="24"/>
        </w:rPr>
        <w:t>,</w:t>
      </w:r>
      <w:r w:rsidRPr="00AE4411">
        <w:rPr>
          <w:sz w:val="24"/>
          <w:szCs w:val="24"/>
        </w:rPr>
        <w:t xml:space="preserve"> Level 3 $49,556 - $53,355 to Teachers $64 089 - $95,935</w:t>
      </w:r>
      <w:r w:rsidR="00EC0C6B" w:rsidRPr="00AE4411">
        <w:rPr>
          <w:sz w:val="24"/>
          <w:szCs w:val="24"/>
        </w:rPr>
        <w:t>, with the significant majority of these workers being teachers</w:t>
      </w:r>
      <w:r w:rsidR="00F315E7" w:rsidRPr="00AE4411">
        <w:rPr>
          <w:sz w:val="24"/>
          <w:szCs w:val="24"/>
        </w:rPr>
        <w:t>. These</w:t>
      </w:r>
      <w:r w:rsidR="00EC0C6B" w:rsidRPr="00AE4411">
        <w:rPr>
          <w:sz w:val="24"/>
          <w:szCs w:val="24"/>
        </w:rPr>
        <w:t xml:space="preserve"> salaries</w:t>
      </w:r>
      <w:r w:rsidR="00F315E7" w:rsidRPr="00AE4411">
        <w:rPr>
          <w:sz w:val="24"/>
          <w:szCs w:val="24"/>
        </w:rPr>
        <w:t xml:space="preserve"> compare</w:t>
      </w:r>
      <w:r w:rsidR="00EC0C6B" w:rsidRPr="00AE4411">
        <w:rPr>
          <w:sz w:val="24"/>
          <w:szCs w:val="24"/>
        </w:rPr>
        <w:t xml:space="preserve"> negatively</w:t>
      </w:r>
      <w:r w:rsidR="00F315E7" w:rsidRPr="00AE4411">
        <w:rPr>
          <w:sz w:val="24"/>
          <w:szCs w:val="24"/>
        </w:rPr>
        <w:t xml:space="preserve"> to the average of $48,561 applying in the ECEC sector</w:t>
      </w:r>
      <w:r w:rsidR="00EC0C6B" w:rsidRPr="00AE4411">
        <w:rPr>
          <w:sz w:val="24"/>
          <w:szCs w:val="24"/>
        </w:rPr>
        <w:t xml:space="preserve"> and are one of the primary reasons, along with conditions of service that the ECEC sector loses workers to the preschool sector</w:t>
      </w:r>
      <w:r w:rsidR="00F315E7" w:rsidRPr="00AE4411">
        <w:rPr>
          <w:sz w:val="24"/>
          <w:szCs w:val="24"/>
        </w:rPr>
        <w:t>.</w:t>
      </w:r>
    </w:p>
    <w:p w:rsidR="00F315E7" w:rsidRPr="00AE4411" w:rsidRDefault="008C1EAF" w:rsidP="00F315E7">
      <w:pPr>
        <w:rPr>
          <w:sz w:val="24"/>
          <w:szCs w:val="24"/>
        </w:rPr>
      </w:pPr>
      <w:r w:rsidRPr="00AE4411">
        <w:rPr>
          <w:sz w:val="24"/>
          <w:szCs w:val="24"/>
        </w:rPr>
        <w:t>Forum</w:t>
      </w:r>
      <w:r w:rsidR="00F315E7" w:rsidRPr="00AE4411">
        <w:rPr>
          <w:sz w:val="24"/>
          <w:szCs w:val="24"/>
        </w:rPr>
        <w:t xml:space="preserve"> participants made </w:t>
      </w:r>
      <w:r w:rsidR="00F21990" w:rsidRPr="00AE4411">
        <w:rPr>
          <w:sz w:val="24"/>
          <w:szCs w:val="24"/>
        </w:rPr>
        <w:t xml:space="preserve">comment </w:t>
      </w:r>
      <w:r w:rsidR="00F315E7" w:rsidRPr="00AE4411">
        <w:rPr>
          <w:sz w:val="24"/>
          <w:szCs w:val="24"/>
        </w:rPr>
        <w:t xml:space="preserve">the </w:t>
      </w:r>
      <w:r w:rsidR="00F21990" w:rsidRPr="00AE4411">
        <w:rPr>
          <w:sz w:val="24"/>
          <w:szCs w:val="24"/>
        </w:rPr>
        <w:t xml:space="preserve">2016 </w:t>
      </w:r>
      <w:r w:rsidR="001135FA" w:rsidRPr="00AE4411">
        <w:rPr>
          <w:sz w:val="24"/>
          <w:szCs w:val="24"/>
        </w:rPr>
        <w:t>Review</w:t>
      </w:r>
      <w:r w:rsidR="00F315E7" w:rsidRPr="00AE4411">
        <w:rPr>
          <w:sz w:val="24"/>
          <w:szCs w:val="24"/>
        </w:rPr>
        <w:t xml:space="preserve"> that </w:t>
      </w:r>
      <w:r w:rsidR="00F21990" w:rsidRPr="00AE4411">
        <w:rPr>
          <w:sz w:val="24"/>
          <w:szCs w:val="24"/>
        </w:rPr>
        <w:t>the ECEC sector struggled to compete with wages and conditions offered by Government and non-Government schools.</w:t>
      </w:r>
      <w:r w:rsidR="00F21990" w:rsidRPr="00AE4411" w:rsidDel="00F21990">
        <w:rPr>
          <w:sz w:val="24"/>
          <w:szCs w:val="24"/>
        </w:rPr>
        <w:t xml:space="preserve"> </w:t>
      </w:r>
    </w:p>
    <w:p w:rsidR="0015026B" w:rsidRPr="00AE4411" w:rsidRDefault="0015026B" w:rsidP="00F315E7">
      <w:pPr>
        <w:rPr>
          <w:sz w:val="24"/>
          <w:szCs w:val="24"/>
        </w:rPr>
      </w:pPr>
      <w:r w:rsidRPr="00AE4411">
        <w:rPr>
          <w:sz w:val="24"/>
          <w:szCs w:val="24"/>
        </w:rPr>
        <w:t xml:space="preserve">Despite the relatively low numbers of workers in the Government preschool sector, Government </w:t>
      </w:r>
      <w:r w:rsidR="00F21990" w:rsidRPr="00AE4411">
        <w:rPr>
          <w:sz w:val="24"/>
          <w:szCs w:val="24"/>
        </w:rPr>
        <w:t xml:space="preserve">and non-Government schools </w:t>
      </w:r>
      <w:r w:rsidRPr="00AE4411">
        <w:rPr>
          <w:sz w:val="24"/>
          <w:szCs w:val="24"/>
        </w:rPr>
        <w:t>represent an employment path for workers in the ECEC sector and that this cost is a contributor to the overall cost of ECEC services in the ACT.</w:t>
      </w:r>
    </w:p>
    <w:p w:rsidR="004E3534" w:rsidRPr="00AE4411" w:rsidRDefault="0015026B" w:rsidP="00F315E7">
      <w:pPr>
        <w:rPr>
          <w:sz w:val="24"/>
          <w:szCs w:val="24"/>
        </w:rPr>
      </w:pPr>
      <w:r w:rsidRPr="00AE4411">
        <w:rPr>
          <w:sz w:val="24"/>
          <w:szCs w:val="24"/>
        </w:rPr>
        <w:lastRenderedPageBreak/>
        <w:t xml:space="preserve">The </w:t>
      </w:r>
      <w:r w:rsidR="001135FA" w:rsidRPr="00AE4411">
        <w:rPr>
          <w:sz w:val="24"/>
          <w:szCs w:val="24"/>
        </w:rPr>
        <w:t>Review</w:t>
      </w:r>
      <w:r w:rsidRPr="00AE4411">
        <w:rPr>
          <w:sz w:val="24"/>
          <w:szCs w:val="24"/>
        </w:rPr>
        <w:t xml:space="preserve"> notes that the ACT is </w:t>
      </w:r>
      <w:r w:rsidR="00EC0C6B" w:rsidRPr="00AE4411">
        <w:rPr>
          <w:sz w:val="24"/>
          <w:szCs w:val="24"/>
        </w:rPr>
        <w:t>one of only a few</w:t>
      </w:r>
      <w:r w:rsidRPr="00AE4411">
        <w:rPr>
          <w:sz w:val="24"/>
          <w:szCs w:val="24"/>
        </w:rPr>
        <w:t xml:space="preserve"> jurisdiction</w:t>
      </w:r>
      <w:r w:rsidR="00EC0C6B" w:rsidRPr="00AE4411">
        <w:rPr>
          <w:sz w:val="24"/>
          <w:szCs w:val="24"/>
        </w:rPr>
        <w:t>s</w:t>
      </w:r>
      <w:r w:rsidRPr="00AE4411">
        <w:rPr>
          <w:sz w:val="24"/>
          <w:szCs w:val="24"/>
        </w:rPr>
        <w:t xml:space="preserve"> that provide preschool services in such a distinct, and separate, way from the delivery of ECEC services.</w:t>
      </w:r>
      <w:r w:rsidR="00EC0C6B" w:rsidRPr="00AE4411">
        <w:rPr>
          <w:sz w:val="24"/>
          <w:szCs w:val="24"/>
        </w:rPr>
        <w:t xml:space="preserve"> In NSW, these services are integrated into those provided by long day care centres.</w:t>
      </w:r>
      <w:r w:rsidRPr="00AE4411">
        <w:rPr>
          <w:sz w:val="24"/>
          <w:szCs w:val="24"/>
        </w:rPr>
        <w:t xml:space="preserve"> </w:t>
      </w:r>
      <w:r w:rsidR="00EC0C6B" w:rsidRPr="00AE4411">
        <w:rPr>
          <w:sz w:val="24"/>
          <w:szCs w:val="24"/>
        </w:rPr>
        <w:t>As a consequence</w:t>
      </w:r>
      <w:r w:rsidRPr="00AE4411">
        <w:rPr>
          <w:sz w:val="24"/>
          <w:szCs w:val="24"/>
        </w:rPr>
        <w:t xml:space="preserve"> deliver</w:t>
      </w:r>
      <w:r w:rsidR="00B74289" w:rsidRPr="00AE4411">
        <w:rPr>
          <w:sz w:val="24"/>
          <w:szCs w:val="24"/>
        </w:rPr>
        <w:t>y of</w:t>
      </w:r>
      <w:r w:rsidRPr="00AE4411">
        <w:rPr>
          <w:sz w:val="24"/>
          <w:szCs w:val="24"/>
        </w:rPr>
        <w:t xml:space="preserve"> </w:t>
      </w:r>
      <w:r w:rsidR="00F21990" w:rsidRPr="00AE4411">
        <w:rPr>
          <w:sz w:val="24"/>
          <w:szCs w:val="24"/>
        </w:rPr>
        <w:t xml:space="preserve">education care </w:t>
      </w:r>
      <w:r w:rsidRPr="00AE4411">
        <w:rPr>
          <w:sz w:val="24"/>
          <w:szCs w:val="24"/>
        </w:rPr>
        <w:t>services to four year olds</w:t>
      </w:r>
      <w:r w:rsidR="00B74289" w:rsidRPr="00AE4411">
        <w:rPr>
          <w:sz w:val="24"/>
          <w:szCs w:val="24"/>
        </w:rPr>
        <w:t xml:space="preserve"> in the ACT</w:t>
      </w:r>
      <w:r w:rsidR="009C35F8" w:rsidRPr="00AE4411">
        <w:rPr>
          <w:sz w:val="24"/>
          <w:szCs w:val="24"/>
        </w:rPr>
        <w:t xml:space="preserve"> involve</w:t>
      </w:r>
      <w:r w:rsidR="00B74289" w:rsidRPr="00AE4411">
        <w:rPr>
          <w:sz w:val="24"/>
          <w:szCs w:val="24"/>
        </w:rPr>
        <w:t>s</w:t>
      </w:r>
      <w:r w:rsidR="009C35F8" w:rsidRPr="00AE4411">
        <w:rPr>
          <w:sz w:val="24"/>
          <w:szCs w:val="24"/>
        </w:rPr>
        <w:t xml:space="preserve"> </w:t>
      </w:r>
      <w:r w:rsidR="00F21990" w:rsidRPr="00AE4411">
        <w:rPr>
          <w:sz w:val="24"/>
          <w:szCs w:val="24"/>
        </w:rPr>
        <w:t>two systems working side by side.</w:t>
      </w:r>
      <w:r w:rsidR="0084434F">
        <w:rPr>
          <w:sz w:val="24"/>
          <w:szCs w:val="24"/>
        </w:rPr>
        <w:t xml:space="preserve"> </w:t>
      </w:r>
    </w:p>
    <w:p w:rsidR="00F21990" w:rsidRDefault="00703293" w:rsidP="00831410">
      <w:pPr>
        <w:rPr>
          <w:sz w:val="24"/>
          <w:szCs w:val="24"/>
        </w:rPr>
      </w:pPr>
      <w:r>
        <w:rPr>
          <w:noProof/>
          <w:szCs w:val="24"/>
          <w:lang w:eastAsia="en-AU"/>
        </w:rPr>
        <mc:AlternateContent>
          <mc:Choice Requires="wps">
            <w:drawing>
              <wp:anchor distT="91440" distB="91440" distL="114300" distR="114300" simplePos="0" relativeHeight="251666944" behindDoc="0" locked="0" layoutInCell="0" allowOverlap="1">
                <wp:simplePos x="0" y="0"/>
                <wp:positionH relativeFrom="margin">
                  <wp:posOffset>-55880</wp:posOffset>
                </wp:positionH>
                <wp:positionV relativeFrom="margin">
                  <wp:posOffset>1555115</wp:posOffset>
                </wp:positionV>
                <wp:extent cx="5913120" cy="1891665"/>
                <wp:effectExtent l="10795" t="12065" r="10160" b="10795"/>
                <wp:wrapSquare wrapText="bothSides"/>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13120" cy="18916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E0AC1" w:rsidRPr="00831410" w:rsidRDefault="007E0AC1" w:rsidP="008A39BD">
                            <w:pPr>
                              <w:rPr>
                                <w:sz w:val="24"/>
                                <w:szCs w:val="24"/>
                              </w:rPr>
                            </w:pPr>
                            <w:r w:rsidRPr="00831410">
                              <w:rPr>
                                <w:sz w:val="24"/>
                                <w:szCs w:val="24"/>
                              </w:rPr>
                              <w:t>ISSUES</w:t>
                            </w:r>
                          </w:p>
                          <w:p w:rsidR="007E0AC1" w:rsidRPr="00831410" w:rsidRDefault="007E0AC1" w:rsidP="008A39BD">
                            <w:pPr>
                              <w:rPr>
                                <w:sz w:val="24"/>
                                <w:szCs w:val="24"/>
                              </w:rPr>
                            </w:pPr>
                            <w:r>
                              <w:rPr>
                                <w:sz w:val="24"/>
                                <w:szCs w:val="24"/>
                              </w:rPr>
                              <w:t>The ACT has had great success in achieving universal access to preschool. However, there is a disconnection between preschool programs run in schools from programs run in non-school services. There is an opportunities to coordinate and integrate the two streams.</w:t>
                            </w:r>
                            <w:r w:rsidRPr="00831410">
                              <w:rPr>
                                <w:sz w:val="24"/>
                                <w:szCs w:val="24"/>
                              </w:rPr>
                              <w:t xml:space="preserve"> </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16" o:spid="_x0000_s1032" style="position:absolute;margin-left:-4.4pt;margin-top:122.45pt;width:465.6pt;height:148.95pt;flip:x;z-index:251666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" o:allowincell="f" filled="f" fillcolor="black [3213]" strokecolor="black [3213]" strokeweight="1.5pt">
                <v:shadow color="#f79646 [3209]" opacity=".5" offset="-15pt,0"/>
                <v:textbox style="mso-fit-shape-to-text:t" inset="21.6pt,21.6pt,21.6pt,21.6pt">
                  <w:txbxContent>
                    <w:p w:rsidR="007E0AC1" w:rsidRPr="00831410" w:rsidRDefault="007E0AC1" w:rsidP="008A39BD">
                      <w:pPr>
                        <w:rPr>
                          <w:sz w:val="24"/>
                          <w:szCs w:val="24"/>
                        </w:rPr>
                      </w:pPr>
                      <w:r w:rsidRPr="00831410">
                        <w:rPr>
                          <w:sz w:val="24"/>
                          <w:szCs w:val="24"/>
                        </w:rPr>
                        <w:t>ISSUES</w:t>
                      </w:r>
                    </w:p>
                    <w:p w:rsidR="007E0AC1" w:rsidRPr="00831410" w:rsidRDefault="007E0AC1" w:rsidP="008A39BD">
                      <w:pPr>
                        <w:rPr>
                          <w:sz w:val="24"/>
                          <w:szCs w:val="24"/>
                        </w:rPr>
                      </w:pPr>
                      <w:r>
                        <w:rPr>
                          <w:sz w:val="24"/>
                          <w:szCs w:val="24"/>
                        </w:rPr>
                        <w:t>The ACT has had great success in achieving universal access to preschool. However, there is a disconnection between preschool programs run in schools from programs run in non-school services. There is an opportunities to coordinate and integrate the two streams.</w:t>
                      </w:r>
                      <w:r w:rsidRPr="00831410">
                        <w:rPr>
                          <w:sz w:val="24"/>
                          <w:szCs w:val="24"/>
                        </w:rPr>
                        <w:t xml:space="preserve"> </w:t>
                      </w:r>
                    </w:p>
                  </w:txbxContent>
                </v:textbox>
                <w10:wrap type="square" anchorx="margin" anchory="margin"/>
              </v:rect>
            </w:pict>
          </mc:Fallback>
        </mc:AlternateContent>
      </w:r>
      <w:r w:rsidR="00B74289" w:rsidRPr="00AE4411">
        <w:rPr>
          <w:sz w:val="24"/>
          <w:szCs w:val="24"/>
        </w:rPr>
        <w:t>T</w:t>
      </w:r>
      <w:r w:rsidR="004E3534" w:rsidRPr="00AE4411">
        <w:rPr>
          <w:sz w:val="24"/>
          <w:szCs w:val="24"/>
        </w:rPr>
        <w:t>he</w:t>
      </w:r>
      <w:r w:rsidR="00831410">
        <w:rPr>
          <w:sz w:val="24"/>
          <w:szCs w:val="24"/>
        </w:rPr>
        <w:t>re is a great opportunity to coordinate the</w:t>
      </w:r>
      <w:r w:rsidR="004E3534" w:rsidRPr="00AE4411">
        <w:rPr>
          <w:sz w:val="24"/>
          <w:szCs w:val="24"/>
        </w:rPr>
        <w:t xml:space="preserve"> connections between these two </w:t>
      </w:r>
      <w:r w:rsidR="00831410">
        <w:rPr>
          <w:sz w:val="24"/>
          <w:szCs w:val="24"/>
        </w:rPr>
        <w:t xml:space="preserve">systems. </w:t>
      </w:r>
    </w:p>
    <w:p w:rsidR="00221453" w:rsidRPr="00AE4411" w:rsidRDefault="00221453" w:rsidP="00831410">
      <w:pPr>
        <w:rPr>
          <w:sz w:val="24"/>
          <w:szCs w:val="24"/>
        </w:rPr>
      </w:pPr>
    </w:p>
    <w:p w:rsidR="00BA0D26" w:rsidRPr="00AE4411" w:rsidRDefault="00BA0D26" w:rsidP="00841FED">
      <w:pPr>
        <w:pStyle w:val="PolicyHeading3-Accessible"/>
      </w:pPr>
      <w:bookmarkStart w:id="47" w:name="_Toc509497660"/>
      <w:r w:rsidRPr="00AE4411">
        <w:t xml:space="preserve">Matching sector capacity to </w:t>
      </w:r>
      <w:r w:rsidR="005D2CB3" w:rsidRPr="00AE4411">
        <w:t>need</w:t>
      </w:r>
      <w:r w:rsidR="002E2409" w:rsidRPr="00AE4411">
        <w:t>s</w:t>
      </w:r>
      <w:r w:rsidR="005D2CB3" w:rsidRPr="00AE4411">
        <w:t xml:space="preserve"> and </w:t>
      </w:r>
      <w:r w:rsidRPr="00AE4411">
        <w:t>demand</w:t>
      </w:r>
      <w:bookmarkEnd w:id="47"/>
    </w:p>
    <w:p w:rsidR="006A762B" w:rsidRPr="00AE4411" w:rsidRDefault="002E2409" w:rsidP="00424BCE">
      <w:pPr>
        <w:pStyle w:val="AccessibleBody"/>
      </w:pPr>
      <w:r w:rsidRPr="00AE4411">
        <w:t xml:space="preserve">Any </w:t>
      </w:r>
      <w:r w:rsidR="00BA0D26" w:rsidRPr="00AE4411">
        <w:t>level of un</w:t>
      </w:r>
      <w:r w:rsidRPr="00AE4411">
        <w:t>der</w:t>
      </w:r>
      <w:r w:rsidR="00BA0D26" w:rsidRPr="00AE4411">
        <w:t xml:space="preserve">utilised capacity in the provision of ECEC services in the ACT </w:t>
      </w:r>
      <w:r w:rsidRPr="00AE4411">
        <w:t xml:space="preserve">also </w:t>
      </w:r>
      <w:r w:rsidR="00BA0D26" w:rsidRPr="00AE4411">
        <w:t>represent</w:t>
      </w:r>
      <w:r w:rsidR="006635D6" w:rsidRPr="00AE4411">
        <w:t>s</w:t>
      </w:r>
      <w:r w:rsidR="00BA0D26" w:rsidRPr="00AE4411">
        <w:t xml:space="preserve"> underutilised assets</w:t>
      </w:r>
      <w:r w:rsidR="006635D6" w:rsidRPr="00AE4411">
        <w:t>. Underutilised assets, in whatever form they manifest</w:t>
      </w:r>
      <w:r w:rsidR="00BA0D26" w:rsidRPr="00AE4411">
        <w:t>,</w:t>
      </w:r>
      <w:r w:rsidR="006635D6" w:rsidRPr="00AE4411">
        <w:t xml:space="preserve"> lead to an increase in the cost of providing a service which, in turn, </w:t>
      </w:r>
      <w:r w:rsidR="00BA0D26" w:rsidRPr="00AE4411">
        <w:t>will impact negatively on the ACT</w:t>
      </w:r>
      <w:r w:rsidRPr="00AE4411">
        <w:t xml:space="preserve"> community</w:t>
      </w:r>
      <w:r w:rsidR="00BA0D26" w:rsidRPr="00AE4411">
        <w:t xml:space="preserve">. </w:t>
      </w:r>
      <w:r w:rsidR="001F733E" w:rsidRPr="00AE4411">
        <w:t xml:space="preserve">A number of the participants at the 1 July </w:t>
      </w:r>
      <w:r w:rsidRPr="00AE4411">
        <w:t xml:space="preserve">2016 </w:t>
      </w:r>
      <w:r w:rsidR="008C1EAF" w:rsidRPr="00AE4411">
        <w:t>Forum</w:t>
      </w:r>
      <w:r w:rsidR="001F733E" w:rsidRPr="00AE4411">
        <w:t xml:space="preserve"> advocated that the Government should use </w:t>
      </w:r>
      <w:r w:rsidRPr="00AE4411">
        <w:t xml:space="preserve">statutory land </w:t>
      </w:r>
      <w:r w:rsidR="001F733E" w:rsidRPr="00AE4411">
        <w:t xml:space="preserve">planning and approval processes to restrict the entry of new ECEC capacity into the ACT market. However, there are a number of significant risks in attempting to </w:t>
      </w:r>
      <w:r w:rsidR="00011D24" w:rsidRPr="00AE4411">
        <w:t xml:space="preserve">use development </w:t>
      </w:r>
      <w:r w:rsidR="001F733E" w:rsidRPr="00AE4411">
        <w:t>control</w:t>
      </w:r>
      <w:r w:rsidR="00011D24" w:rsidRPr="00AE4411">
        <w:t xml:space="preserve">s to manage capacity against need and demand for </w:t>
      </w:r>
      <w:r w:rsidR="001F733E" w:rsidRPr="00AE4411">
        <w:t>a service, particularly where increases in the supply of that service have a long lead time</w:t>
      </w:r>
      <w:r w:rsidR="00011D24" w:rsidRPr="00AE4411">
        <w:t>.</w:t>
      </w:r>
      <w:r w:rsidR="001F733E" w:rsidRPr="00AE4411">
        <w:t xml:space="preserve"> </w:t>
      </w:r>
    </w:p>
    <w:p w:rsidR="00011D24" w:rsidRPr="00AE4411" w:rsidRDefault="00011D24" w:rsidP="00424BCE">
      <w:pPr>
        <w:pStyle w:val="AccessibleBody"/>
      </w:pPr>
      <w:r w:rsidRPr="00AE4411">
        <w:t xml:space="preserve">The ACT’s planning laws are designed to facilitate </w:t>
      </w:r>
      <w:r w:rsidR="00BC17D3" w:rsidRPr="00AE4411">
        <w:t>land use for purposes that ensure all of the n</w:t>
      </w:r>
      <w:r w:rsidR="001C7396">
        <w:t xml:space="preserve">eeds of the community are met. </w:t>
      </w:r>
      <w:r w:rsidR="00BC17D3" w:rsidRPr="00AE4411">
        <w:t>The laws set the rules around land use and the management</w:t>
      </w:r>
      <w:r w:rsidR="001C7396">
        <w:t xml:space="preserve"> of land as a whole Territory. </w:t>
      </w:r>
      <w:r w:rsidR="00BC17D3" w:rsidRPr="00AE4411">
        <w:t>They are ill-suited to regulate markets</w:t>
      </w:r>
      <w:r w:rsidR="0035555F" w:rsidRPr="00AE4411">
        <w:t>.</w:t>
      </w:r>
    </w:p>
    <w:p w:rsidR="005A394E" w:rsidRPr="00AE4411" w:rsidRDefault="005A394E" w:rsidP="00424BCE">
      <w:pPr>
        <w:pStyle w:val="AccessibleBody"/>
      </w:pPr>
      <w:r w:rsidRPr="00AE4411">
        <w:t>Planning laws in Australia are also areas of higher frequency of litigation around the merits or de-merits of planning proposals.</w:t>
      </w:r>
      <w:r w:rsidR="0084434F">
        <w:t xml:space="preserve"> </w:t>
      </w:r>
      <w:r w:rsidRPr="00AE4411">
        <w:t xml:space="preserve">The </w:t>
      </w:r>
      <w:r w:rsidR="002437D9" w:rsidRPr="00AE4411">
        <w:t>considerable sums of investment involved in such matters can lead to expensive litigation relative to the policy goal of capacity management.</w:t>
      </w:r>
    </w:p>
    <w:p w:rsidR="0035555F" w:rsidRPr="00AE4411" w:rsidRDefault="0035555F" w:rsidP="00424BCE">
      <w:pPr>
        <w:pStyle w:val="AccessibleBody"/>
      </w:pPr>
      <w:r w:rsidRPr="00AE4411">
        <w:t>There is merit, however, in considering how the Government could assist education and care providers to understand the capacity of the sector when considering expansion or contraction of services.</w:t>
      </w:r>
      <w:r w:rsidR="001C7396">
        <w:t xml:space="preserve"> </w:t>
      </w:r>
      <w:r w:rsidRPr="00AE4411">
        <w:t xml:space="preserve">There may also be merit in </w:t>
      </w:r>
      <w:r w:rsidR="002437D9" w:rsidRPr="00AE4411">
        <w:t xml:space="preserve">the </w:t>
      </w:r>
      <w:r w:rsidRPr="00AE4411">
        <w:t xml:space="preserve">Government </w:t>
      </w:r>
      <w:r w:rsidR="002437D9" w:rsidRPr="00AE4411">
        <w:t xml:space="preserve">partnering with the sector as a whole to agree </w:t>
      </w:r>
      <w:r w:rsidRPr="00AE4411">
        <w:t>on criteria that would trigger a flag</w:t>
      </w:r>
      <w:r w:rsidR="005A394E" w:rsidRPr="00AE4411">
        <w:t xml:space="preserve"> of capacity risk in either undersupply or oversupply.</w:t>
      </w:r>
    </w:p>
    <w:p w:rsidR="006635D6" w:rsidRPr="00AE4411" w:rsidRDefault="00862E1D" w:rsidP="001C7396">
      <w:pPr>
        <w:pStyle w:val="AccessibleBody"/>
      </w:pPr>
      <w:r w:rsidRPr="00AE4411">
        <w:lastRenderedPageBreak/>
        <w:t>The Government also has a responsibility to ensure that sector capacity also provides access to children who most need it but cannot afford it.</w:t>
      </w:r>
    </w:p>
    <w:p w:rsidR="004E3534" w:rsidRPr="00AE4411" w:rsidRDefault="004E3534" w:rsidP="00841FED">
      <w:pPr>
        <w:pStyle w:val="PolicyHeading4-Accessible"/>
      </w:pPr>
      <w:bookmarkStart w:id="48" w:name="_Toc509497661"/>
      <w:r w:rsidRPr="00AE4411">
        <w:t>Will</w:t>
      </w:r>
      <w:r w:rsidR="00A8274B" w:rsidRPr="00AE4411">
        <w:t xml:space="preserve"> there be </w:t>
      </w:r>
      <w:r w:rsidRPr="00AE4411">
        <w:t xml:space="preserve">increased demand </w:t>
      </w:r>
      <w:r w:rsidR="00A8274B" w:rsidRPr="00AE4411">
        <w:t>for services</w:t>
      </w:r>
      <w:r w:rsidRPr="00AE4411">
        <w:t>?</w:t>
      </w:r>
      <w:bookmarkEnd w:id="48"/>
    </w:p>
    <w:p w:rsidR="00F86566" w:rsidRPr="00AE4411" w:rsidRDefault="00E149A1" w:rsidP="00EC0C6B">
      <w:pPr>
        <w:pStyle w:val="AccessibleBody"/>
        <w:spacing w:after="120"/>
      </w:pPr>
      <w:r w:rsidRPr="00AE4411">
        <w:t>T</w:t>
      </w:r>
      <w:r w:rsidR="004232D1" w:rsidRPr="00AE4411">
        <w:t xml:space="preserve">he primary source of </w:t>
      </w:r>
      <w:r w:rsidR="00310DBE" w:rsidRPr="00AE4411">
        <w:t>demand</w:t>
      </w:r>
      <w:r w:rsidR="004232D1" w:rsidRPr="00AE4411">
        <w:t xml:space="preserve"> for ECE</w:t>
      </w:r>
      <w:r w:rsidR="00231E40" w:rsidRPr="00AE4411">
        <w:t>C</w:t>
      </w:r>
      <w:r w:rsidR="004232D1" w:rsidRPr="00AE4411">
        <w:t xml:space="preserve"> </w:t>
      </w:r>
      <w:r w:rsidR="00310DBE" w:rsidRPr="00AE4411">
        <w:t xml:space="preserve">services </w:t>
      </w:r>
      <w:r w:rsidR="004232D1" w:rsidRPr="00AE4411">
        <w:t xml:space="preserve">in the ACT is from children born here. </w:t>
      </w:r>
      <w:r w:rsidR="00625AE6" w:rsidRPr="00AE4411">
        <w:rPr>
          <w:b/>
        </w:rPr>
        <w:t xml:space="preserve">Figure </w:t>
      </w:r>
      <w:r w:rsidR="008A5FE5" w:rsidRPr="00AE4411">
        <w:rPr>
          <w:b/>
        </w:rPr>
        <w:t>21</w:t>
      </w:r>
      <w:r w:rsidR="008A5FE5" w:rsidRPr="00AE4411">
        <w:t xml:space="preserve"> </w:t>
      </w:r>
      <w:r w:rsidR="004232D1" w:rsidRPr="00AE4411">
        <w:t>below shows birth data for the ACT from 2008 to 2015. Average growth over that period is a little over 5,000 per year and the number of ACT resident children available to participate in ECE</w:t>
      </w:r>
      <w:r w:rsidR="00424BCE" w:rsidRPr="00AE4411">
        <w:t>C</w:t>
      </w:r>
      <w:r w:rsidR="004232D1" w:rsidRPr="00AE4411">
        <w:t xml:space="preserve"> services in the ACT is not growing at </w:t>
      </w:r>
      <w:r w:rsidR="00310DBE" w:rsidRPr="00AE4411">
        <w:t xml:space="preserve">a rate that will bring the demand for, and supply of, places into equilibrium. </w:t>
      </w:r>
    </w:p>
    <w:tbl>
      <w:tblPr>
        <w:tblStyle w:val="MediumShading1-Accent4"/>
        <w:tblpPr w:leftFromText="180" w:rightFromText="180" w:vertAnchor="text" w:horzAnchor="margin" w:tblpY="125"/>
        <w:tblW w:w="8860" w:type="dxa"/>
        <w:tblLook w:val="04A0" w:firstRow="1" w:lastRow="0" w:firstColumn="1" w:lastColumn="0" w:noHBand="0" w:noVBand="1"/>
      </w:tblPr>
      <w:tblGrid>
        <w:gridCol w:w="960"/>
        <w:gridCol w:w="960"/>
        <w:gridCol w:w="1180"/>
        <w:gridCol w:w="960"/>
        <w:gridCol w:w="960"/>
        <w:gridCol w:w="960"/>
        <w:gridCol w:w="960"/>
        <w:gridCol w:w="960"/>
        <w:gridCol w:w="960"/>
      </w:tblGrid>
      <w:tr w:rsidR="00310DBE" w:rsidRPr="00AE4411" w:rsidTr="00CD644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noWrap/>
          </w:tcPr>
          <w:p w:rsidR="00310DBE" w:rsidRPr="00AE4411" w:rsidRDefault="00310DBE" w:rsidP="00CD644C">
            <w:pPr>
              <w:rPr>
                <w:lang w:eastAsia="en-AU"/>
              </w:rPr>
            </w:pPr>
            <w:r w:rsidRPr="00AE4411">
              <w:rPr>
                <w:lang w:eastAsia="en-AU"/>
              </w:rPr>
              <w:t>Year</w:t>
            </w:r>
          </w:p>
        </w:tc>
        <w:tc>
          <w:tcPr>
            <w:tcW w:w="960" w:type="dxa"/>
            <w:noWrap/>
            <w:hideMark/>
          </w:tcPr>
          <w:p w:rsidR="00310DBE" w:rsidRPr="00AE4411" w:rsidRDefault="00310DBE"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2008</w:t>
            </w:r>
          </w:p>
        </w:tc>
        <w:tc>
          <w:tcPr>
            <w:tcW w:w="1180" w:type="dxa"/>
            <w:noWrap/>
            <w:hideMark/>
          </w:tcPr>
          <w:p w:rsidR="00310DBE" w:rsidRPr="00AE4411" w:rsidRDefault="00310DBE"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2009</w:t>
            </w:r>
          </w:p>
        </w:tc>
        <w:tc>
          <w:tcPr>
            <w:tcW w:w="960" w:type="dxa"/>
            <w:noWrap/>
            <w:hideMark/>
          </w:tcPr>
          <w:p w:rsidR="00310DBE" w:rsidRPr="00AE4411" w:rsidRDefault="00310DBE"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2010</w:t>
            </w:r>
          </w:p>
        </w:tc>
        <w:tc>
          <w:tcPr>
            <w:tcW w:w="960" w:type="dxa"/>
            <w:noWrap/>
            <w:hideMark/>
          </w:tcPr>
          <w:p w:rsidR="00310DBE" w:rsidRPr="00AE4411" w:rsidRDefault="00310DBE"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2011</w:t>
            </w:r>
          </w:p>
        </w:tc>
        <w:tc>
          <w:tcPr>
            <w:tcW w:w="960" w:type="dxa"/>
            <w:noWrap/>
            <w:hideMark/>
          </w:tcPr>
          <w:p w:rsidR="00310DBE" w:rsidRPr="00AE4411" w:rsidRDefault="00310DBE"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2012</w:t>
            </w:r>
          </w:p>
        </w:tc>
        <w:tc>
          <w:tcPr>
            <w:tcW w:w="960" w:type="dxa"/>
            <w:noWrap/>
            <w:hideMark/>
          </w:tcPr>
          <w:p w:rsidR="00310DBE" w:rsidRPr="00AE4411" w:rsidRDefault="00310DBE"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2013</w:t>
            </w:r>
          </w:p>
        </w:tc>
        <w:tc>
          <w:tcPr>
            <w:tcW w:w="960" w:type="dxa"/>
            <w:noWrap/>
            <w:hideMark/>
          </w:tcPr>
          <w:p w:rsidR="00310DBE" w:rsidRPr="00AE4411" w:rsidRDefault="00310DBE"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2014</w:t>
            </w:r>
          </w:p>
        </w:tc>
        <w:tc>
          <w:tcPr>
            <w:tcW w:w="960" w:type="dxa"/>
            <w:noWrap/>
            <w:hideMark/>
          </w:tcPr>
          <w:p w:rsidR="00310DBE" w:rsidRPr="00AE4411" w:rsidRDefault="00310DBE"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2015</w:t>
            </w:r>
          </w:p>
        </w:tc>
      </w:tr>
      <w:tr w:rsidR="00310DBE" w:rsidRPr="00AE4411" w:rsidTr="00CD644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60" w:type="dxa"/>
            <w:noWrap/>
          </w:tcPr>
          <w:p w:rsidR="00310DBE" w:rsidRPr="00AE4411" w:rsidRDefault="00310DBE" w:rsidP="00CD644C">
            <w:pPr>
              <w:rPr>
                <w:lang w:eastAsia="en-AU"/>
              </w:rPr>
            </w:pPr>
            <w:r w:rsidRPr="00AE4411">
              <w:rPr>
                <w:lang w:eastAsia="en-AU"/>
              </w:rPr>
              <w:t>Births</w:t>
            </w:r>
          </w:p>
        </w:tc>
        <w:tc>
          <w:tcPr>
            <w:tcW w:w="960" w:type="dxa"/>
            <w:noWrap/>
            <w:hideMark/>
          </w:tcPr>
          <w:p w:rsidR="00310DBE" w:rsidRPr="00AE4411" w:rsidRDefault="00310DBE" w:rsidP="00CD644C">
            <w:pPr>
              <w:cnfStyle w:val="000000100000" w:firstRow="0" w:lastRow="0" w:firstColumn="0" w:lastColumn="0" w:oddVBand="0" w:evenVBand="0" w:oddHBand="1" w:evenHBand="0" w:firstRowFirstColumn="0" w:firstRowLastColumn="0" w:lastRowFirstColumn="0" w:lastRowLastColumn="0"/>
              <w:rPr>
                <w:bCs/>
                <w:lang w:eastAsia="en-AU"/>
              </w:rPr>
            </w:pPr>
            <w:r w:rsidRPr="00AE4411">
              <w:rPr>
                <w:bCs/>
                <w:lang w:eastAsia="en-AU"/>
              </w:rPr>
              <w:t>4,744</w:t>
            </w:r>
          </w:p>
        </w:tc>
        <w:tc>
          <w:tcPr>
            <w:tcW w:w="1180" w:type="dxa"/>
            <w:noWrap/>
            <w:hideMark/>
          </w:tcPr>
          <w:p w:rsidR="00310DBE" w:rsidRPr="00AE4411" w:rsidRDefault="00310DBE" w:rsidP="00CD644C">
            <w:pPr>
              <w:cnfStyle w:val="000000100000" w:firstRow="0" w:lastRow="0" w:firstColumn="0" w:lastColumn="0" w:oddVBand="0" w:evenVBand="0" w:oddHBand="1" w:evenHBand="0" w:firstRowFirstColumn="0" w:firstRowLastColumn="0" w:lastRowFirstColumn="0" w:lastRowLastColumn="0"/>
              <w:rPr>
                <w:bCs/>
                <w:lang w:eastAsia="en-AU"/>
              </w:rPr>
            </w:pPr>
            <w:r w:rsidRPr="00AE4411">
              <w:rPr>
                <w:bCs/>
                <w:lang w:eastAsia="en-AU"/>
              </w:rPr>
              <w:t>4,832</w:t>
            </w:r>
          </w:p>
        </w:tc>
        <w:tc>
          <w:tcPr>
            <w:tcW w:w="960" w:type="dxa"/>
            <w:noWrap/>
            <w:hideMark/>
          </w:tcPr>
          <w:p w:rsidR="00310DBE" w:rsidRPr="00AE4411" w:rsidRDefault="00310DBE" w:rsidP="00CD644C">
            <w:pPr>
              <w:cnfStyle w:val="000000100000" w:firstRow="0" w:lastRow="0" w:firstColumn="0" w:lastColumn="0" w:oddVBand="0" w:evenVBand="0" w:oddHBand="1" w:evenHBand="0" w:firstRowFirstColumn="0" w:firstRowLastColumn="0" w:lastRowFirstColumn="0" w:lastRowLastColumn="0"/>
              <w:rPr>
                <w:bCs/>
                <w:lang w:eastAsia="en-AU"/>
              </w:rPr>
            </w:pPr>
            <w:r w:rsidRPr="00AE4411">
              <w:rPr>
                <w:bCs/>
                <w:lang w:eastAsia="en-AU"/>
              </w:rPr>
              <w:t>4,953</w:t>
            </w:r>
          </w:p>
        </w:tc>
        <w:tc>
          <w:tcPr>
            <w:tcW w:w="960" w:type="dxa"/>
            <w:noWrap/>
            <w:hideMark/>
          </w:tcPr>
          <w:p w:rsidR="00310DBE" w:rsidRPr="00AE4411" w:rsidRDefault="00310DBE" w:rsidP="00CD644C">
            <w:pPr>
              <w:cnfStyle w:val="000000100000" w:firstRow="0" w:lastRow="0" w:firstColumn="0" w:lastColumn="0" w:oddVBand="0" w:evenVBand="0" w:oddHBand="1" w:evenHBand="0" w:firstRowFirstColumn="0" w:firstRowLastColumn="0" w:lastRowFirstColumn="0" w:lastRowLastColumn="0"/>
              <w:rPr>
                <w:bCs/>
                <w:lang w:eastAsia="en-AU"/>
              </w:rPr>
            </w:pPr>
            <w:r w:rsidRPr="00AE4411">
              <w:rPr>
                <w:bCs/>
                <w:lang w:eastAsia="en-AU"/>
              </w:rPr>
              <w:t>5,083</w:t>
            </w:r>
          </w:p>
        </w:tc>
        <w:tc>
          <w:tcPr>
            <w:tcW w:w="960" w:type="dxa"/>
            <w:noWrap/>
            <w:hideMark/>
          </w:tcPr>
          <w:p w:rsidR="00310DBE" w:rsidRPr="00AE4411" w:rsidRDefault="00310DBE" w:rsidP="00CD644C">
            <w:pPr>
              <w:cnfStyle w:val="000000100000" w:firstRow="0" w:lastRow="0" w:firstColumn="0" w:lastColumn="0" w:oddVBand="0" w:evenVBand="0" w:oddHBand="1" w:evenHBand="0" w:firstRowFirstColumn="0" w:firstRowLastColumn="0" w:lastRowFirstColumn="0" w:lastRowLastColumn="0"/>
              <w:rPr>
                <w:bCs/>
                <w:lang w:eastAsia="en-AU"/>
              </w:rPr>
            </w:pPr>
            <w:r w:rsidRPr="00AE4411">
              <w:rPr>
                <w:bCs/>
                <w:lang w:eastAsia="en-AU"/>
              </w:rPr>
              <w:t>5,282</w:t>
            </w:r>
          </w:p>
        </w:tc>
        <w:tc>
          <w:tcPr>
            <w:tcW w:w="960" w:type="dxa"/>
            <w:noWrap/>
            <w:hideMark/>
          </w:tcPr>
          <w:p w:rsidR="00310DBE" w:rsidRPr="00AE4411" w:rsidRDefault="00310DBE" w:rsidP="00CD644C">
            <w:pPr>
              <w:cnfStyle w:val="000000100000" w:firstRow="0" w:lastRow="0" w:firstColumn="0" w:lastColumn="0" w:oddVBand="0" w:evenVBand="0" w:oddHBand="1" w:evenHBand="0" w:firstRowFirstColumn="0" w:firstRowLastColumn="0" w:lastRowFirstColumn="0" w:lastRowLastColumn="0"/>
              <w:rPr>
                <w:bCs/>
                <w:lang w:eastAsia="en-AU"/>
              </w:rPr>
            </w:pPr>
            <w:r w:rsidRPr="00AE4411">
              <w:rPr>
                <w:bCs/>
                <w:lang w:eastAsia="en-AU"/>
              </w:rPr>
              <w:t>5,332</w:t>
            </w:r>
          </w:p>
        </w:tc>
        <w:tc>
          <w:tcPr>
            <w:tcW w:w="960" w:type="dxa"/>
            <w:noWrap/>
            <w:hideMark/>
          </w:tcPr>
          <w:p w:rsidR="00310DBE" w:rsidRPr="00AE4411" w:rsidRDefault="00310DBE" w:rsidP="00CD644C">
            <w:pPr>
              <w:cnfStyle w:val="000000100000" w:firstRow="0" w:lastRow="0" w:firstColumn="0" w:lastColumn="0" w:oddVBand="0" w:evenVBand="0" w:oddHBand="1" w:evenHBand="0" w:firstRowFirstColumn="0" w:firstRowLastColumn="0" w:lastRowFirstColumn="0" w:lastRowLastColumn="0"/>
              <w:rPr>
                <w:bCs/>
                <w:lang w:eastAsia="en-AU"/>
              </w:rPr>
            </w:pPr>
            <w:r w:rsidRPr="00AE4411">
              <w:rPr>
                <w:bCs/>
                <w:lang w:eastAsia="en-AU"/>
              </w:rPr>
              <w:t>5,058</w:t>
            </w:r>
          </w:p>
        </w:tc>
        <w:tc>
          <w:tcPr>
            <w:tcW w:w="960" w:type="dxa"/>
            <w:noWrap/>
            <w:hideMark/>
          </w:tcPr>
          <w:p w:rsidR="00310DBE" w:rsidRPr="00AE4411" w:rsidRDefault="00310DBE" w:rsidP="00CD644C">
            <w:pPr>
              <w:cnfStyle w:val="000000100000" w:firstRow="0" w:lastRow="0" w:firstColumn="0" w:lastColumn="0" w:oddVBand="0" w:evenVBand="0" w:oddHBand="1" w:evenHBand="0" w:firstRowFirstColumn="0" w:firstRowLastColumn="0" w:lastRowFirstColumn="0" w:lastRowLastColumn="0"/>
              <w:rPr>
                <w:bCs/>
                <w:lang w:eastAsia="en-AU"/>
              </w:rPr>
            </w:pPr>
            <w:r w:rsidRPr="00AE4411">
              <w:rPr>
                <w:bCs/>
                <w:lang w:eastAsia="en-AU"/>
              </w:rPr>
              <w:t>5,220</w:t>
            </w:r>
          </w:p>
        </w:tc>
      </w:tr>
    </w:tbl>
    <w:p w:rsidR="00310DBE" w:rsidRPr="00AE4411" w:rsidRDefault="00310DBE" w:rsidP="00EC0C6B">
      <w:pPr>
        <w:spacing w:before="60" w:after="120"/>
        <w:rPr>
          <w:rFonts w:cs="Calibri"/>
          <w:sz w:val="18"/>
          <w:szCs w:val="18"/>
        </w:rPr>
      </w:pPr>
      <w:r w:rsidRPr="00AE4411">
        <w:rPr>
          <w:rFonts w:cs="Calibri"/>
          <w:sz w:val="18"/>
          <w:szCs w:val="18"/>
        </w:rPr>
        <w:t xml:space="preserve">Fig </w:t>
      </w:r>
      <w:r w:rsidR="00D459F6" w:rsidRPr="00AE4411">
        <w:rPr>
          <w:rFonts w:cs="Calibri"/>
          <w:sz w:val="18"/>
          <w:szCs w:val="18"/>
        </w:rPr>
        <w:t xml:space="preserve">20 - </w:t>
      </w:r>
      <w:r w:rsidRPr="00AE4411">
        <w:rPr>
          <w:rFonts w:cs="Calibri"/>
          <w:sz w:val="18"/>
          <w:szCs w:val="18"/>
        </w:rPr>
        <w:t>ACT Birth-rate between 2008 and 2015</w:t>
      </w:r>
    </w:p>
    <w:p w:rsidR="00310DBE" w:rsidRPr="00AE4411" w:rsidRDefault="00310DBE" w:rsidP="00EC0C6B">
      <w:pPr>
        <w:pStyle w:val="AccessibleBody"/>
        <w:spacing w:after="120"/>
      </w:pPr>
      <w:r w:rsidRPr="00AE4411">
        <w:t>Using the growth in births as the sole source of future demand, t</w:t>
      </w:r>
      <w:r w:rsidR="004232D1" w:rsidRPr="00AE4411">
        <w:t xml:space="preserve">he </w:t>
      </w:r>
      <w:r w:rsidR="00624976" w:rsidRPr="00AE4411">
        <w:t xml:space="preserve">2016 </w:t>
      </w:r>
      <w:r w:rsidR="001135FA" w:rsidRPr="00AE4411">
        <w:t>Review</w:t>
      </w:r>
      <w:r w:rsidR="004232D1" w:rsidRPr="00AE4411">
        <w:t xml:space="preserve"> found that </w:t>
      </w:r>
      <w:r w:rsidR="00624976" w:rsidRPr="00AE4411">
        <w:t xml:space="preserve">an </w:t>
      </w:r>
      <w:r w:rsidR="004232D1" w:rsidRPr="00AE4411">
        <w:t>oversupply of ECE</w:t>
      </w:r>
      <w:r w:rsidR="00231E40" w:rsidRPr="00AE4411">
        <w:t>C</w:t>
      </w:r>
      <w:r w:rsidR="004232D1" w:rsidRPr="00AE4411">
        <w:t xml:space="preserve"> places in the ACT is likely to continue for some years</w:t>
      </w:r>
      <w:r w:rsidR="00F86566" w:rsidRPr="00AE4411">
        <w:t xml:space="preserve">. Participants at the 1 July </w:t>
      </w:r>
      <w:r w:rsidR="003B0866" w:rsidRPr="00AE4411">
        <w:t xml:space="preserve">2016 </w:t>
      </w:r>
      <w:r w:rsidR="008C1EAF" w:rsidRPr="00AE4411">
        <w:t>Forum</w:t>
      </w:r>
      <w:r w:rsidR="00F86566" w:rsidRPr="00AE4411">
        <w:t xml:space="preserve"> supported this</w:t>
      </w:r>
      <w:r w:rsidR="003B0866" w:rsidRPr="00AE4411">
        <w:t xml:space="preserve"> assessment</w:t>
      </w:r>
      <w:r w:rsidR="00F86566" w:rsidRPr="00AE4411">
        <w:t xml:space="preserve"> and advised that numbers on waiting lists amongst centres </w:t>
      </w:r>
      <w:r w:rsidR="00B6017E" w:rsidRPr="00AE4411">
        <w:t xml:space="preserve">in the ACT </w:t>
      </w:r>
      <w:r w:rsidR="003B0866" w:rsidRPr="00AE4411">
        <w:t xml:space="preserve">are </w:t>
      </w:r>
      <w:r w:rsidR="00F86566" w:rsidRPr="00AE4411">
        <w:t>dropping</w:t>
      </w:r>
      <w:r w:rsidR="004232D1" w:rsidRPr="00AE4411">
        <w:t>.</w:t>
      </w:r>
      <w:r w:rsidR="00DE786F" w:rsidRPr="00AE4411">
        <w:t xml:space="preserve"> </w:t>
      </w:r>
    </w:p>
    <w:p w:rsidR="006A762B" w:rsidRPr="00AE4411" w:rsidRDefault="00A81061" w:rsidP="001C7396">
      <w:pPr>
        <w:pStyle w:val="AccessibleBody"/>
        <w:spacing w:after="120"/>
      </w:pPr>
      <w:r w:rsidRPr="00AE4411">
        <w:t xml:space="preserve">While an increase in births in the ACT will not be sufficient to impact materially on the current and anticipated oversupply of places, there are regional differences. Birth rates are considerably higher in the North Canberra/Gungahlin region and have begun to increase in the South Weston region. As a result, the supply of places will vary region, by region, although it should be noted that a significant proportion of </w:t>
      </w:r>
      <w:r w:rsidR="003B0866" w:rsidRPr="00AE4411">
        <w:t>families</w:t>
      </w:r>
      <w:r w:rsidRPr="00AE4411">
        <w:t xml:space="preserve"> will prefer services located close to their workplaces, rather than close to their homes, which means that any regional variation will be somewhat muffled by this effect. </w:t>
      </w:r>
    </w:p>
    <w:p w:rsidR="004232D1" w:rsidRPr="00AE4411" w:rsidRDefault="00DE786F" w:rsidP="00EC0C6B">
      <w:pPr>
        <w:pStyle w:val="AccessibleBody"/>
        <w:spacing w:after="120"/>
      </w:pPr>
      <w:r w:rsidRPr="00AE4411">
        <w:rPr>
          <w:b/>
        </w:rPr>
        <w:t>Figure</w:t>
      </w:r>
      <w:r w:rsidR="00F86566" w:rsidRPr="00AE4411">
        <w:rPr>
          <w:b/>
        </w:rPr>
        <w:t xml:space="preserve"> </w:t>
      </w:r>
      <w:r w:rsidR="00D459F6" w:rsidRPr="00AE4411">
        <w:rPr>
          <w:b/>
        </w:rPr>
        <w:t>21</w:t>
      </w:r>
      <w:r w:rsidR="00F86566" w:rsidRPr="00AE4411">
        <w:rPr>
          <w:b/>
        </w:rPr>
        <w:t xml:space="preserve"> </w:t>
      </w:r>
      <w:r w:rsidR="001C7396">
        <w:t xml:space="preserve">below </w:t>
      </w:r>
      <w:r w:rsidRPr="00AE4411">
        <w:t>shows the number of births across the</w:t>
      </w:r>
      <w:r w:rsidR="00090DE0" w:rsidRPr="00AE4411">
        <w:t xml:space="preserve"> </w:t>
      </w:r>
      <w:r w:rsidRPr="00AE4411">
        <w:t xml:space="preserve">ACT by </w:t>
      </w:r>
      <w:r w:rsidR="00090DE0" w:rsidRPr="00AE4411">
        <w:t xml:space="preserve">the four </w:t>
      </w:r>
      <w:r w:rsidRPr="00AE4411">
        <w:t>school networks.</w:t>
      </w:r>
    </w:p>
    <w:p w:rsidR="00DE786F" w:rsidRPr="00AE4411" w:rsidRDefault="00DE786F" w:rsidP="004232D1">
      <w:pPr>
        <w:spacing w:before="60"/>
        <w:rPr>
          <w:rFonts w:cs="Calibri"/>
          <w:sz w:val="18"/>
          <w:szCs w:val="18"/>
        </w:rPr>
      </w:pPr>
      <w:r w:rsidRPr="00AE4411">
        <w:rPr>
          <w:noProof/>
          <w:lang w:eastAsia="en-AU"/>
        </w:rPr>
        <w:lastRenderedPageBreak/>
        <w:drawing>
          <wp:inline distT="0" distB="0" distL="0" distR="0">
            <wp:extent cx="5443599" cy="3479319"/>
            <wp:effectExtent l="19050" t="0" r="4701" b="0"/>
            <wp:docPr id="25" name="Chart 1" descr="cid:image001.png@01D1BCEB.F9D8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1BCEB.F9D86560"/>
                    <pic:cNvPicPr>
                      <a:picLocks noChangeAspect="1" noChangeArrowheads="1"/>
                    </pic:cNvPicPr>
                  </pic:nvPicPr>
                  <pic:blipFill>
                    <a:blip r:embed="rId28" r:link="rId29" cstate="print"/>
                    <a:srcRect/>
                    <a:stretch>
                      <a:fillRect/>
                    </a:stretch>
                  </pic:blipFill>
                  <pic:spPr bwMode="auto">
                    <a:xfrm>
                      <a:off x="0" y="0"/>
                      <a:ext cx="5437822" cy="3475627"/>
                    </a:xfrm>
                    <a:prstGeom prst="rect">
                      <a:avLst/>
                    </a:prstGeom>
                    <a:noFill/>
                    <a:ln w="9525">
                      <a:noFill/>
                      <a:miter lim="800000"/>
                      <a:headEnd/>
                      <a:tailEnd/>
                    </a:ln>
                  </pic:spPr>
                </pic:pic>
              </a:graphicData>
            </a:graphic>
          </wp:inline>
        </w:drawing>
      </w:r>
    </w:p>
    <w:p w:rsidR="008B32DD" w:rsidRPr="00AE4411" w:rsidRDefault="00DE786F" w:rsidP="00DE786F">
      <w:pPr>
        <w:spacing w:before="60"/>
        <w:rPr>
          <w:rFonts w:cs="Calibri"/>
          <w:sz w:val="18"/>
          <w:szCs w:val="18"/>
        </w:rPr>
      </w:pPr>
      <w:r w:rsidRPr="00AE4411">
        <w:rPr>
          <w:rFonts w:cs="Calibri"/>
          <w:sz w:val="18"/>
          <w:szCs w:val="18"/>
        </w:rPr>
        <w:t xml:space="preserve">Fig </w:t>
      </w:r>
      <w:r w:rsidR="00D459F6" w:rsidRPr="00AE4411">
        <w:rPr>
          <w:rFonts w:cs="Calibri"/>
          <w:sz w:val="18"/>
          <w:szCs w:val="18"/>
        </w:rPr>
        <w:t>21 -</w:t>
      </w:r>
      <w:r w:rsidRPr="00AE4411">
        <w:rPr>
          <w:rFonts w:cs="Calibri"/>
          <w:sz w:val="18"/>
          <w:szCs w:val="18"/>
        </w:rPr>
        <w:t xml:space="preserve"> ACT Births by School Network between </w:t>
      </w:r>
      <w:r w:rsidR="00ED3232" w:rsidRPr="00AE4411">
        <w:rPr>
          <w:rFonts w:cs="Calibri"/>
          <w:sz w:val="18"/>
          <w:szCs w:val="18"/>
        </w:rPr>
        <w:t xml:space="preserve">2005 </w:t>
      </w:r>
      <w:r w:rsidRPr="00AE4411">
        <w:rPr>
          <w:rFonts w:cs="Calibri"/>
          <w:sz w:val="18"/>
          <w:szCs w:val="18"/>
        </w:rPr>
        <w:t>and 2015</w:t>
      </w:r>
    </w:p>
    <w:p w:rsidR="00B65D2D" w:rsidRPr="00AE4411" w:rsidRDefault="00B65D2D" w:rsidP="00B65D2D">
      <w:pPr>
        <w:pStyle w:val="AccessibleBody"/>
      </w:pPr>
      <w:r w:rsidRPr="00AE4411">
        <w:t xml:space="preserve">There is a further source of potential demand for places in ECEC services. This comes from those families and children who </w:t>
      </w:r>
      <w:r w:rsidR="00A81061" w:rsidRPr="00AE4411">
        <w:t xml:space="preserve">either </w:t>
      </w:r>
      <w:r w:rsidRPr="00AE4411">
        <w:t>do not currently access ECEC services, primarily due to the cost of services</w:t>
      </w:r>
      <w:r w:rsidR="00A81061" w:rsidRPr="00AE4411">
        <w:t>, or who only partially access services</w:t>
      </w:r>
      <w:r w:rsidRPr="00AE4411">
        <w:t>.</w:t>
      </w:r>
    </w:p>
    <w:p w:rsidR="003B0866" w:rsidRPr="00AE4411" w:rsidRDefault="003B0866" w:rsidP="00B65D2D">
      <w:pPr>
        <w:pStyle w:val="AccessibleBody"/>
      </w:pPr>
      <w:r w:rsidRPr="00AE4411">
        <w:t xml:space="preserve">The Community Services Directorate of ACT Government purchases </w:t>
      </w:r>
      <w:r w:rsidR="00265726" w:rsidRPr="00AE4411">
        <w:t>approximately 77</w:t>
      </w:r>
      <w:r w:rsidRPr="00AE4411">
        <w:t xml:space="preserve"> education and care places year to year to ensure that for children in </w:t>
      </w:r>
      <w:r w:rsidR="007F0496" w:rsidRPr="00AE4411">
        <w:t>a crisis context could have access to quality education and care.</w:t>
      </w:r>
    </w:p>
    <w:p w:rsidR="007F0496" w:rsidRPr="00AE4411" w:rsidRDefault="007F0496" w:rsidP="00B65D2D">
      <w:pPr>
        <w:pStyle w:val="AccessibleBody"/>
      </w:pPr>
      <w:r w:rsidRPr="00AE4411">
        <w:t>While this important program provides access for children in the most acute need, it does not account for all children who would benefit from quality education and care because of their life circumstances.</w:t>
      </w:r>
    </w:p>
    <w:p w:rsidR="00900413" w:rsidRDefault="00D459F6" w:rsidP="00B67E44">
      <w:pPr>
        <w:pStyle w:val="AccessibleBody"/>
      </w:pPr>
      <w:r w:rsidRPr="00AE4411">
        <w:rPr>
          <w:b/>
        </w:rPr>
        <w:t>Figure 22</w:t>
      </w:r>
      <w:r w:rsidRPr="00AE4411">
        <w:t xml:space="preserve"> shows the n</w:t>
      </w:r>
      <w:r w:rsidR="00B67E44" w:rsidRPr="00AE4411">
        <w:t>umber of children using child care by service type and state and territory, June quarter 2015</w:t>
      </w:r>
      <w:r w:rsidR="00C42249" w:rsidRPr="00AE4411">
        <w:t>.</w:t>
      </w:r>
      <w:r w:rsidR="00B67E44" w:rsidRPr="00AE4411">
        <w:rPr>
          <w:rStyle w:val="FootnoteReference"/>
        </w:rPr>
        <w:footnoteReference w:id="24"/>
      </w:r>
      <w:r w:rsidR="001C7396">
        <w:t xml:space="preserve"> </w:t>
      </w:r>
      <w:r w:rsidR="00C42249" w:rsidRPr="00AE4411">
        <w:t xml:space="preserve">It is possible that there are families based in NSW that access these services in the ACT. However, for the purposes of this </w:t>
      </w:r>
      <w:r w:rsidR="001135FA" w:rsidRPr="00AE4411">
        <w:t>Report</w:t>
      </w:r>
      <w:r w:rsidR="00C42249" w:rsidRPr="00AE4411">
        <w:t>, access by NSW families will not be taken into account.</w:t>
      </w:r>
    </w:p>
    <w:p w:rsidR="00900413" w:rsidRDefault="00900413">
      <w:pPr>
        <w:spacing w:after="0" w:line="240" w:lineRule="auto"/>
        <w:rPr>
          <w:rFonts w:eastAsia="Times New Roman"/>
          <w:sz w:val="24"/>
          <w:szCs w:val="20"/>
        </w:rPr>
      </w:pPr>
      <w:r>
        <w:br w:type="page"/>
      </w:r>
    </w:p>
    <w:p w:rsidR="00B67E44" w:rsidRPr="00AE4411" w:rsidRDefault="00B67E44" w:rsidP="00B67E44">
      <w:pPr>
        <w:pStyle w:val="AccessibleBody"/>
      </w:pPr>
    </w:p>
    <w:tbl>
      <w:tblPr>
        <w:tblStyle w:val="MediumShading1-Accent4"/>
        <w:tblW w:w="5104" w:type="pct"/>
        <w:tblLook w:val="0420" w:firstRow="1" w:lastRow="0" w:firstColumn="0" w:lastColumn="0" w:noHBand="0" w:noVBand="1"/>
      </w:tblPr>
      <w:tblGrid>
        <w:gridCol w:w="1305"/>
        <w:gridCol w:w="1012"/>
        <w:gridCol w:w="1012"/>
        <w:gridCol w:w="1012"/>
        <w:gridCol w:w="889"/>
        <w:gridCol w:w="889"/>
        <w:gridCol w:w="889"/>
        <w:gridCol w:w="767"/>
        <w:gridCol w:w="889"/>
        <w:gridCol w:w="1314"/>
      </w:tblGrid>
      <w:tr w:rsidR="00BC2ACE" w:rsidRPr="00AE4411" w:rsidTr="00BC2ACE">
        <w:trPr>
          <w:cnfStyle w:val="100000000000" w:firstRow="1" w:lastRow="0" w:firstColumn="0" w:lastColumn="0" w:oddVBand="0" w:evenVBand="0" w:oddHBand="0" w:evenHBand="0" w:firstRowFirstColumn="0" w:firstRowLastColumn="0" w:lastRowFirstColumn="0" w:lastRowLastColumn="0"/>
          <w:trHeight w:val="428"/>
        </w:trPr>
        <w:tc>
          <w:tcPr>
            <w:tcW w:w="637" w:type="pct"/>
          </w:tcPr>
          <w:p w:rsidR="00B67E44" w:rsidRPr="001C7396" w:rsidRDefault="00B67E44" w:rsidP="00CD644C">
            <w:r w:rsidRPr="001C7396">
              <w:t>Service type</w:t>
            </w:r>
          </w:p>
        </w:tc>
        <w:tc>
          <w:tcPr>
            <w:tcW w:w="497" w:type="pct"/>
          </w:tcPr>
          <w:p w:rsidR="00B67E44" w:rsidRPr="001C7396" w:rsidRDefault="00B67E44" w:rsidP="00CD644C">
            <w:r w:rsidRPr="001C7396">
              <w:t>NSW</w:t>
            </w:r>
          </w:p>
        </w:tc>
        <w:tc>
          <w:tcPr>
            <w:tcW w:w="497" w:type="pct"/>
          </w:tcPr>
          <w:p w:rsidR="00B67E44" w:rsidRPr="001C7396" w:rsidRDefault="00B67E44" w:rsidP="00CD644C">
            <w:r w:rsidRPr="001C7396">
              <w:t>Vic.</w:t>
            </w:r>
          </w:p>
        </w:tc>
        <w:tc>
          <w:tcPr>
            <w:tcW w:w="497" w:type="pct"/>
          </w:tcPr>
          <w:p w:rsidR="00B67E44" w:rsidRPr="001C7396" w:rsidRDefault="00B67E44" w:rsidP="00CD644C">
            <w:r w:rsidRPr="001C7396">
              <w:t>Qld</w:t>
            </w:r>
          </w:p>
        </w:tc>
        <w:tc>
          <w:tcPr>
            <w:tcW w:w="438" w:type="pct"/>
          </w:tcPr>
          <w:p w:rsidR="00B67E44" w:rsidRPr="001C7396" w:rsidRDefault="00B67E44" w:rsidP="00CD644C">
            <w:r w:rsidRPr="001C7396">
              <w:t>SA</w:t>
            </w:r>
          </w:p>
        </w:tc>
        <w:tc>
          <w:tcPr>
            <w:tcW w:w="438" w:type="pct"/>
          </w:tcPr>
          <w:p w:rsidR="00B67E44" w:rsidRPr="001C7396" w:rsidRDefault="00B67E44" w:rsidP="00CD644C">
            <w:r w:rsidRPr="001C7396">
              <w:t>WA</w:t>
            </w:r>
          </w:p>
        </w:tc>
        <w:tc>
          <w:tcPr>
            <w:tcW w:w="438" w:type="pct"/>
          </w:tcPr>
          <w:p w:rsidR="00B67E44" w:rsidRPr="001C7396" w:rsidRDefault="00B67E44" w:rsidP="00CD644C">
            <w:r w:rsidRPr="001C7396">
              <w:t>Tas.</w:t>
            </w:r>
          </w:p>
        </w:tc>
        <w:tc>
          <w:tcPr>
            <w:tcW w:w="380" w:type="pct"/>
          </w:tcPr>
          <w:p w:rsidR="00B67E44" w:rsidRPr="001C7396" w:rsidRDefault="00B67E44" w:rsidP="00CD644C">
            <w:r w:rsidRPr="001C7396">
              <w:t>NT</w:t>
            </w:r>
          </w:p>
        </w:tc>
        <w:tc>
          <w:tcPr>
            <w:tcW w:w="438" w:type="pct"/>
          </w:tcPr>
          <w:p w:rsidR="00B67E44" w:rsidRPr="001C7396" w:rsidRDefault="00B67E44" w:rsidP="00CD644C">
            <w:r w:rsidRPr="001C7396">
              <w:t>ACT</w:t>
            </w:r>
          </w:p>
        </w:tc>
        <w:tc>
          <w:tcPr>
            <w:tcW w:w="742" w:type="pct"/>
          </w:tcPr>
          <w:p w:rsidR="00B67E44" w:rsidRPr="001C7396" w:rsidRDefault="00BC2ACE" w:rsidP="00CD644C">
            <w:r>
              <w:t>Australia</w:t>
            </w:r>
            <w:r>
              <w:rPr>
                <w:vertAlign w:val="superscript"/>
              </w:rPr>
              <w:t>25</w:t>
            </w:r>
          </w:p>
        </w:tc>
      </w:tr>
      <w:tr w:rsidR="00BC2ACE" w:rsidRPr="00AE4411" w:rsidTr="00BC2ACE">
        <w:trPr>
          <w:cnfStyle w:val="000000100000" w:firstRow="0" w:lastRow="0" w:firstColumn="0" w:lastColumn="0" w:oddVBand="0" w:evenVBand="0" w:oddHBand="1" w:evenHBand="0" w:firstRowFirstColumn="0" w:firstRowLastColumn="0" w:lastRowFirstColumn="0" w:lastRowLastColumn="0"/>
          <w:trHeight w:hRule="exact" w:val="933"/>
        </w:trPr>
        <w:tc>
          <w:tcPr>
            <w:tcW w:w="637" w:type="pct"/>
          </w:tcPr>
          <w:p w:rsidR="00B67E44" w:rsidRPr="00AE4411" w:rsidRDefault="00B67E44" w:rsidP="00CD644C">
            <w:r w:rsidRPr="00AE4411">
              <w:t>Long Day Care</w:t>
            </w:r>
          </w:p>
        </w:tc>
        <w:tc>
          <w:tcPr>
            <w:tcW w:w="497" w:type="pct"/>
          </w:tcPr>
          <w:p w:rsidR="00B67E44" w:rsidRPr="00AE4411" w:rsidRDefault="00B67E44" w:rsidP="00CD644C">
            <w:pPr>
              <w:rPr>
                <w:rFonts w:cs="Calibri"/>
                <w:color w:val="000000"/>
              </w:rPr>
            </w:pPr>
            <w:r w:rsidRPr="00AE4411">
              <w:rPr>
                <w:rFonts w:cs="Calibri"/>
                <w:color w:val="000000"/>
              </w:rPr>
              <w:t>220,620</w:t>
            </w:r>
          </w:p>
        </w:tc>
        <w:tc>
          <w:tcPr>
            <w:tcW w:w="497" w:type="pct"/>
          </w:tcPr>
          <w:p w:rsidR="00B67E44" w:rsidRPr="00AE4411" w:rsidRDefault="00B67E44" w:rsidP="00CD644C">
            <w:pPr>
              <w:rPr>
                <w:rFonts w:cs="Calibri"/>
                <w:color w:val="000000"/>
              </w:rPr>
            </w:pPr>
            <w:r w:rsidRPr="00AE4411">
              <w:rPr>
                <w:rFonts w:cs="Calibri"/>
                <w:color w:val="000000"/>
              </w:rPr>
              <w:t>144,910</w:t>
            </w:r>
          </w:p>
        </w:tc>
        <w:tc>
          <w:tcPr>
            <w:tcW w:w="497" w:type="pct"/>
          </w:tcPr>
          <w:p w:rsidR="00B67E44" w:rsidRPr="00AE4411" w:rsidRDefault="00B67E44" w:rsidP="00CD644C">
            <w:pPr>
              <w:rPr>
                <w:rFonts w:cs="Calibri"/>
                <w:color w:val="000000"/>
              </w:rPr>
            </w:pPr>
            <w:r w:rsidRPr="00AE4411">
              <w:rPr>
                <w:rFonts w:cs="Calibri"/>
                <w:color w:val="000000"/>
              </w:rPr>
              <w:t>156,680</w:t>
            </w:r>
          </w:p>
        </w:tc>
        <w:tc>
          <w:tcPr>
            <w:tcW w:w="438" w:type="pct"/>
          </w:tcPr>
          <w:p w:rsidR="00B67E44" w:rsidRPr="00AE4411" w:rsidRDefault="00B67E44" w:rsidP="00CD644C">
            <w:pPr>
              <w:rPr>
                <w:rFonts w:cs="Calibri"/>
                <w:color w:val="000000"/>
              </w:rPr>
            </w:pPr>
            <w:r w:rsidRPr="00AE4411">
              <w:rPr>
                <w:rFonts w:cs="Calibri"/>
                <w:color w:val="000000"/>
              </w:rPr>
              <w:t>39,910</w:t>
            </w:r>
          </w:p>
        </w:tc>
        <w:tc>
          <w:tcPr>
            <w:tcW w:w="438" w:type="pct"/>
          </w:tcPr>
          <w:p w:rsidR="00B67E44" w:rsidRPr="00AE4411" w:rsidRDefault="00B67E44" w:rsidP="00CD644C">
            <w:pPr>
              <w:rPr>
                <w:rFonts w:cs="Calibri"/>
                <w:color w:val="000000"/>
              </w:rPr>
            </w:pPr>
            <w:r w:rsidRPr="00AE4411">
              <w:rPr>
                <w:rFonts w:cs="Calibri"/>
                <w:color w:val="000000"/>
              </w:rPr>
              <w:t>52,510</w:t>
            </w:r>
          </w:p>
        </w:tc>
        <w:tc>
          <w:tcPr>
            <w:tcW w:w="438" w:type="pct"/>
          </w:tcPr>
          <w:p w:rsidR="00B67E44" w:rsidRPr="00AE4411" w:rsidRDefault="00B67E44" w:rsidP="00CD644C">
            <w:pPr>
              <w:rPr>
                <w:rFonts w:cs="Calibri"/>
                <w:color w:val="000000"/>
              </w:rPr>
            </w:pPr>
            <w:r w:rsidRPr="00AE4411">
              <w:rPr>
                <w:rFonts w:cs="Calibri"/>
                <w:color w:val="000000"/>
              </w:rPr>
              <w:t>11,040</w:t>
            </w:r>
          </w:p>
        </w:tc>
        <w:tc>
          <w:tcPr>
            <w:tcW w:w="380" w:type="pct"/>
          </w:tcPr>
          <w:p w:rsidR="00B67E44" w:rsidRPr="00AE4411" w:rsidRDefault="00B67E44" w:rsidP="00CD644C">
            <w:pPr>
              <w:rPr>
                <w:rFonts w:cs="Calibri"/>
                <w:color w:val="000000"/>
              </w:rPr>
            </w:pPr>
            <w:r w:rsidRPr="00AE4411">
              <w:rPr>
                <w:rFonts w:cs="Calibri"/>
                <w:color w:val="000000"/>
              </w:rPr>
              <w:t>5,150</w:t>
            </w:r>
          </w:p>
        </w:tc>
        <w:tc>
          <w:tcPr>
            <w:tcW w:w="438" w:type="pct"/>
          </w:tcPr>
          <w:p w:rsidR="00B67E44" w:rsidRPr="00AE4411" w:rsidRDefault="00B67E44" w:rsidP="00CD644C">
            <w:pPr>
              <w:rPr>
                <w:rFonts w:cs="Calibri"/>
                <w:color w:val="000000"/>
              </w:rPr>
            </w:pPr>
            <w:r w:rsidRPr="00AE4411">
              <w:rPr>
                <w:rFonts w:cs="Calibri"/>
                <w:color w:val="000000"/>
              </w:rPr>
              <w:t>14,160</w:t>
            </w:r>
          </w:p>
        </w:tc>
        <w:tc>
          <w:tcPr>
            <w:tcW w:w="742" w:type="pct"/>
          </w:tcPr>
          <w:p w:rsidR="00B67E44" w:rsidRPr="00AE4411" w:rsidRDefault="00B67E44" w:rsidP="00CD644C">
            <w:pPr>
              <w:rPr>
                <w:rFonts w:cs="Calibri"/>
                <w:color w:val="000000"/>
              </w:rPr>
            </w:pPr>
            <w:r w:rsidRPr="00AE4411">
              <w:rPr>
                <w:rFonts w:cs="Calibri"/>
                <w:color w:val="000000"/>
              </w:rPr>
              <w:t>643,810</w:t>
            </w:r>
          </w:p>
        </w:tc>
      </w:tr>
      <w:tr w:rsidR="00B67E44" w:rsidRPr="00AE4411" w:rsidTr="00BC2ACE">
        <w:trPr>
          <w:cnfStyle w:val="000000010000" w:firstRow="0" w:lastRow="0" w:firstColumn="0" w:lastColumn="0" w:oddVBand="0" w:evenVBand="0" w:oddHBand="0" w:evenHBand="1" w:firstRowFirstColumn="0" w:firstRowLastColumn="0" w:lastRowFirstColumn="0" w:lastRowLastColumn="0"/>
          <w:trHeight w:hRule="exact" w:val="1839"/>
        </w:trPr>
        <w:tc>
          <w:tcPr>
            <w:tcW w:w="637" w:type="pct"/>
          </w:tcPr>
          <w:p w:rsidR="00B67E44" w:rsidRPr="00AE4411" w:rsidRDefault="00B67E44" w:rsidP="00CD644C">
            <w:r w:rsidRPr="00AE4411">
              <w:t>Family Day Care and</w:t>
            </w:r>
            <w:r w:rsidR="0084434F">
              <w:t xml:space="preserve"> </w:t>
            </w:r>
            <w:r w:rsidRPr="00AE4411">
              <w:t>In-Home Care</w:t>
            </w:r>
          </w:p>
        </w:tc>
        <w:tc>
          <w:tcPr>
            <w:tcW w:w="497" w:type="pct"/>
          </w:tcPr>
          <w:p w:rsidR="00B67E44" w:rsidRPr="00AE4411" w:rsidRDefault="00B67E44" w:rsidP="00CD644C">
            <w:pPr>
              <w:rPr>
                <w:rFonts w:cs="Calibri"/>
                <w:color w:val="000000"/>
              </w:rPr>
            </w:pPr>
            <w:r w:rsidRPr="00AE4411">
              <w:rPr>
                <w:rFonts w:cs="Calibri"/>
                <w:color w:val="000000"/>
              </w:rPr>
              <w:t>82,280</w:t>
            </w:r>
          </w:p>
        </w:tc>
        <w:tc>
          <w:tcPr>
            <w:tcW w:w="497" w:type="pct"/>
          </w:tcPr>
          <w:p w:rsidR="00B67E44" w:rsidRPr="00AE4411" w:rsidRDefault="00B67E44" w:rsidP="00CD644C">
            <w:pPr>
              <w:rPr>
                <w:rFonts w:cs="Calibri"/>
                <w:color w:val="000000"/>
              </w:rPr>
            </w:pPr>
            <w:r w:rsidRPr="00AE4411">
              <w:rPr>
                <w:rFonts w:cs="Calibri"/>
                <w:color w:val="000000"/>
              </w:rPr>
              <w:t>79,220</w:t>
            </w:r>
          </w:p>
        </w:tc>
        <w:tc>
          <w:tcPr>
            <w:tcW w:w="497" w:type="pct"/>
          </w:tcPr>
          <w:p w:rsidR="00B67E44" w:rsidRPr="00AE4411" w:rsidRDefault="00B67E44" w:rsidP="00CD644C">
            <w:pPr>
              <w:rPr>
                <w:rFonts w:cs="Calibri"/>
                <w:color w:val="000000"/>
              </w:rPr>
            </w:pPr>
            <w:r w:rsidRPr="00AE4411">
              <w:rPr>
                <w:rFonts w:cs="Calibri"/>
                <w:color w:val="000000"/>
              </w:rPr>
              <w:t>36,950</w:t>
            </w:r>
          </w:p>
        </w:tc>
        <w:tc>
          <w:tcPr>
            <w:tcW w:w="438" w:type="pct"/>
          </w:tcPr>
          <w:p w:rsidR="00B67E44" w:rsidRPr="00AE4411" w:rsidRDefault="00B67E44" w:rsidP="00CD644C">
            <w:pPr>
              <w:rPr>
                <w:rFonts w:cs="Calibri"/>
                <w:color w:val="000000"/>
              </w:rPr>
            </w:pPr>
            <w:r w:rsidRPr="00AE4411">
              <w:rPr>
                <w:rFonts w:cs="Calibri"/>
                <w:color w:val="000000"/>
              </w:rPr>
              <w:t>11,690</w:t>
            </w:r>
          </w:p>
        </w:tc>
        <w:tc>
          <w:tcPr>
            <w:tcW w:w="438" w:type="pct"/>
          </w:tcPr>
          <w:p w:rsidR="00B67E44" w:rsidRPr="00AE4411" w:rsidRDefault="00B67E44" w:rsidP="00CD644C">
            <w:pPr>
              <w:rPr>
                <w:rFonts w:cs="Calibri"/>
                <w:color w:val="000000"/>
              </w:rPr>
            </w:pPr>
            <w:r w:rsidRPr="00AE4411">
              <w:rPr>
                <w:rFonts w:cs="Calibri"/>
                <w:color w:val="000000"/>
              </w:rPr>
              <w:t>14,420</w:t>
            </w:r>
          </w:p>
        </w:tc>
        <w:tc>
          <w:tcPr>
            <w:tcW w:w="438" w:type="pct"/>
          </w:tcPr>
          <w:p w:rsidR="00B67E44" w:rsidRPr="00AE4411" w:rsidRDefault="00B67E44" w:rsidP="00CD644C">
            <w:pPr>
              <w:rPr>
                <w:rFonts w:cs="Calibri"/>
                <w:color w:val="000000"/>
              </w:rPr>
            </w:pPr>
            <w:r w:rsidRPr="00AE4411">
              <w:rPr>
                <w:rFonts w:cs="Calibri"/>
                <w:color w:val="000000"/>
              </w:rPr>
              <w:t>4,750</w:t>
            </w:r>
          </w:p>
        </w:tc>
        <w:tc>
          <w:tcPr>
            <w:tcW w:w="380" w:type="pct"/>
          </w:tcPr>
          <w:p w:rsidR="00B67E44" w:rsidRPr="00AE4411" w:rsidRDefault="00B67E44" w:rsidP="00CD644C">
            <w:pPr>
              <w:rPr>
                <w:rFonts w:cs="Calibri"/>
                <w:color w:val="000000"/>
              </w:rPr>
            </w:pPr>
            <w:r w:rsidRPr="00AE4411">
              <w:rPr>
                <w:rFonts w:cs="Calibri"/>
                <w:color w:val="000000"/>
              </w:rPr>
              <w:t>500</w:t>
            </w:r>
          </w:p>
        </w:tc>
        <w:tc>
          <w:tcPr>
            <w:tcW w:w="438" w:type="pct"/>
          </w:tcPr>
          <w:p w:rsidR="00B67E44" w:rsidRPr="00AE4411" w:rsidRDefault="00B67E44" w:rsidP="00CD644C">
            <w:pPr>
              <w:rPr>
                <w:rFonts w:cs="Calibri"/>
                <w:color w:val="000000"/>
              </w:rPr>
            </w:pPr>
            <w:r w:rsidRPr="00AE4411">
              <w:rPr>
                <w:rFonts w:cs="Calibri"/>
                <w:color w:val="000000"/>
              </w:rPr>
              <w:t>3,090</w:t>
            </w:r>
          </w:p>
        </w:tc>
        <w:tc>
          <w:tcPr>
            <w:tcW w:w="742" w:type="pct"/>
          </w:tcPr>
          <w:p w:rsidR="00B67E44" w:rsidRPr="00AE4411" w:rsidRDefault="00B67E44" w:rsidP="00CD644C">
            <w:pPr>
              <w:rPr>
                <w:rFonts w:cs="Calibri"/>
                <w:color w:val="000000"/>
              </w:rPr>
            </w:pPr>
            <w:r w:rsidRPr="00AE4411">
              <w:rPr>
                <w:rFonts w:cs="Calibri"/>
                <w:color w:val="000000"/>
              </w:rPr>
              <w:t>220,850</w:t>
            </w:r>
          </w:p>
        </w:tc>
      </w:tr>
      <w:tr w:rsidR="00BC2ACE" w:rsidRPr="00AE4411" w:rsidTr="00BC2ACE">
        <w:trPr>
          <w:cnfStyle w:val="000000100000" w:firstRow="0" w:lastRow="0" w:firstColumn="0" w:lastColumn="0" w:oddVBand="0" w:evenVBand="0" w:oddHBand="1" w:evenHBand="0" w:firstRowFirstColumn="0" w:firstRowLastColumn="0" w:lastRowFirstColumn="0" w:lastRowLastColumn="0"/>
          <w:trHeight w:hRule="exact" w:val="1000"/>
        </w:trPr>
        <w:tc>
          <w:tcPr>
            <w:tcW w:w="637" w:type="pct"/>
          </w:tcPr>
          <w:p w:rsidR="00B67E44" w:rsidRPr="00AE4411" w:rsidRDefault="00B67E44" w:rsidP="00CD644C">
            <w:r w:rsidRPr="00AE4411">
              <w:t>Occasional Care</w:t>
            </w:r>
          </w:p>
        </w:tc>
        <w:tc>
          <w:tcPr>
            <w:tcW w:w="497" w:type="pct"/>
          </w:tcPr>
          <w:p w:rsidR="00B67E44" w:rsidRPr="00AE4411" w:rsidRDefault="00B67E44" w:rsidP="00CD644C">
            <w:pPr>
              <w:rPr>
                <w:rFonts w:cs="Calibri"/>
                <w:color w:val="000000"/>
              </w:rPr>
            </w:pPr>
            <w:r w:rsidRPr="00AE4411">
              <w:rPr>
                <w:rFonts w:cs="Calibri"/>
                <w:color w:val="000000"/>
              </w:rPr>
              <w:t>2,390</w:t>
            </w:r>
          </w:p>
        </w:tc>
        <w:tc>
          <w:tcPr>
            <w:tcW w:w="497" w:type="pct"/>
          </w:tcPr>
          <w:p w:rsidR="00B67E44" w:rsidRPr="00AE4411" w:rsidRDefault="00B67E44" w:rsidP="00CD644C">
            <w:pPr>
              <w:rPr>
                <w:rFonts w:cs="Calibri"/>
                <w:color w:val="000000"/>
              </w:rPr>
            </w:pPr>
            <w:r w:rsidRPr="00AE4411">
              <w:rPr>
                <w:rFonts w:cs="Calibri"/>
                <w:color w:val="000000"/>
              </w:rPr>
              <w:t>2,620</w:t>
            </w:r>
          </w:p>
        </w:tc>
        <w:tc>
          <w:tcPr>
            <w:tcW w:w="497" w:type="pct"/>
          </w:tcPr>
          <w:p w:rsidR="00B67E44" w:rsidRPr="00AE4411" w:rsidRDefault="00B67E44" w:rsidP="00CD644C">
            <w:pPr>
              <w:rPr>
                <w:rFonts w:cs="Calibri"/>
                <w:color w:val="000000"/>
              </w:rPr>
            </w:pPr>
            <w:r w:rsidRPr="00AE4411">
              <w:rPr>
                <w:rFonts w:cs="Calibri"/>
                <w:color w:val="000000"/>
              </w:rPr>
              <w:t>640</w:t>
            </w:r>
          </w:p>
        </w:tc>
        <w:tc>
          <w:tcPr>
            <w:tcW w:w="438" w:type="pct"/>
          </w:tcPr>
          <w:p w:rsidR="00B67E44" w:rsidRPr="00AE4411" w:rsidRDefault="00B67E44" w:rsidP="00CD644C">
            <w:pPr>
              <w:rPr>
                <w:rFonts w:cs="Calibri"/>
                <w:color w:val="000000"/>
              </w:rPr>
            </w:pPr>
            <w:r w:rsidRPr="00AE4411">
              <w:rPr>
                <w:rFonts w:cs="Calibri"/>
                <w:color w:val="000000"/>
              </w:rPr>
              <w:t>120</w:t>
            </w:r>
          </w:p>
        </w:tc>
        <w:tc>
          <w:tcPr>
            <w:tcW w:w="438" w:type="pct"/>
          </w:tcPr>
          <w:p w:rsidR="00B67E44" w:rsidRPr="00AE4411" w:rsidRDefault="00B67E44" w:rsidP="00CD644C">
            <w:pPr>
              <w:rPr>
                <w:rFonts w:cs="Calibri"/>
                <w:color w:val="000000"/>
              </w:rPr>
            </w:pPr>
            <w:r w:rsidRPr="00AE4411">
              <w:rPr>
                <w:rFonts w:cs="Calibri"/>
                <w:color w:val="000000"/>
              </w:rPr>
              <w:t>970</w:t>
            </w:r>
          </w:p>
        </w:tc>
        <w:tc>
          <w:tcPr>
            <w:tcW w:w="438" w:type="pct"/>
          </w:tcPr>
          <w:p w:rsidR="00B67E44" w:rsidRPr="00AE4411" w:rsidRDefault="00B67E44" w:rsidP="00CD644C">
            <w:pPr>
              <w:rPr>
                <w:rFonts w:cs="Calibri"/>
                <w:color w:val="000000"/>
              </w:rPr>
            </w:pPr>
            <w:r w:rsidRPr="00AE4411">
              <w:rPr>
                <w:rFonts w:cs="Calibri"/>
                <w:color w:val="000000"/>
              </w:rPr>
              <w:t>130</w:t>
            </w:r>
          </w:p>
        </w:tc>
        <w:tc>
          <w:tcPr>
            <w:tcW w:w="380" w:type="pct"/>
          </w:tcPr>
          <w:p w:rsidR="00B67E44" w:rsidRPr="00AE4411" w:rsidRDefault="00B67E44" w:rsidP="00CD644C">
            <w:pPr>
              <w:rPr>
                <w:rFonts w:cs="Calibri"/>
                <w:color w:val="000000"/>
              </w:rPr>
            </w:pPr>
            <w:r w:rsidRPr="00AE4411">
              <w:rPr>
                <w:rFonts w:cs="Calibri"/>
                <w:color w:val="000000"/>
              </w:rPr>
              <w:t>0</w:t>
            </w:r>
          </w:p>
        </w:tc>
        <w:tc>
          <w:tcPr>
            <w:tcW w:w="438" w:type="pct"/>
          </w:tcPr>
          <w:p w:rsidR="00B67E44" w:rsidRPr="00AE4411" w:rsidRDefault="00B67E44" w:rsidP="00CD644C">
            <w:pPr>
              <w:rPr>
                <w:rFonts w:cs="Calibri"/>
                <w:color w:val="000000"/>
              </w:rPr>
            </w:pPr>
            <w:r w:rsidRPr="00AE4411">
              <w:rPr>
                <w:rFonts w:cs="Calibri"/>
                <w:color w:val="000000"/>
              </w:rPr>
              <w:t>150</w:t>
            </w:r>
          </w:p>
        </w:tc>
        <w:tc>
          <w:tcPr>
            <w:tcW w:w="742" w:type="pct"/>
          </w:tcPr>
          <w:p w:rsidR="00B67E44" w:rsidRPr="00AE4411" w:rsidRDefault="00B67E44" w:rsidP="00CD644C">
            <w:pPr>
              <w:rPr>
                <w:rFonts w:cs="Calibri"/>
                <w:color w:val="000000"/>
              </w:rPr>
            </w:pPr>
            <w:r w:rsidRPr="00AE4411">
              <w:rPr>
                <w:rFonts w:cs="Calibri"/>
                <w:color w:val="000000"/>
              </w:rPr>
              <w:t>7,010</w:t>
            </w:r>
          </w:p>
        </w:tc>
      </w:tr>
      <w:tr w:rsidR="00B67E44" w:rsidRPr="00AE4411" w:rsidTr="00BC2ACE">
        <w:trPr>
          <w:cnfStyle w:val="000000010000" w:firstRow="0" w:lastRow="0" w:firstColumn="0" w:lastColumn="0" w:oddVBand="0" w:evenVBand="0" w:oddHBand="0" w:evenHBand="1" w:firstRowFirstColumn="0" w:firstRowLastColumn="0" w:lastRowFirstColumn="0" w:lastRowLastColumn="0"/>
          <w:trHeight w:hRule="exact" w:val="1412"/>
        </w:trPr>
        <w:tc>
          <w:tcPr>
            <w:tcW w:w="637" w:type="pct"/>
          </w:tcPr>
          <w:p w:rsidR="00B67E44" w:rsidRPr="00AE4411" w:rsidRDefault="00B67E44" w:rsidP="00CD644C">
            <w:r w:rsidRPr="00AE4411">
              <w:t>Outside School Hours Care</w:t>
            </w:r>
          </w:p>
        </w:tc>
        <w:tc>
          <w:tcPr>
            <w:tcW w:w="497" w:type="pct"/>
          </w:tcPr>
          <w:p w:rsidR="00B67E44" w:rsidRPr="00AE4411" w:rsidRDefault="00B67E44" w:rsidP="00CD644C">
            <w:pPr>
              <w:rPr>
                <w:rFonts w:cs="Calibri"/>
                <w:color w:val="000000"/>
              </w:rPr>
            </w:pPr>
            <w:r w:rsidRPr="00AE4411">
              <w:rPr>
                <w:rFonts w:cs="Calibri"/>
                <w:color w:val="000000"/>
              </w:rPr>
              <w:t>120,230</w:t>
            </w:r>
          </w:p>
        </w:tc>
        <w:tc>
          <w:tcPr>
            <w:tcW w:w="497" w:type="pct"/>
          </w:tcPr>
          <w:p w:rsidR="00B67E44" w:rsidRPr="00AE4411" w:rsidRDefault="00B67E44" w:rsidP="00CD644C">
            <w:pPr>
              <w:rPr>
                <w:rFonts w:cs="Calibri"/>
                <w:color w:val="000000"/>
              </w:rPr>
            </w:pPr>
            <w:r w:rsidRPr="00AE4411">
              <w:rPr>
                <w:rFonts w:cs="Calibri"/>
                <w:color w:val="000000"/>
              </w:rPr>
              <w:t>90,490</w:t>
            </w:r>
          </w:p>
        </w:tc>
        <w:tc>
          <w:tcPr>
            <w:tcW w:w="497" w:type="pct"/>
          </w:tcPr>
          <w:p w:rsidR="00B67E44" w:rsidRPr="00AE4411" w:rsidRDefault="00B67E44" w:rsidP="00CD644C">
            <w:pPr>
              <w:rPr>
                <w:rFonts w:cs="Calibri"/>
                <w:color w:val="000000"/>
              </w:rPr>
            </w:pPr>
            <w:r w:rsidRPr="00AE4411">
              <w:rPr>
                <w:rFonts w:cs="Calibri"/>
                <w:color w:val="000000"/>
              </w:rPr>
              <w:t>92,370</w:t>
            </w:r>
          </w:p>
        </w:tc>
        <w:tc>
          <w:tcPr>
            <w:tcW w:w="438" w:type="pct"/>
          </w:tcPr>
          <w:p w:rsidR="00B67E44" w:rsidRPr="00AE4411" w:rsidRDefault="00B67E44" w:rsidP="00CD644C">
            <w:pPr>
              <w:rPr>
                <w:rFonts w:cs="Calibri"/>
                <w:color w:val="000000"/>
              </w:rPr>
            </w:pPr>
            <w:r w:rsidRPr="00AE4411">
              <w:rPr>
                <w:rFonts w:cs="Calibri"/>
                <w:color w:val="000000"/>
              </w:rPr>
              <w:t>36,570</w:t>
            </w:r>
          </w:p>
        </w:tc>
        <w:tc>
          <w:tcPr>
            <w:tcW w:w="438" w:type="pct"/>
          </w:tcPr>
          <w:p w:rsidR="00B67E44" w:rsidRPr="00AE4411" w:rsidRDefault="00B67E44" w:rsidP="00CD644C">
            <w:pPr>
              <w:rPr>
                <w:rFonts w:cs="Calibri"/>
                <w:color w:val="000000"/>
              </w:rPr>
            </w:pPr>
            <w:r w:rsidRPr="00AE4411">
              <w:rPr>
                <w:rFonts w:cs="Calibri"/>
                <w:color w:val="000000"/>
              </w:rPr>
              <w:t>29,750</w:t>
            </w:r>
          </w:p>
        </w:tc>
        <w:tc>
          <w:tcPr>
            <w:tcW w:w="438" w:type="pct"/>
          </w:tcPr>
          <w:p w:rsidR="00B67E44" w:rsidRPr="00AE4411" w:rsidRDefault="00B67E44" w:rsidP="00CD644C">
            <w:pPr>
              <w:rPr>
                <w:rFonts w:cs="Calibri"/>
                <w:color w:val="000000"/>
              </w:rPr>
            </w:pPr>
            <w:r w:rsidRPr="00AE4411">
              <w:rPr>
                <w:rFonts w:cs="Calibri"/>
                <w:color w:val="000000"/>
              </w:rPr>
              <w:t>7,640</w:t>
            </w:r>
          </w:p>
        </w:tc>
        <w:tc>
          <w:tcPr>
            <w:tcW w:w="380" w:type="pct"/>
          </w:tcPr>
          <w:p w:rsidR="00B67E44" w:rsidRPr="00AE4411" w:rsidRDefault="00B67E44" w:rsidP="00CD644C">
            <w:pPr>
              <w:rPr>
                <w:rFonts w:cs="Calibri"/>
                <w:color w:val="000000"/>
              </w:rPr>
            </w:pPr>
            <w:r w:rsidRPr="00AE4411">
              <w:rPr>
                <w:rFonts w:cs="Calibri"/>
                <w:color w:val="000000"/>
              </w:rPr>
              <w:t>3,840</w:t>
            </w:r>
          </w:p>
        </w:tc>
        <w:tc>
          <w:tcPr>
            <w:tcW w:w="438" w:type="pct"/>
          </w:tcPr>
          <w:p w:rsidR="00B67E44" w:rsidRPr="00AE4411" w:rsidRDefault="00B67E44" w:rsidP="00CD644C">
            <w:pPr>
              <w:rPr>
                <w:rFonts w:cs="Calibri"/>
                <w:color w:val="000000"/>
              </w:rPr>
            </w:pPr>
            <w:r w:rsidRPr="00AE4411">
              <w:rPr>
                <w:rFonts w:cs="Calibri"/>
                <w:color w:val="000000"/>
              </w:rPr>
              <w:t>10,570</w:t>
            </w:r>
          </w:p>
        </w:tc>
        <w:tc>
          <w:tcPr>
            <w:tcW w:w="742" w:type="pct"/>
          </w:tcPr>
          <w:p w:rsidR="00B67E44" w:rsidRPr="00AE4411" w:rsidRDefault="00B67E44" w:rsidP="00CD644C">
            <w:pPr>
              <w:rPr>
                <w:rFonts w:cs="Calibri"/>
                <w:color w:val="000000"/>
              </w:rPr>
            </w:pPr>
            <w:r w:rsidRPr="00AE4411">
              <w:rPr>
                <w:rFonts w:cs="Calibri"/>
                <w:color w:val="000000"/>
              </w:rPr>
              <w:t>391,150</w:t>
            </w:r>
          </w:p>
        </w:tc>
      </w:tr>
      <w:tr w:rsidR="00BC2ACE" w:rsidRPr="00AE4411" w:rsidTr="00BC2ACE">
        <w:trPr>
          <w:cnfStyle w:val="000000100000" w:firstRow="0" w:lastRow="0" w:firstColumn="0" w:lastColumn="0" w:oddVBand="0" w:evenVBand="0" w:oddHBand="1" w:evenHBand="0" w:firstRowFirstColumn="0" w:firstRowLastColumn="0" w:lastRowFirstColumn="0" w:lastRowLastColumn="0"/>
          <w:trHeight w:hRule="exact" w:val="1121"/>
        </w:trPr>
        <w:tc>
          <w:tcPr>
            <w:tcW w:w="637" w:type="pct"/>
          </w:tcPr>
          <w:p w:rsidR="00B67E44" w:rsidRPr="00AE4411" w:rsidRDefault="00B67E44" w:rsidP="00CD644C">
            <w:r w:rsidRPr="00AE4411">
              <w:t>Total</w:t>
            </w:r>
            <w:r w:rsidRPr="00AE4411">
              <w:rPr>
                <w:vertAlign w:val="superscript"/>
              </w:rPr>
              <w:t>1</w:t>
            </w:r>
          </w:p>
        </w:tc>
        <w:tc>
          <w:tcPr>
            <w:tcW w:w="497" w:type="pct"/>
          </w:tcPr>
          <w:p w:rsidR="00B67E44" w:rsidRPr="00AE4411" w:rsidRDefault="00B67E44" w:rsidP="00CD644C">
            <w:pPr>
              <w:rPr>
                <w:rFonts w:cs="Calibri"/>
                <w:color w:val="000000"/>
              </w:rPr>
            </w:pPr>
            <w:r w:rsidRPr="00AE4411">
              <w:rPr>
                <w:rFonts w:cs="Calibri"/>
                <w:color w:val="000000"/>
              </w:rPr>
              <w:t>413,410</w:t>
            </w:r>
          </w:p>
        </w:tc>
        <w:tc>
          <w:tcPr>
            <w:tcW w:w="497" w:type="pct"/>
          </w:tcPr>
          <w:p w:rsidR="00B67E44" w:rsidRPr="00AE4411" w:rsidRDefault="00B67E44" w:rsidP="00CD644C">
            <w:pPr>
              <w:rPr>
                <w:rFonts w:cs="Calibri"/>
                <w:color w:val="000000"/>
              </w:rPr>
            </w:pPr>
            <w:r w:rsidRPr="00AE4411">
              <w:rPr>
                <w:rFonts w:cs="Calibri"/>
                <w:color w:val="000000"/>
              </w:rPr>
              <w:t>309,050</w:t>
            </w:r>
          </w:p>
        </w:tc>
        <w:tc>
          <w:tcPr>
            <w:tcW w:w="497" w:type="pct"/>
          </w:tcPr>
          <w:p w:rsidR="00B67E44" w:rsidRPr="00AE4411" w:rsidRDefault="00B67E44" w:rsidP="00CD644C">
            <w:pPr>
              <w:rPr>
                <w:rFonts w:cs="Calibri"/>
                <w:color w:val="000000"/>
              </w:rPr>
            </w:pPr>
            <w:r w:rsidRPr="00AE4411">
              <w:rPr>
                <w:rFonts w:cs="Calibri"/>
                <w:color w:val="000000"/>
              </w:rPr>
              <w:t>278,560</w:t>
            </w:r>
          </w:p>
        </w:tc>
        <w:tc>
          <w:tcPr>
            <w:tcW w:w="438" w:type="pct"/>
          </w:tcPr>
          <w:p w:rsidR="00B67E44" w:rsidRPr="00AE4411" w:rsidRDefault="00B67E44" w:rsidP="00CD644C">
            <w:pPr>
              <w:rPr>
                <w:rFonts w:cs="Calibri"/>
                <w:color w:val="000000"/>
              </w:rPr>
            </w:pPr>
            <w:r w:rsidRPr="00AE4411">
              <w:rPr>
                <w:rFonts w:cs="Calibri"/>
                <w:color w:val="000000"/>
              </w:rPr>
              <w:t>85,810</w:t>
            </w:r>
          </w:p>
        </w:tc>
        <w:tc>
          <w:tcPr>
            <w:tcW w:w="438" w:type="pct"/>
          </w:tcPr>
          <w:p w:rsidR="00B67E44" w:rsidRPr="00AE4411" w:rsidRDefault="00B67E44" w:rsidP="00CD644C">
            <w:pPr>
              <w:rPr>
                <w:rFonts w:cs="Calibri"/>
                <w:color w:val="000000"/>
              </w:rPr>
            </w:pPr>
            <w:r w:rsidRPr="00AE4411">
              <w:rPr>
                <w:rFonts w:cs="Calibri"/>
                <w:color w:val="000000"/>
              </w:rPr>
              <w:t>92,980</w:t>
            </w:r>
          </w:p>
        </w:tc>
        <w:tc>
          <w:tcPr>
            <w:tcW w:w="438" w:type="pct"/>
          </w:tcPr>
          <w:p w:rsidR="00B67E44" w:rsidRPr="00AE4411" w:rsidRDefault="00B67E44" w:rsidP="00CD644C">
            <w:pPr>
              <w:rPr>
                <w:rFonts w:cs="Calibri"/>
                <w:color w:val="000000"/>
              </w:rPr>
            </w:pPr>
            <w:r w:rsidRPr="00AE4411">
              <w:rPr>
                <w:rFonts w:cs="Calibri"/>
                <w:color w:val="000000"/>
              </w:rPr>
              <w:t>22,110</w:t>
            </w:r>
          </w:p>
        </w:tc>
        <w:tc>
          <w:tcPr>
            <w:tcW w:w="380" w:type="pct"/>
          </w:tcPr>
          <w:p w:rsidR="00B67E44" w:rsidRPr="00AE4411" w:rsidRDefault="00B67E44" w:rsidP="00CD644C">
            <w:pPr>
              <w:rPr>
                <w:rFonts w:cs="Calibri"/>
                <w:color w:val="000000"/>
              </w:rPr>
            </w:pPr>
            <w:r w:rsidRPr="00AE4411">
              <w:rPr>
                <w:rFonts w:cs="Calibri"/>
                <w:color w:val="000000"/>
              </w:rPr>
              <w:t>9,380</w:t>
            </w:r>
          </w:p>
        </w:tc>
        <w:tc>
          <w:tcPr>
            <w:tcW w:w="438" w:type="pct"/>
          </w:tcPr>
          <w:p w:rsidR="00B67E44" w:rsidRPr="00AE4411" w:rsidRDefault="00B67E44" w:rsidP="00CD644C">
            <w:pPr>
              <w:rPr>
                <w:rFonts w:cs="Calibri"/>
                <w:color w:val="000000"/>
              </w:rPr>
            </w:pPr>
            <w:r w:rsidRPr="00AE4411">
              <w:rPr>
                <w:rFonts w:cs="Calibri"/>
                <w:color w:val="000000"/>
              </w:rPr>
              <w:t>27,250</w:t>
            </w:r>
          </w:p>
        </w:tc>
        <w:tc>
          <w:tcPr>
            <w:tcW w:w="742" w:type="pct"/>
          </w:tcPr>
          <w:p w:rsidR="00B67E44" w:rsidRPr="00AE4411" w:rsidRDefault="00B67E44" w:rsidP="00CD644C">
            <w:pPr>
              <w:rPr>
                <w:rFonts w:cs="Calibri"/>
                <w:color w:val="000000"/>
              </w:rPr>
            </w:pPr>
            <w:r w:rsidRPr="00AE4411">
              <w:rPr>
                <w:rFonts w:cs="Calibri"/>
                <w:color w:val="000000"/>
              </w:rPr>
              <w:t>1,224,170</w:t>
            </w:r>
          </w:p>
        </w:tc>
      </w:tr>
    </w:tbl>
    <w:p w:rsidR="00B67E44" w:rsidRPr="00AE4411" w:rsidRDefault="00EA7A64" w:rsidP="00B67E44">
      <w:pPr>
        <w:spacing w:after="0"/>
        <w:rPr>
          <w:sz w:val="16"/>
          <w:szCs w:val="16"/>
        </w:rPr>
      </w:pPr>
      <w:r w:rsidRPr="00AE4411">
        <w:rPr>
          <w:sz w:val="18"/>
          <w:szCs w:val="18"/>
        </w:rPr>
        <w:t>Fig</w:t>
      </w:r>
      <w:r w:rsidR="00D459F6" w:rsidRPr="00AE4411">
        <w:rPr>
          <w:sz w:val="18"/>
          <w:szCs w:val="18"/>
        </w:rPr>
        <w:t xml:space="preserve"> 22</w:t>
      </w:r>
      <w:r w:rsidRPr="00AE4411">
        <w:rPr>
          <w:sz w:val="18"/>
          <w:szCs w:val="18"/>
        </w:rPr>
        <w:t xml:space="preserve"> – National distribution of care by type</w:t>
      </w:r>
      <w:r w:rsidRPr="00AE4411">
        <w:rPr>
          <w:rStyle w:val="FootnoteReference"/>
          <w:sz w:val="16"/>
          <w:szCs w:val="16"/>
        </w:rPr>
        <w:footnoteReference w:id="25"/>
      </w:r>
      <w:r w:rsidR="00B67E44" w:rsidRPr="00AE4411">
        <w:rPr>
          <w:sz w:val="16"/>
          <w:szCs w:val="16"/>
        </w:rPr>
        <w:t xml:space="preserve">. </w:t>
      </w:r>
    </w:p>
    <w:p w:rsidR="00C42249" w:rsidRPr="00AE4411" w:rsidRDefault="00C42249" w:rsidP="00EA7A64">
      <w:pPr>
        <w:pStyle w:val="AccessibleBody"/>
        <w:spacing w:before="240"/>
      </w:pPr>
      <w:r w:rsidRPr="00AE4411">
        <w:t xml:space="preserve">Of the 14,160 </w:t>
      </w:r>
      <w:r w:rsidR="00EA7A64" w:rsidRPr="00AE4411">
        <w:t xml:space="preserve">children </w:t>
      </w:r>
      <w:r w:rsidRPr="00AE4411">
        <w:t>accessing L</w:t>
      </w:r>
      <w:r w:rsidR="00900413">
        <w:t xml:space="preserve">DC </w:t>
      </w:r>
      <w:r w:rsidRPr="00AE4411">
        <w:t>in the ACT, a little over 40% access the services for 30, or more, hours per week</w:t>
      </w:r>
      <w:r w:rsidR="00D459F6" w:rsidRPr="00AE4411">
        <w:t xml:space="preserve">, as shown in </w:t>
      </w:r>
      <w:r w:rsidR="008A5FE5" w:rsidRPr="00AE4411">
        <w:rPr>
          <w:b/>
        </w:rPr>
        <w:t xml:space="preserve">Figure </w:t>
      </w:r>
      <w:r w:rsidR="00D459F6" w:rsidRPr="00AE4411">
        <w:rPr>
          <w:b/>
        </w:rPr>
        <w:t>23</w:t>
      </w:r>
      <w:r w:rsidR="00D459F6" w:rsidRPr="00AE4411">
        <w:rPr>
          <w:rStyle w:val="FootnoteReference"/>
          <w:b/>
        </w:rPr>
        <w:footnoteReference w:id="26"/>
      </w:r>
      <w:r w:rsidR="00900413">
        <w:t>.</w:t>
      </w:r>
    </w:p>
    <w:p w:rsidR="00C42249" w:rsidRPr="00AE4411" w:rsidRDefault="00C42249" w:rsidP="00C42249">
      <w:pPr>
        <w:pStyle w:val="AccessibleBody"/>
      </w:pPr>
      <w:r w:rsidRPr="00AE4411">
        <w:rPr>
          <w:noProof/>
          <w:lang w:eastAsia="en-AU"/>
        </w:rPr>
        <w:lastRenderedPageBreak/>
        <w:drawing>
          <wp:inline distT="0" distB="0" distL="0" distR="0">
            <wp:extent cx="4618806" cy="3230088"/>
            <wp:effectExtent l="19050" t="0" r="0" b="0"/>
            <wp:docPr id="34" name="Picture 14" descr="This pie chart shows the proportion of average hours per week of children using Long Day Care by state and territory for the June quarter 2015.&#10;&#10;See table below for long description of data shown in pie 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l="11139" t="4000" r="12835" b="2632"/>
                    <a:stretch>
                      <a:fillRect/>
                    </a:stretch>
                  </pic:blipFill>
                  <pic:spPr bwMode="auto">
                    <a:xfrm>
                      <a:off x="0" y="0"/>
                      <a:ext cx="4623544" cy="3233401"/>
                    </a:xfrm>
                    <a:prstGeom prst="rect">
                      <a:avLst/>
                    </a:prstGeom>
                    <a:noFill/>
                  </pic:spPr>
                </pic:pic>
              </a:graphicData>
            </a:graphic>
          </wp:inline>
        </w:drawing>
      </w:r>
    </w:p>
    <w:p w:rsidR="00C42249" w:rsidRPr="00AE4411" w:rsidRDefault="00D459F6" w:rsidP="00C42249">
      <w:pPr>
        <w:pStyle w:val="AccessibleBody"/>
        <w:rPr>
          <w:sz w:val="18"/>
          <w:szCs w:val="18"/>
        </w:rPr>
      </w:pPr>
      <w:r w:rsidRPr="00AE4411">
        <w:rPr>
          <w:sz w:val="18"/>
          <w:szCs w:val="18"/>
        </w:rPr>
        <w:t>Fig 23 – National distribution of ECEC service use by hours used</w:t>
      </w:r>
    </w:p>
    <w:p w:rsidR="009A1D06" w:rsidRDefault="00D704E2" w:rsidP="00866657">
      <w:pPr>
        <w:pStyle w:val="AccessibleBody"/>
        <w:spacing w:after="120"/>
      </w:pPr>
      <w:r w:rsidRPr="00AE4411">
        <w:t xml:space="preserve">The table at </w:t>
      </w:r>
      <w:r w:rsidRPr="00AE4411">
        <w:rPr>
          <w:b/>
        </w:rPr>
        <w:t xml:space="preserve">Figure </w:t>
      </w:r>
      <w:r w:rsidR="00D459F6" w:rsidRPr="00AE4411">
        <w:rPr>
          <w:b/>
        </w:rPr>
        <w:t>24</w:t>
      </w:r>
      <w:r w:rsidRPr="00AE4411">
        <w:t xml:space="preserve"> below shows the cohort of children resident in the ACT that are eligible for ECEC services. Determining the total potential market for ECEC services is difficult </w:t>
      </w:r>
      <w:r w:rsidR="00EC0C6B" w:rsidRPr="00AE4411">
        <w:t>and</w:t>
      </w:r>
      <w:r w:rsidRPr="00AE4411">
        <w:t xml:space="preserve"> requires judgements to be made about families intended behaviour</w:t>
      </w:r>
      <w:r w:rsidR="00866657" w:rsidRPr="00AE4411">
        <w:t xml:space="preserve">, choices to suit family </w:t>
      </w:r>
      <w:r w:rsidR="00EC0C6B" w:rsidRPr="00AE4411">
        <w:t>circumstances</w:t>
      </w:r>
      <w:r w:rsidR="00EA7A64" w:rsidRPr="00AE4411">
        <w:t xml:space="preserve"> and about the responsiveness of demand </w:t>
      </w:r>
      <w:r w:rsidR="00EC0C6B" w:rsidRPr="00AE4411">
        <w:t>from</w:t>
      </w:r>
      <w:r w:rsidR="00EA7A64" w:rsidRPr="00AE4411">
        <w:t xml:space="preserve"> changes in price</w:t>
      </w:r>
      <w:r w:rsidRPr="00AE4411">
        <w:t xml:space="preserve">. </w:t>
      </w:r>
      <w:r w:rsidR="00866657" w:rsidRPr="00AE4411">
        <w:t>On that basis, it is not reasonable to suggest that the market for ECEC places is 27,264</w:t>
      </w:r>
      <w:r w:rsidR="00D459F6" w:rsidRPr="00AE4411">
        <w:rPr>
          <w:rStyle w:val="FootnoteReference"/>
        </w:rPr>
        <w:footnoteReference w:id="27"/>
      </w:r>
      <w:r w:rsidR="00866657" w:rsidRPr="00AE4411">
        <w:t>.</w:t>
      </w:r>
    </w:p>
    <w:p w:rsidR="00900413" w:rsidRPr="00AE4411" w:rsidRDefault="00900413" w:rsidP="00866657">
      <w:pPr>
        <w:pStyle w:val="AccessibleBody"/>
        <w:spacing w:after="120"/>
      </w:pPr>
    </w:p>
    <w:tbl>
      <w:tblPr>
        <w:tblStyle w:val="MediumShading1-Accent4"/>
        <w:tblW w:w="5000" w:type="pct"/>
        <w:tblLook w:val="04A0" w:firstRow="1" w:lastRow="0" w:firstColumn="1" w:lastColumn="0" w:noHBand="0" w:noVBand="1"/>
      </w:tblPr>
      <w:tblGrid>
        <w:gridCol w:w="1227"/>
        <w:gridCol w:w="1439"/>
        <w:gridCol w:w="1437"/>
        <w:gridCol w:w="1645"/>
        <w:gridCol w:w="1641"/>
        <w:gridCol w:w="1637"/>
      </w:tblGrid>
      <w:tr w:rsidR="00D704E2" w:rsidRPr="00AE4411" w:rsidTr="00CD644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80" w:type="pct"/>
            <w:hideMark/>
          </w:tcPr>
          <w:p w:rsidR="00D704E2" w:rsidRPr="00AE4411" w:rsidRDefault="00D704E2" w:rsidP="00CD644C">
            <w:pPr>
              <w:rPr>
                <w:lang w:eastAsia="en-AU"/>
              </w:rPr>
            </w:pPr>
            <w:r w:rsidRPr="00AE4411">
              <w:rPr>
                <w:lang w:eastAsia="en-AU"/>
              </w:rPr>
              <w:t> </w:t>
            </w:r>
            <w:r w:rsidR="00FE5454" w:rsidRPr="00AE4411">
              <w:rPr>
                <w:lang w:eastAsia="en-AU"/>
              </w:rPr>
              <w:t>Age in Years</w:t>
            </w:r>
          </w:p>
        </w:tc>
        <w:tc>
          <w:tcPr>
            <w:tcW w:w="797" w:type="pct"/>
            <w:noWrap/>
            <w:hideMark/>
          </w:tcPr>
          <w:p w:rsidR="00D704E2" w:rsidRPr="00AE4411" w:rsidRDefault="00D704E2"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Jun-2011</w:t>
            </w:r>
          </w:p>
        </w:tc>
        <w:tc>
          <w:tcPr>
            <w:tcW w:w="796" w:type="pct"/>
            <w:noWrap/>
            <w:hideMark/>
          </w:tcPr>
          <w:p w:rsidR="00D704E2" w:rsidRPr="00AE4411" w:rsidRDefault="00D704E2"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Jun-2012</w:t>
            </w:r>
          </w:p>
        </w:tc>
        <w:tc>
          <w:tcPr>
            <w:tcW w:w="911" w:type="pct"/>
            <w:noWrap/>
            <w:hideMark/>
          </w:tcPr>
          <w:p w:rsidR="00D704E2" w:rsidRPr="00AE4411" w:rsidRDefault="00D704E2"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Jun-2013</w:t>
            </w:r>
          </w:p>
        </w:tc>
        <w:tc>
          <w:tcPr>
            <w:tcW w:w="909" w:type="pct"/>
            <w:noWrap/>
            <w:hideMark/>
          </w:tcPr>
          <w:p w:rsidR="00D704E2" w:rsidRPr="00AE4411" w:rsidRDefault="00D704E2"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Jun-2014</w:t>
            </w:r>
          </w:p>
        </w:tc>
        <w:tc>
          <w:tcPr>
            <w:tcW w:w="907" w:type="pct"/>
            <w:noWrap/>
            <w:hideMark/>
          </w:tcPr>
          <w:p w:rsidR="00D704E2" w:rsidRPr="00AE4411" w:rsidRDefault="00D704E2" w:rsidP="00CD644C">
            <w:pPr>
              <w:cnfStyle w:val="100000000000" w:firstRow="1" w:lastRow="0" w:firstColumn="0" w:lastColumn="0" w:oddVBand="0" w:evenVBand="0" w:oddHBand="0" w:evenHBand="0" w:firstRowFirstColumn="0" w:firstRowLastColumn="0" w:lastRowFirstColumn="0" w:lastRowLastColumn="0"/>
              <w:rPr>
                <w:lang w:eastAsia="en-AU"/>
              </w:rPr>
            </w:pPr>
            <w:r w:rsidRPr="00AE4411">
              <w:rPr>
                <w:lang w:eastAsia="en-AU"/>
              </w:rPr>
              <w:t>Jun-2015</w:t>
            </w:r>
          </w:p>
        </w:tc>
      </w:tr>
      <w:tr w:rsidR="00D704E2" w:rsidRPr="00AE4411" w:rsidTr="00CD644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80" w:type="pct"/>
            <w:hideMark/>
          </w:tcPr>
          <w:p w:rsidR="00D704E2" w:rsidRPr="00AE4411" w:rsidRDefault="00D704E2" w:rsidP="00CD644C">
            <w:pPr>
              <w:rPr>
                <w:lang w:eastAsia="en-AU"/>
              </w:rPr>
            </w:pPr>
            <w:r w:rsidRPr="00AE4411">
              <w:rPr>
                <w:lang w:eastAsia="en-AU"/>
              </w:rPr>
              <w:t>0</w:t>
            </w:r>
          </w:p>
        </w:tc>
        <w:tc>
          <w:tcPr>
            <w:tcW w:w="797"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4946</w:t>
            </w:r>
          </w:p>
        </w:tc>
        <w:tc>
          <w:tcPr>
            <w:tcW w:w="796"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5278</w:t>
            </w:r>
          </w:p>
        </w:tc>
        <w:tc>
          <w:tcPr>
            <w:tcW w:w="911"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5508</w:t>
            </w:r>
          </w:p>
        </w:tc>
        <w:tc>
          <w:tcPr>
            <w:tcW w:w="909"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5575</w:t>
            </w:r>
          </w:p>
        </w:tc>
        <w:tc>
          <w:tcPr>
            <w:tcW w:w="907"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5598</w:t>
            </w:r>
          </w:p>
        </w:tc>
      </w:tr>
      <w:tr w:rsidR="00D704E2" w:rsidRPr="00AE4411" w:rsidTr="00CD644C">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80" w:type="pct"/>
            <w:hideMark/>
          </w:tcPr>
          <w:p w:rsidR="00D704E2" w:rsidRPr="00AE4411" w:rsidRDefault="00D704E2" w:rsidP="00CD644C">
            <w:pPr>
              <w:rPr>
                <w:lang w:eastAsia="en-AU"/>
              </w:rPr>
            </w:pPr>
            <w:r w:rsidRPr="00AE4411">
              <w:rPr>
                <w:lang w:eastAsia="en-AU"/>
              </w:rPr>
              <w:t>1</w:t>
            </w:r>
          </w:p>
        </w:tc>
        <w:tc>
          <w:tcPr>
            <w:tcW w:w="797"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5085</w:t>
            </w:r>
          </w:p>
        </w:tc>
        <w:tc>
          <w:tcPr>
            <w:tcW w:w="796"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5055</w:t>
            </w:r>
          </w:p>
        </w:tc>
        <w:tc>
          <w:tcPr>
            <w:tcW w:w="911"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5319</w:t>
            </w:r>
          </w:p>
        </w:tc>
        <w:tc>
          <w:tcPr>
            <w:tcW w:w="909"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5494</w:t>
            </w:r>
          </w:p>
        </w:tc>
        <w:tc>
          <w:tcPr>
            <w:tcW w:w="907"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5598</w:t>
            </w:r>
          </w:p>
        </w:tc>
      </w:tr>
      <w:tr w:rsidR="00D704E2" w:rsidRPr="00AE4411" w:rsidTr="00CD64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 w:type="pct"/>
            <w:hideMark/>
          </w:tcPr>
          <w:p w:rsidR="00D704E2" w:rsidRPr="00AE4411" w:rsidRDefault="00D704E2" w:rsidP="00CD644C">
            <w:pPr>
              <w:rPr>
                <w:lang w:eastAsia="en-AU"/>
              </w:rPr>
            </w:pPr>
            <w:r w:rsidRPr="00AE4411">
              <w:rPr>
                <w:lang w:eastAsia="en-AU"/>
              </w:rPr>
              <w:t>2</w:t>
            </w:r>
          </w:p>
        </w:tc>
        <w:tc>
          <w:tcPr>
            <w:tcW w:w="797"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4859</w:t>
            </w:r>
          </w:p>
        </w:tc>
        <w:tc>
          <w:tcPr>
            <w:tcW w:w="796"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5139</w:t>
            </w:r>
          </w:p>
        </w:tc>
        <w:tc>
          <w:tcPr>
            <w:tcW w:w="911"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5106</w:t>
            </w:r>
          </w:p>
        </w:tc>
        <w:tc>
          <w:tcPr>
            <w:tcW w:w="909"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5310</w:t>
            </w:r>
          </w:p>
        </w:tc>
        <w:tc>
          <w:tcPr>
            <w:tcW w:w="907"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5558</w:t>
            </w:r>
          </w:p>
        </w:tc>
      </w:tr>
      <w:tr w:rsidR="00D704E2" w:rsidRPr="00AE4411" w:rsidTr="00CD644C">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80" w:type="pct"/>
            <w:hideMark/>
          </w:tcPr>
          <w:p w:rsidR="00D704E2" w:rsidRPr="00AE4411" w:rsidRDefault="00D704E2" w:rsidP="00CD644C">
            <w:pPr>
              <w:rPr>
                <w:lang w:eastAsia="en-AU"/>
              </w:rPr>
            </w:pPr>
            <w:r w:rsidRPr="00AE4411">
              <w:rPr>
                <w:lang w:eastAsia="en-AU"/>
              </w:rPr>
              <w:t>3</w:t>
            </w:r>
          </w:p>
        </w:tc>
        <w:tc>
          <w:tcPr>
            <w:tcW w:w="797"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4659</w:t>
            </w:r>
          </w:p>
        </w:tc>
        <w:tc>
          <w:tcPr>
            <w:tcW w:w="796"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4983</w:t>
            </w:r>
          </w:p>
        </w:tc>
        <w:tc>
          <w:tcPr>
            <w:tcW w:w="911"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5164</w:t>
            </w:r>
          </w:p>
        </w:tc>
        <w:tc>
          <w:tcPr>
            <w:tcW w:w="909"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5126</w:t>
            </w:r>
          </w:p>
        </w:tc>
        <w:tc>
          <w:tcPr>
            <w:tcW w:w="907"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lang w:eastAsia="en-AU"/>
              </w:rPr>
            </w:pPr>
            <w:r w:rsidRPr="00AE4411">
              <w:rPr>
                <w:lang w:eastAsia="en-AU"/>
              </w:rPr>
              <w:t>5317</w:t>
            </w:r>
          </w:p>
        </w:tc>
      </w:tr>
      <w:tr w:rsidR="00D704E2" w:rsidRPr="00AE4411" w:rsidTr="00CD644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80" w:type="pct"/>
            <w:hideMark/>
          </w:tcPr>
          <w:p w:rsidR="00D704E2" w:rsidRPr="00AE4411" w:rsidRDefault="00D704E2" w:rsidP="00CD644C">
            <w:pPr>
              <w:rPr>
                <w:lang w:eastAsia="en-AU"/>
              </w:rPr>
            </w:pPr>
            <w:r w:rsidRPr="00AE4411">
              <w:rPr>
                <w:lang w:eastAsia="en-AU"/>
              </w:rPr>
              <w:t>4</w:t>
            </w:r>
          </w:p>
        </w:tc>
        <w:tc>
          <w:tcPr>
            <w:tcW w:w="797"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4583</w:t>
            </w:r>
          </w:p>
        </w:tc>
        <w:tc>
          <w:tcPr>
            <w:tcW w:w="796"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4740</w:t>
            </w:r>
          </w:p>
        </w:tc>
        <w:tc>
          <w:tcPr>
            <w:tcW w:w="911"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4996</w:t>
            </w:r>
          </w:p>
        </w:tc>
        <w:tc>
          <w:tcPr>
            <w:tcW w:w="909"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5202</w:t>
            </w:r>
          </w:p>
        </w:tc>
        <w:tc>
          <w:tcPr>
            <w:tcW w:w="907" w:type="pct"/>
            <w:noWrap/>
            <w:hideMark/>
          </w:tcPr>
          <w:p w:rsidR="00D704E2" w:rsidRPr="00AE4411" w:rsidRDefault="00D704E2" w:rsidP="00CD644C">
            <w:pPr>
              <w:cnfStyle w:val="000000100000" w:firstRow="0" w:lastRow="0" w:firstColumn="0" w:lastColumn="0" w:oddVBand="0" w:evenVBand="0" w:oddHBand="1" w:evenHBand="0" w:firstRowFirstColumn="0" w:firstRowLastColumn="0" w:lastRowFirstColumn="0" w:lastRowLastColumn="0"/>
              <w:rPr>
                <w:lang w:eastAsia="en-AU"/>
              </w:rPr>
            </w:pPr>
            <w:r w:rsidRPr="00AE4411">
              <w:rPr>
                <w:lang w:eastAsia="en-AU"/>
              </w:rPr>
              <w:t>5193</w:t>
            </w:r>
          </w:p>
        </w:tc>
      </w:tr>
      <w:tr w:rsidR="00D704E2" w:rsidRPr="00AE4411" w:rsidTr="00CD644C">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80" w:type="pct"/>
            <w:hideMark/>
          </w:tcPr>
          <w:p w:rsidR="00D704E2" w:rsidRPr="00AE4411" w:rsidRDefault="00D704E2" w:rsidP="00CD644C">
            <w:pPr>
              <w:rPr>
                <w:bCs w:val="0"/>
                <w:iCs/>
                <w:lang w:eastAsia="en-AU"/>
              </w:rPr>
            </w:pPr>
            <w:r w:rsidRPr="00AE4411">
              <w:rPr>
                <w:bCs w:val="0"/>
                <w:iCs/>
                <w:lang w:eastAsia="en-AU"/>
              </w:rPr>
              <w:t>0-4</w:t>
            </w:r>
          </w:p>
        </w:tc>
        <w:tc>
          <w:tcPr>
            <w:tcW w:w="797"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iCs/>
                <w:color w:val="000000"/>
                <w:lang w:eastAsia="en-AU"/>
              </w:rPr>
            </w:pPr>
            <w:r w:rsidRPr="00AE4411">
              <w:rPr>
                <w:iCs/>
                <w:color w:val="000000"/>
                <w:lang w:eastAsia="en-AU"/>
              </w:rPr>
              <w:t>24132</w:t>
            </w:r>
          </w:p>
        </w:tc>
        <w:tc>
          <w:tcPr>
            <w:tcW w:w="796"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iCs/>
                <w:color w:val="000000"/>
                <w:lang w:eastAsia="en-AU"/>
              </w:rPr>
            </w:pPr>
            <w:r w:rsidRPr="00AE4411">
              <w:rPr>
                <w:iCs/>
                <w:color w:val="000000"/>
                <w:lang w:eastAsia="en-AU"/>
              </w:rPr>
              <w:t>25195</w:t>
            </w:r>
          </w:p>
        </w:tc>
        <w:tc>
          <w:tcPr>
            <w:tcW w:w="911"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iCs/>
                <w:color w:val="000000"/>
                <w:lang w:eastAsia="en-AU"/>
              </w:rPr>
            </w:pPr>
            <w:r w:rsidRPr="00AE4411">
              <w:rPr>
                <w:iCs/>
                <w:color w:val="000000"/>
                <w:lang w:eastAsia="en-AU"/>
              </w:rPr>
              <w:t>26093</w:t>
            </w:r>
          </w:p>
        </w:tc>
        <w:tc>
          <w:tcPr>
            <w:tcW w:w="909"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iCs/>
                <w:color w:val="000000"/>
                <w:lang w:eastAsia="en-AU"/>
              </w:rPr>
            </w:pPr>
            <w:r w:rsidRPr="00AE4411">
              <w:rPr>
                <w:iCs/>
                <w:color w:val="000000"/>
                <w:lang w:eastAsia="en-AU"/>
              </w:rPr>
              <w:t>26707</w:t>
            </w:r>
          </w:p>
        </w:tc>
        <w:tc>
          <w:tcPr>
            <w:tcW w:w="907" w:type="pct"/>
            <w:noWrap/>
            <w:hideMark/>
          </w:tcPr>
          <w:p w:rsidR="00D704E2" w:rsidRPr="00AE4411" w:rsidRDefault="00D704E2" w:rsidP="00CD644C">
            <w:pPr>
              <w:cnfStyle w:val="000000010000" w:firstRow="0" w:lastRow="0" w:firstColumn="0" w:lastColumn="0" w:oddVBand="0" w:evenVBand="0" w:oddHBand="0" w:evenHBand="1" w:firstRowFirstColumn="0" w:firstRowLastColumn="0" w:lastRowFirstColumn="0" w:lastRowLastColumn="0"/>
              <w:rPr>
                <w:iCs/>
                <w:color w:val="000000"/>
                <w:lang w:eastAsia="en-AU"/>
              </w:rPr>
            </w:pPr>
            <w:r w:rsidRPr="00AE4411">
              <w:rPr>
                <w:iCs/>
                <w:color w:val="000000"/>
                <w:lang w:eastAsia="en-AU"/>
              </w:rPr>
              <w:t>27264</w:t>
            </w:r>
          </w:p>
        </w:tc>
      </w:tr>
      <w:tr w:rsidR="00D704E2" w:rsidRPr="00AE4411" w:rsidTr="00CD64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noWrap/>
            <w:hideMark/>
          </w:tcPr>
          <w:p w:rsidR="00D704E2" w:rsidRPr="00AE4411" w:rsidRDefault="008D29D4" w:rsidP="00CD644C">
            <w:pPr>
              <w:rPr>
                <w:color w:val="000000"/>
                <w:sz w:val="18"/>
                <w:szCs w:val="18"/>
                <w:lang w:eastAsia="en-AU"/>
              </w:rPr>
            </w:pPr>
            <w:r w:rsidRPr="00AE4411">
              <w:rPr>
                <w:color w:val="000000"/>
                <w:sz w:val="18"/>
                <w:szCs w:val="18"/>
                <w:lang w:eastAsia="en-AU"/>
              </w:rPr>
              <w:t xml:space="preserve">Fig </w:t>
            </w:r>
            <w:r w:rsidR="00D459F6" w:rsidRPr="00AE4411">
              <w:rPr>
                <w:color w:val="000000"/>
                <w:sz w:val="18"/>
                <w:szCs w:val="18"/>
                <w:lang w:eastAsia="en-AU"/>
              </w:rPr>
              <w:t>24 - Estimated residential population of the ACT, by year cohort</w:t>
            </w:r>
          </w:p>
        </w:tc>
      </w:tr>
    </w:tbl>
    <w:p w:rsidR="00866657" w:rsidRPr="00AE4411" w:rsidRDefault="00866657" w:rsidP="00EC0C6B">
      <w:pPr>
        <w:pStyle w:val="AccessibleBody"/>
        <w:spacing w:before="120" w:after="120"/>
      </w:pPr>
      <w:r w:rsidRPr="00AE4411">
        <w:lastRenderedPageBreak/>
        <w:t>Currently 14,160 use ECEC services to some extent, and a further 3,090 use Family Day Care services. It can reasonably be assumed that amongst all the families who do not access ECEC services, or who access them on a limited basis, there are those that will actively choose to keep their children at home with the family, or throu</w:t>
      </w:r>
      <w:r w:rsidR="00EC0C6B" w:rsidRPr="00AE4411">
        <w:t>gh a personally arranged family-</w:t>
      </w:r>
      <w:r w:rsidRPr="00AE4411">
        <w:t>like arrangement, regardless of the availability, or cost, of formal ECEC services.</w:t>
      </w:r>
      <w:r w:rsidR="00361F64" w:rsidRPr="00AE4411">
        <w:t xml:space="preserve"> While approximately 10,000 children do not access formal ECEC services it is difficult to assess the percentage that do not access the services based on cost. </w:t>
      </w:r>
    </w:p>
    <w:p w:rsidR="00B62DE1" w:rsidRPr="00AE4411" w:rsidRDefault="00866657" w:rsidP="001475C6">
      <w:pPr>
        <w:pStyle w:val="AccessibleBody"/>
      </w:pPr>
      <w:r w:rsidRPr="00AE4411">
        <w:t>Based on an analysis</w:t>
      </w:r>
      <w:r w:rsidR="00FA6F3D" w:rsidRPr="00AE4411">
        <w:rPr>
          <w:rStyle w:val="FootnoteReference"/>
        </w:rPr>
        <w:footnoteReference w:id="28"/>
      </w:r>
      <w:r w:rsidRPr="00AE4411">
        <w:t xml:space="preserve"> of the </w:t>
      </w:r>
      <w:r w:rsidR="00FA6F3D" w:rsidRPr="00AE4411">
        <w:t xml:space="preserve">proportion of families that are marginalised and or suffering from deep and persistent disadvantage, </w:t>
      </w:r>
      <w:r w:rsidR="00B62DE1" w:rsidRPr="00AE4411">
        <w:t xml:space="preserve">up to </w:t>
      </w:r>
      <w:r w:rsidR="00FA6F3D" w:rsidRPr="00AE4411">
        <w:t xml:space="preserve">2,970 children in the ACT </w:t>
      </w:r>
      <w:r w:rsidR="00854FB0" w:rsidRPr="00AE4411">
        <w:t xml:space="preserve">may </w:t>
      </w:r>
      <w:r w:rsidR="00C26F57" w:rsidRPr="00AE4411">
        <w:t xml:space="preserve">be </w:t>
      </w:r>
      <w:r w:rsidR="00FA6F3D" w:rsidRPr="00AE4411">
        <w:t>excluded from access to ECEC services by a combination of price and social marginalisation factors.</w:t>
      </w:r>
      <w:r w:rsidR="00B62DE1" w:rsidRPr="00AE4411">
        <w:t xml:space="preserve"> There are likely to be a number of other children who are </w:t>
      </w:r>
      <w:r w:rsidR="00980ABE" w:rsidRPr="00AE4411">
        <w:t xml:space="preserve">not </w:t>
      </w:r>
      <w:r w:rsidR="00B62DE1" w:rsidRPr="00AE4411">
        <w:t xml:space="preserve">in this category </w:t>
      </w:r>
      <w:r w:rsidR="00980ABE" w:rsidRPr="00AE4411">
        <w:t>and</w:t>
      </w:r>
      <w:r w:rsidR="00B62DE1" w:rsidRPr="00AE4411">
        <w:t xml:space="preserve"> may not be able to access ECEC due to cost.</w:t>
      </w:r>
      <w:r w:rsidR="00361F64" w:rsidRPr="00AE4411">
        <w:t xml:space="preserve"> </w:t>
      </w:r>
    </w:p>
    <w:p w:rsidR="00B67E44" w:rsidRPr="00AE4411" w:rsidRDefault="005A742D" w:rsidP="00B65D2D">
      <w:pPr>
        <w:pStyle w:val="AccessibleBody"/>
      </w:pPr>
      <w:r w:rsidRPr="00AE4411">
        <w:t>In determining the extent to which clients who currently use ECEC services for less than,</w:t>
      </w:r>
      <w:r w:rsidR="007F37ED">
        <w:t xml:space="preserve"> say 40 hours a week, or who do no</w:t>
      </w:r>
      <w:r w:rsidRPr="00AE4411">
        <w:t>t use ECEC services at all it is necessary to estimate the proportion of those who would increase their use of the service, if they could meet the cost. In other words, how elastic is the demand for services.</w:t>
      </w:r>
    </w:p>
    <w:p w:rsidR="005A742D" w:rsidRPr="00AE4411" w:rsidRDefault="00F97BD2" w:rsidP="00B65D2D">
      <w:pPr>
        <w:pStyle w:val="AccessibleBody"/>
      </w:pPr>
      <w:r w:rsidRPr="00AE4411">
        <w:t>As mentioned above, the</w:t>
      </w:r>
      <w:r w:rsidR="005A742D" w:rsidRPr="00AE4411">
        <w:t xml:space="preserve"> Community Services Directorate purchases some 21,000 hours of ECEC services in the ACT to provide short-term care support for families who, for a number of reasons, are not able to purchase support from elsewhere, or provide it themselves. This purchase is in the form of guaranteed places for children if they are required, meaning that the service provider must keep the purchased number of places available, and is paid to do so.</w:t>
      </w:r>
    </w:p>
    <w:p w:rsidR="00060204" w:rsidRPr="00AE4411" w:rsidRDefault="005A742D" w:rsidP="00B65D2D">
      <w:pPr>
        <w:pStyle w:val="AccessibleBody"/>
      </w:pPr>
      <w:r w:rsidRPr="00AE4411">
        <w:t xml:space="preserve">The price for these services is </w:t>
      </w:r>
      <w:r w:rsidR="00060204" w:rsidRPr="00AE4411">
        <w:t>$</w:t>
      </w:r>
      <w:r w:rsidR="00485EA4" w:rsidRPr="00AE4411">
        <w:t>72.50</w:t>
      </w:r>
      <w:r w:rsidR="00060204" w:rsidRPr="00AE4411">
        <w:t xml:space="preserve"> per day</w:t>
      </w:r>
      <w:r w:rsidRPr="00AE4411">
        <w:t>, which is considerably below both the lowest available commercial rates and is only 68% of the ACT mean price for ECEC services. The price charge</w:t>
      </w:r>
      <w:r w:rsidR="00EC0C6B" w:rsidRPr="00AE4411">
        <w:t>d</w:t>
      </w:r>
      <w:r w:rsidRPr="00AE4411">
        <w:t xml:space="preserve"> is likely to represent </w:t>
      </w:r>
      <w:r w:rsidR="00B15394" w:rsidRPr="00AE4411">
        <w:t>a figure close to the</w:t>
      </w:r>
      <w:r w:rsidRPr="00AE4411">
        <w:t xml:space="preserve"> marginal cost of </w:t>
      </w:r>
      <w:r w:rsidR="00B15394" w:rsidRPr="00AE4411">
        <w:t>providing an ECEC service in the ACT.</w:t>
      </w:r>
    </w:p>
    <w:p w:rsidR="002E2409" w:rsidRPr="00AE4411" w:rsidRDefault="00444FD4">
      <w:pPr>
        <w:pStyle w:val="PolicyHeading4-Accessible"/>
      </w:pPr>
      <w:bookmarkStart w:id="49" w:name="_Toc509497662"/>
      <w:r w:rsidRPr="00AE4411">
        <w:t>Reducing the supply of services</w:t>
      </w:r>
      <w:bookmarkEnd w:id="49"/>
    </w:p>
    <w:p w:rsidR="00265726" w:rsidRPr="00AE4411" w:rsidRDefault="00444FD4" w:rsidP="00265726">
      <w:pPr>
        <w:rPr>
          <w:sz w:val="24"/>
          <w:szCs w:val="24"/>
        </w:rPr>
      </w:pPr>
      <w:r w:rsidRPr="00AE4411">
        <w:rPr>
          <w:sz w:val="24"/>
          <w:szCs w:val="24"/>
        </w:rPr>
        <w:t>The other means of addressing an over-supply of places in the ECEC sector</w:t>
      </w:r>
      <w:r w:rsidR="00B15394" w:rsidRPr="00AE4411">
        <w:rPr>
          <w:sz w:val="24"/>
          <w:szCs w:val="24"/>
        </w:rPr>
        <w:t xml:space="preserve"> is to reduce the number of places available. </w:t>
      </w:r>
    </w:p>
    <w:p w:rsidR="00265726" w:rsidRPr="00AE4411" w:rsidRDefault="00B15394" w:rsidP="00265726">
      <w:pPr>
        <w:rPr>
          <w:sz w:val="28"/>
        </w:rPr>
      </w:pPr>
      <w:r w:rsidRPr="00AE4411">
        <w:rPr>
          <w:sz w:val="24"/>
        </w:rPr>
        <w:t xml:space="preserve">If left entirely to the operation of market forces, a balance between the supply of ECEC places and the demand for these places would be accomplished by service providers operating in the higher cost band, or with the lowest levels of capital reserves, being unable to compete with </w:t>
      </w:r>
      <w:r w:rsidR="00484077" w:rsidRPr="00AE4411">
        <w:rPr>
          <w:sz w:val="24"/>
        </w:rPr>
        <w:t xml:space="preserve">better resourced, </w:t>
      </w:r>
      <w:r w:rsidRPr="00AE4411">
        <w:rPr>
          <w:sz w:val="24"/>
        </w:rPr>
        <w:t>more efficient, or better located, service providers and leaving the market.</w:t>
      </w:r>
      <w:r w:rsidR="00484077" w:rsidRPr="00AE4411">
        <w:rPr>
          <w:sz w:val="24"/>
        </w:rPr>
        <w:t xml:space="preserve"> A concentration</w:t>
      </w:r>
      <w:r w:rsidR="0040109E" w:rsidRPr="00AE4411">
        <w:rPr>
          <w:sz w:val="24"/>
        </w:rPr>
        <w:t xml:space="preserve"> of service providers resulting in an oligopolistic market condition will be adverse to community interest.</w:t>
      </w:r>
      <w:r w:rsidR="00BB3CDF" w:rsidRPr="00AE4411">
        <w:rPr>
          <w:sz w:val="24"/>
        </w:rPr>
        <w:t xml:space="preserve"> </w:t>
      </w:r>
      <w:bookmarkStart w:id="50" w:name="_Toc453155114"/>
    </w:p>
    <w:p w:rsidR="00E53D1D" w:rsidRPr="00AE4411" w:rsidRDefault="00E53D1D" w:rsidP="00841FED">
      <w:pPr>
        <w:pStyle w:val="PolicyHeading3-Accessible"/>
      </w:pPr>
      <w:bookmarkStart w:id="51" w:name="_Toc509497663"/>
      <w:r w:rsidRPr="00AE4411">
        <w:lastRenderedPageBreak/>
        <w:t>Wages Cost</w:t>
      </w:r>
      <w:bookmarkEnd w:id="50"/>
      <w:bookmarkEnd w:id="51"/>
    </w:p>
    <w:p w:rsidR="00EF3A7F" w:rsidRPr="00AE4411" w:rsidRDefault="009E04C2" w:rsidP="00C13ECC">
      <w:pPr>
        <w:pStyle w:val="AccessibleBody"/>
      </w:pPr>
      <w:r w:rsidRPr="00AE4411">
        <w:t xml:space="preserve">Wage costs in the </w:t>
      </w:r>
      <w:r w:rsidR="00FA6F3D" w:rsidRPr="00AE4411">
        <w:t xml:space="preserve">ECEC sector in the </w:t>
      </w:r>
      <w:r w:rsidRPr="00AE4411">
        <w:t xml:space="preserve">ACT appear to be driven by a combination of factors. </w:t>
      </w:r>
      <w:r w:rsidR="00EF3A7F" w:rsidRPr="00AE4411">
        <w:t xml:space="preserve">In attempting to understand why the </w:t>
      </w:r>
      <w:r w:rsidR="0097720B" w:rsidRPr="00AE4411">
        <w:t xml:space="preserve">cost </w:t>
      </w:r>
      <w:r w:rsidR="00EF3A7F" w:rsidRPr="00AE4411">
        <w:t>of ECE</w:t>
      </w:r>
      <w:r w:rsidR="00424BCE" w:rsidRPr="00AE4411">
        <w:t>C</w:t>
      </w:r>
      <w:r w:rsidR="00EF3A7F" w:rsidRPr="00AE4411">
        <w:t xml:space="preserve"> services in the ACT are consistently higher than those in other jurisdictions, the </w:t>
      </w:r>
      <w:r w:rsidR="001135FA" w:rsidRPr="00AE4411">
        <w:t>Review</w:t>
      </w:r>
      <w:r w:rsidR="00EF3A7F" w:rsidRPr="00AE4411">
        <w:t xml:space="preserve"> Team </w:t>
      </w:r>
      <w:r w:rsidR="00EC0C6B" w:rsidRPr="00AE4411">
        <w:t>r</w:t>
      </w:r>
      <w:r w:rsidR="003D0953" w:rsidRPr="00AE4411">
        <w:t xml:space="preserve">ecognises that there are several drivers of cost and at this stage of the </w:t>
      </w:r>
      <w:r w:rsidR="001135FA" w:rsidRPr="00AE4411">
        <w:t>Review</w:t>
      </w:r>
      <w:r w:rsidR="003D0953" w:rsidRPr="00AE4411">
        <w:t xml:space="preserve"> ha</w:t>
      </w:r>
      <w:r w:rsidRPr="00AE4411">
        <w:t>s</w:t>
      </w:r>
      <w:r w:rsidR="003D0953" w:rsidRPr="00AE4411">
        <w:t xml:space="preserve"> focused on the </w:t>
      </w:r>
      <w:r w:rsidR="00EF3A7F" w:rsidRPr="00AE4411">
        <w:t>cost</w:t>
      </w:r>
      <w:r w:rsidR="0097720B" w:rsidRPr="00AE4411">
        <w:t xml:space="preserve"> impact</w:t>
      </w:r>
      <w:r w:rsidR="00EF3A7F" w:rsidRPr="00AE4411">
        <w:t xml:space="preserve"> of wages. Wages are the largest single contributor to the cost of an ECE</w:t>
      </w:r>
      <w:r w:rsidR="0097720B" w:rsidRPr="00AE4411">
        <w:t>C</w:t>
      </w:r>
      <w:r w:rsidR="00EF3A7F" w:rsidRPr="00AE4411">
        <w:t xml:space="preserve"> service and as such, the cost of delivering ECE</w:t>
      </w:r>
      <w:r w:rsidR="00424BCE" w:rsidRPr="00AE4411">
        <w:t>C</w:t>
      </w:r>
      <w:r w:rsidR="00EF3A7F" w:rsidRPr="00AE4411">
        <w:t xml:space="preserve"> services are more sensitive to the cost of wages, and to any change in the cost of wages, than to any other single factor.</w:t>
      </w:r>
    </w:p>
    <w:p w:rsidR="00E53D1D" w:rsidRPr="00AE4411" w:rsidRDefault="00AF44CD" w:rsidP="00841FED">
      <w:pPr>
        <w:pStyle w:val="PolicyHeading4-Accessible"/>
      </w:pPr>
      <w:bookmarkStart w:id="52" w:name="_Toc509497664"/>
      <w:r w:rsidRPr="00AE4411">
        <w:t>Impact of a changing workforce</w:t>
      </w:r>
      <w:bookmarkEnd w:id="52"/>
    </w:p>
    <w:p w:rsidR="00CD7C1B" w:rsidRPr="00AE4411" w:rsidRDefault="00CD7C1B" w:rsidP="00CD7C1B">
      <w:pPr>
        <w:pStyle w:val="AccessibleBody"/>
      </w:pPr>
      <w:r w:rsidRPr="00AE4411">
        <w:t>A number of service providers indicated to the</w:t>
      </w:r>
      <w:r w:rsidR="00FD4A87" w:rsidRPr="00AE4411">
        <w:t xml:space="preserve"> 2016</w:t>
      </w:r>
      <w:r w:rsidRPr="00AE4411">
        <w:t xml:space="preserve"> </w:t>
      </w:r>
      <w:r w:rsidR="001135FA" w:rsidRPr="00AE4411">
        <w:t>Review</w:t>
      </w:r>
      <w:r w:rsidRPr="00AE4411">
        <w:t xml:space="preserve"> that there </w:t>
      </w:r>
      <w:r w:rsidR="00900413">
        <w:t>is</w:t>
      </w:r>
      <w:r w:rsidR="00E61E48" w:rsidRPr="00AE4411">
        <w:t xml:space="preserve"> </w:t>
      </w:r>
      <w:r w:rsidRPr="00AE4411">
        <w:t>significant competition in the sector for workers, and that vacancies are difficult to fill. More than one source has suggested that there can be up to four</w:t>
      </w:r>
      <w:r w:rsidR="00EC0C6B" w:rsidRPr="00AE4411">
        <w:t xml:space="preserve"> times more</w:t>
      </w:r>
      <w:r w:rsidRPr="00AE4411">
        <w:t xml:space="preserve"> suitable applicants for each vacant position in NSW as there are in the ACT.</w:t>
      </w:r>
    </w:p>
    <w:p w:rsidR="00CD7C1B" w:rsidRPr="00AE4411" w:rsidRDefault="00CD7C1B" w:rsidP="009B24E7">
      <w:pPr>
        <w:pStyle w:val="AccessibleBody"/>
      </w:pPr>
      <w:r w:rsidRPr="00AE4411">
        <w:t>The ACT has the highest levels of workforce participation in Australia, including the highest levels of female workforce participation, and low levels of unemployment. These are both factors that are likely to drive competition for scarce workers. Finally, ECEC workers are traditionally paid relatively low wages and, in the ACT, there are many alternative sources of higher paid work for those workers who choose and are able to access them.</w:t>
      </w:r>
    </w:p>
    <w:p w:rsidR="00900436" w:rsidRPr="00AE4411" w:rsidRDefault="000C2D93" w:rsidP="000053D0">
      <w:pPr>
        <w:rPr>
          <w:sz w:val="24"/>
          <w:szCs w:val="24"/>
        </w:rPr>
      </w:pPr>
      <w:r w:rsidRPr="00AE4411">
        <w:rPr>
          <w:sz w:val="24"/>
          <w:szCs w:val="24"/>
        </w:rPr>
        <w:t xml:space="preserve">An unusual feature of the market for ECEC services in the ACT is that while there is an over-supply of places there is a shortage of workers. </w:t>
      </w:r>
      <w:r w:rsidR="00900436" w:rsidRPr="00AE4411">
        <w:rPr>
          <w:sz w:val="24"/>
          <w:szCs w:val="24"/>
        </w:rPr>
        <w:t>Data</w:t>
      </w:r>
      <w:r w:rsidR="00E53D1D" w:rsidRPr="00AE4411">
        <w:rPr>
          <w:sz w:val="24"/>
          <w:szCs w:val="24"/>
        </w:rPr>
        <w:t xml:space="preserve"> provided to the </w:t>
      </w:r>
      <w:r w:rsidR="001135FA" w:rsidRPr="00AE4411">
        <w:rPr>
          <w:sz w:val="24"/>
          <w:szCs w:val="24"/>
        </w:rPr>
        <w:t>Review</w:t>
      </w:r>
      <w:r w:rsidR="00E53D1D" w:rsidRPr="00AE4411">
        <w:rPr>
          <w:sz w:val="24"/>
          <w:szCs w:val="24"/>
        </w:rPr>
        <w:t xml:space="preserve"> shows an increase in total </w:t>
      </w:r>
      <w:r w:rsidR="000053D0" w:rsidRPr="00AE4411">
        <w:rPr>
          <w:sz w:val="24"/>
          <w:szCs w:val="24"/>
        </w:rPr>
        <w:t xml:space="preserve">worker </w:t>
      </w:r>
      <w:r w:rsidR="002F0A66" w:rsidRPr="00AE4411">
        <w:rPr>
          <w:sz w:val="24"/>
          <w:szCs w:val="24"/>
        </w:rPr>
        <w:t xml:space="preserve">numbers </w:t>
      </w:r>
      <w:r w:rsidR="000053D0" w:rsidRPr="00AE4411">
        <w:rPr>
          <w:sz w:val="24"/>
          <w:szCs w:val="24"/>
        </w:rPr>
        <w:t xml:space="preserve">(all workers, including part-time and casual) </w:t>
      </w:r>
      <w:r w:rsidR="00E53D1D" w:rsidRPr="00AE4411">
        <w:rPr>
          <w:sz w:val="24"/>
          <w:szCs w:val="24"/>
        </w:rPr>
        <w:t xml:space="preserve">of </w:t>
      </w:r>
      <w:r w:rsidR="00F77952" w:rsidRPr="00AE4411">
        <w:rPr>
          <w:sz w:val="24"/>
          <w:szCs w:val="24"/>
        </w:rPr>
        <w:t>2</w:t>
      </w:r>
      <w:r w:rsidR="00916BE8" w:rsidRPr="00AE4411">
        <w:rPr>
          <w:sz w:val="24"/>
          <w:szCs w:val="24"/>
        </w:rPr>
        <w:t>53</w:t>
      </w:r>
      <w:r w:rsidR="00E53D1D" w:rsidRPr="00AE4411">
        <w:rPr>
          <w:sz w:val="24"/>
          <w:szCs w:val="24"/>
        </w:rPr>
        <w:t>% from</w:t>
      </w:r>
      <w:r w:rsidR="0037495D" w:rsidRPr="00AE4411">
        <w:rPr>
          <w:sz w:val="24"/>
          <w:szCs w:val="24"/>
        </w:rPr>
        <w:t xml:space="preserve"> </w:t>
      </w:r>
      <w:r w:rsidR="00916BE8" w:rsidRPr="00AE4411">
        <w:rPr>
          <w:sz w:val="24"/>
          <w:szCs w:val="24"/>
        </w:rPr>
        <w:t>2,475</w:t>
      </w:r>
      <w:r w:rsidR="00E53D1D" w:rsidRPr="00AE4411">
        <w:rPr>
          <w:sz w:val="24"/>
          <w:szCs w:val="24"/>
        </w:rPr>
        <w:t xml:space="preserve"> to</w:t>
      </w:r>
      <w:r w:rsidR="008E7947" w:rsidRPr="00AE4411">
        <w:rPr>
          <w:sz w:val="24"/>
          <w:szCs w:val="24"/>
        </w:rPr>
        <w:t xml:space="preserve"> 8,734</w:t>
      </w:r>
      <w:r w:rsidR="00E53D1D" w:rsidRPr="00AE4411">
        <w:rPr>
          <w:sz w:val="24"/>
          <w:szCs w:val="24"/>
        </w:rPr>
        <w:t xml:space="preserve"> between 2010 and 2015</w:t>
      </w:r>
      <w:r w:rsidR="00734D3B" w:rsidRPr="00AE4411">
        <w:rPr>
          <w:sz w:val="24"/>
          <w:szCs w:val="24"/>
        </w:rPr>
        <w:t xml:space="preserve"> a</w:t>
      </w:r>
      <w:r w:rsidR="000053D0" w:rsidRPr="00AE4411">
        <w:rPr>
          <w:sz w:val="24"/>
          <w:szCs w:val="24"/>
        </w:rPr>
        <w:t>s shown a</w:t>
      </w:r>
      <w:r w:rsidR="00734D3B" w:rsidRPr="00AE4411">
        <w:rPr>
          <w:sz w:val="24"/>
          <w:szCs w:val="24"/>
        </w:rPr>
        <w:t xml:space="preserve">t </w:t>
      </w:r>
      <w:r w:rsidR="00734D3B" w:rsidRPr="00AE4411">
        <w:rPr>
          <w:b/>
          <w:sz w:val="24"/>
          <w:szCs w:val="24"/>
        </w:rPr>
        <w:t xml:space="preserve">Figure </w:t>
      </w:r>
      <w:r w:rsidR="006230FE" w:rsidRPr="00AE4411">
        <w:rPr>
          <w:b/>
          <w:sz w:val="24"/>
          <w:szCs w:val="24"/>
        </w:rPr>
        <w:t>25</w:t>
      </w:r>
      <w:r w:rsidR="006230FE" w:rsidRPr="00AE4411">
        <w:rPr>
          <w:sz w:val="24"/>
          <w:szCs w:val="24"/>
        </w:rPr>
        <w:t xml:space="preserve"> </w:t>
      </w:r>
      <w:r w:rsidR="000053D0" w:rsidRPr="00AE4411">
        <w:rPr>
          <w:sz w:val="24"/>
          <w:szCs w:val="24"/>
        </w:rPr>
        <w:t>below</w:t>
      </w:r>
      <w:r w:rsidR="00E53D1D" w:rsidRPr="00AE4411">
        <w:rPr>
          <w:sz w:val="24"/>
          <w:szCs w:val="24"/>
        </w:rPr>
        <w:t xml:space="preserve">. </w:t>
      </w:r>
      <w:r w:rsidR="002F0A66" w:rsidRPr="00AE4411">
        <w:rPr>
          <w:sz w:val="24"/>
          <w:szCs w:val="24"/>
        </w:rPr>
        <w:t xml:space="preserve">This growth rate is extremely high and it should be noted that across the whole of the ECEC sector 70% of workers are part-time or casual. </w:t>
      </w:r>
    </w:p>
    <w:p w:rsidR="000053D0" w:rsidRPr="00AE4411" w:rsidRDefault="000053D0" w:rsidP="00C13ECC">
      <w:pPr>
        <w:pStyle w:val="AccessibleBody"/>
      </w:pPr>
      <w:r w:rsidRPr="00AE4411">
        <w:rPr>
          <w:noProof/>
          <w:lang w:eastAsia="en-AU"/>
        </w:rPr>
        <w:drawing>
          <wp:inline distT="0" distB="0" distL="0" distR="0">
            <wp:extent cx="5347855" cy="2475346"/>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53D0" w:rsidRPr="00AE4411" w:rsidRDefault="000053D0" w:rsidP="000053D0">
      <w:r w:rsidRPr="00AE4411">
        <w:rPr>
          <w:rFonts w:cs="Calibri"/>
          <w:sz w:val="18"/>
          <w:szCs w:val="18"/>
        </w:rPr>
        <w:t xml:space="preserve">Fig </w:t>
      </w:r>
      <w:r w:rsidR="006230FE" w:rsidRPr="00AE4411">
        <w:rPr>
          <w:rFonts w:cs="Calibri"/>
          <w:sz w:val="18"/>
          <w:szCs w:val="18"/>
        </w:rPr>
        <w:t xml:space="preserve">25 </w:t>
      </w:r>
      <w:r w:rsidRPr="00AE4411">
        <w:rPr>
          <w:rFonts w:cs="Calibri"/>
          <w:sz w:val="18"/>
          <w:szCs w:val="18"/>
        </w:rPr>
        <w:t>Worker Growth head count only – Long</w:t>
      </w:r>
      <w:r w:rsidR="00900413">
        <w:rPr>
          <w:rFonts w:cs="Calibri"/>
          <w:sz w:val="18"/>
          <w:szCs w:val="18"/>
        </w:rPr>
        <w:t xml:space="preserve"> Day Care Centres between2010-</w:t>
      </w:r>
      <w:r w:rsidRPr="00AE4411">
        <w:rPr>
          <w:rFonts w:cs="Calibri"/>
          <w:sz w:val="18"/>
          <w:szCs w:val="18"/>
        </w:rPr>
        <w:t>2015</w:t>
      </w:r>
    </w:p>
    <w:p w:rsidR="000344A0" w:rsidRPr="00AE4411" w:rsidRDefault="000344A0" w:rsidP="000344A0">
      <w:pPr>
        <w:rPr>
          <w:sz w:val="24"/>
          <w:szCs w:val="24"/>
        </w:rPr>
      </w:pPr>
      <w:r w:rsidRPr="00AE4411">
        <w:rPr>
          <w:sz w:val="24"/>
          <w:szCs w:val="24"/>
        </w:rPr>
        <w:lastRenderedPageBreak/>
        <w:t>There are some differences in the mix of part time and full time workers between the different categories of the sector, with the independent not-for-profit category tending to have a higher proportion of full time workers and the for</w:t>
      </w:r>
      <w:r w:rsidR="00EC0C6B" w:rsidRPr="00AE4411">
        <w:rPr>
          <w:sz w:val="24"/>
          <w:szCs w:val="24"/>
        </w:rPr>
        <w:t>-</w:t>
      </w:r>
      <w:r w:rsidRPr="00AE4411">
        <w:rPr>
          <w:sz w:val="24"/>
          <w:szCs w:val="24"/>
        </w:rPr>
        <w:t>profit and community not-for-profit categories tending to have a higher proportion of part-time workers.</w:t>
      </w:r>
      <w:r w:rsidRPr="00AE4411">
        <w:rPr>
          <w:rStyle w:val="FootnoteReference"/>
          <w:sz w:val="24"/>
          <w:szCs w:val="24"/>
        </w:rPr>
        <w:footnoteReference w:id="29"/>
      </w:r>
    </w:p>
    <w:p w:rsidR="000053D0" w:rsidRPr="00AE4411" w:rsidRDefault="000053D0" w:rsidP="000053D0">
      <w:pPr>
        <w:pStyle w:val="AccessibleBody"/>
      </w:pPr>
      <w:r w:rsidRPr="00AE4411">
        <w:t xml:space="preserve">Growth in worker numbers is understood by the </w:t>
      </w:r>
      <w:r w:rsidR="001135FA" w:rsidRPr="00AE4411">
        <w:t>Review</w:t>
      </w:r>
      <w:r w:rsidRPr="00AE4411">
        <w:t xml:space="preserve"> to be driven by a combination of increased capacity from the development of new centres and by the introduction of the NQF. A significant proportion of the increase in worker numbers is particularly strong in 2011 and 2012 when the NQF was being prepared for and then introduced. </w:t>
      </w:r>
    </w:p>
    <w:p w:rsidR="00AF44CD" w:rsidRPr="00AE4411" w:rsidRDefault="00AF44CD" w:rsidP="000053D0">
      <w:pPr>
        <w:pStyle w:val="AccessibleBody"/>
      </w:pPr>
      <w:r w:rsidRPr="00AE4411">
        <w:t xml:space="preserve">Despite the significant growth in numbers shown above, participants in the 1 July </w:t>
      </w:r>
      <w:r w:rsidR="00E61E48" w:rsidRPr="00AE4411">
        <w:t xml:space="preserve">2016 </w:t>
      </w:r>
      <w:r w:rsidR="008C1EAF" w:rsidRPr="00AE4411">
        <w:t>Forum</w:t>
      </w:r>
      <w:r w:rsidRPr="00AE4411">
        <w:t xml:space="preserve"> </w:t>
      </w:r>
      <w:r w:rsidR="00E61E48" w:rsidRPr="00AE4411">
        <w:t xml:space="preserve">noted </w:t>
      </w:r>
      <w:r w:rsidRPr="00AE4411">
        <w:t xml:space="preserve">that there is a significant demand for workers that cannot be adequately met. They advise that this competition is particularly strong at the more senior levels of sector worker and that staffing is the major issue facing the sector. </w:t>
      </w:r>
    </w:p>
    <w:p w:rsidR="00CC4CAC" w:rsidRPr="00AE4411" w:rsidRDefault="00AF44CD" w:rsidP="000053D0">
      <w:pPr>
        <w:pStyle w:val="AccessibleBody"/>
      </w:pPr>
      <w:r w:rsidRPr="00AE4411">
        <w:t xml:space="preserve">The sector </w:t>
      </w:r>
      <w:r w:rsidR="00900413">
        <w:t>indicated</w:t>
      </w:r>
      <w:r w:rsidRPr="00AE4411">
        <w:t xml:space="preserve"> that the</w:t>
      </w:r>
      <w:r w:rsidR="00CC4CAC" w:rsidRPr="00AE4411">
        <w:t xml:space="preserve"> issue is both a general lack of applicants and that those who do apply are not appropriately skilled. They further advised that the issue was becoming more, not less</w:t>
      </w:r>
      <w:r w:rsidR="00F16842" w:rsidRPr="00AE4411">
        <w:t>,</w:t>
      </w:r>
      <w:r w:rsidR="00CC4CAC" w:rsidRPr="00AE4411">
        <w:t xml:space="preserve"> serious, that it included ancillary staff such as cooks, as well as preschool teachers. </w:t>
      </w:r>
    </w:p>
    <w:p w:rsidR="00CC4CAC" w:rsidRPr="00AE4411" w:rsidRDefault="00FA6F3D" w:rsidP="00841FED">
      <w:pPr>
        <w:pStyle w:val="PolicyHeading4-Accessible"/>
      </w:pPr>
      <w:bookmarkStart w:id="53" w:name="_Toc509497665"/>
      <w:r w:rsidRPr="00AE4411">
        <w:t>I</w:t>
      </w:r>
      <w:r w:rsidR="00CC4CAC" w:rsidRPr="00AE4411">
        <w:t>mpact of worker shortages</w:t>
      </w:r>
      <w:bookmarkEnd w:id="53"/>
    </w:p>
    <w:p w:rsidR="000344A0" w:rsidRPr="00AE4411" w:rsidRDefault="00CC4CAC" w:rsidP="000053D0">
      <w:pPr>
        <w:pStyle w:val="AccessibleBody"/>
      </w:pPr>
      <w:r w:rsidRPr="00AE4411">
        <w:t>The</w:t>
      </w:r>
      <w:r w:rsidR="00AF44CD" w:rsidRPr="00AE4411">
        <w:t xml:space="preserve"> impact of the worker shortage is reflected in higher </w:t>
      </w:r>
      <w:r w:rsidRPr="00AE4411">
        <w:t>overall costs,</w:t>
      </w:r>
      <w:r w:rsidR="000344A0" w:rsidRPr="00AE4411">
        <w:t xml:space="preserve"> not all of which are reflected in the salaries of the workers themselves. S</w:t>
      </w:r>
      <w:r w:rsidRPr="00AE4411">
        <w:t xml:space="preserve">tarting with </w:t>
      </w:r>
      <w:r w:rsidR="00AF44CD" w:rsidRPr="00AE4411">
        <w:t>recruitment costs</w:t>
      </w:r>
      <w:r w:rsidR="000344A0" w:rsidRPr="00AE4411">
        <w:t>, higher levels of worker turnover and difficulties in attracting staff result in increased recruitment costs. S</w:t>
      </w:r>
      <w:r w:rsidR="00AF44CD" w:rsidRPr="00AE4411">
        <w:t xml:space="preserve">ome </w:t>
      </w:r>
      <w:r w:rsidRPr="00AE4411">
        <w:t xml:space="preserve">organisations have advised that they needed to employ full-time recruitment officers in order to meet their needs. </w:t>
      </w:r>
    </w:p>
    <w:p w:rsidR="00AF44CD" w:rsidRPr="00AE4411" w:rsidRDefault="00CC4CAC" w:rsidP="000053D0">
      <w:pPr>
        <w:pStyle w:val="AccessibleBody"/>
      </w:pPr>
      <w:r w:rsidRPr="00AE4411">
        <w:t>The cost impact of worker shortages flows through to wages and conditions of service</w:t>
      </w:r>
      <w:r w:rsidR="00F16842" w:rsidRPr="00AE4411">
        <w:t>. The sector advise</w:t>
      </w:r>
      <w:r w:rsidR="00D025D5" w:rsidRPr="00AE4411">
        <w:t xml:space="preserve">d the </w:t>
      </w:r>
      <w:r w:rsidR="001135FA" w:rsidRPr="00AE4411">
        <w:t>Review</w:t>
      </w:r>
      <w:r w:rsidR="00F16842" w:rsidRPr="00AE4411">
        <w:t xml:space="preserve"> that </w:t>
      </w:r>
      <w:r w:rsidR="00D025D5" w:rsidRPr="00AE4411">
        <w:t>salaries and conditions of service are</w:t>
      </w:r>
      <w:r w:rsidR="00F16842" w:rsidRPr="00AE4411">
        <w:t xml:space="preserve"> increased in order to both attract and to maintain workers. </w:t>
      </w:r>
    </w:p>
    <w:p w:rsidR="00D025D5" w:rsidRPr="00AE4411" w:rsidRDefault="00D025D5" w:rsidP="00D025D5">
      <w:pPr>
        <w:pStyle w:val="AccessibleBody"/>
      </w:pPr>
      <w:r w:rsidRPr="00AE4411">
        <w:t xml:space="preserve">The </w:t>
      </w:r>
      <w:r w:rsidR="00E61E48" w:rsidRPr="00AE4411">
        <w:t xml:space="preserve">2016 </w:t>
      </w:r>
      <w:r w:rsidR="001135FA" w:rsidRPr="00AE4411">
        <w:t>Review</w:t>
      </w:r>
      <w:r w:rsidRPr="00AE4411">
        <w:t xml:space="preserve"> explored sector salary levels through information provided by the </w:t>
      </w:r>
      <w:r w:rsidR="009B24E7" w:rsidRPr="00AE4411">
        <w:t xml:space="preserve">ACT </w:t>
      </w:r>
      <w:r w:rsidRPr="00AE4411">
        <w:t>Long Service Leave Authority</w:t>
      </w:r>
      <w:r w:rsidRPr="00AE4411">
        <w:rPr>
          <w:b/>
        </w:rPr>
        <w:t>.</w:t>
      </w:r>
      <w:r w:rsidR="000344A0" w:rsidRPr="00AE4411">
        <w:rPr>
          <w:b/>
        </w:rPr>
        <w:t xml:space="preserve"> </w:t>
      </w:r>
      <w:r w:rsidR="008B0DCA" w:rsidRPr="00AE4411">
        <w:rPr>
          <w:b/>
        </w:rPr>
        <w:t xml:space="preserve">Figure </w:t>
      </w:r>
      <w:r w:rsidR="006230FE" w:rsidRPr="00AE4411">
        <w:rPr>
          <w:b/>
        </w:rPr>
        <w:t>26</w:t>
      </w:r>
      <w:r w:rsidR="006230FE" w:rsidRPr="00AE4411">
        <w:t xml:space="preserve"> </w:t>
      </w:r>
      <w:r w:rsidR="008B0DCA" w:rsidRPr="00AE4411">
        <w:t>below shows that the</w:t>
      </w:r>
      <w:r w:rsidR="000344A0" w:rsidRPr="00AE4411">
        <w:t xml:space="preserve"> </w:t>
      </w:r>
      <w:r w:rsidR="008B0DCA" w:rsidRPr="00AE4411">
        <w:t xml:space="preserve">average salary in the sector for 2015 was $934 per week, or $48,561 per year. This salary equates to a position between 4.3 and 5.1 on the </w:t>
      </w:r>
      <w:r w:rsidR="008B0DCA" w:rsidRPr="00AE4411">
        <w:rPr>
          <w:i/>
        </w:rPr>
        <w:t>Children’s Services Award 2010</w:t>
      </w:r>
      <w:r w:rsidR="008B0DCA" w:rsidRPr="00AE4411">
        <w:t xml:space="preserve"> structure. </w:t>
      </w:r>
    </w:p>
    <w:p w:rsidR="000344A0" w:rsidRPr="00AE4411" w:rsidRDefault="000344A0" w:rsidP="00D025D5">
      <w:pPr>
        <w:pStyle w:val="AccessibleBody"/>
        <w:rPr>
          <w:noProof/>
          <w:lang w:eastAsia="en-AU"/>
        </w:rPr>
      </w:pPr>
      <w:r w:rsidRPr="00AE4411">
        <w:rPr>
          <w:noProof/>
          <w:lang w:eastAsia="en-AU"/>
        </w:rPr>
        <w:lastRenderedPageBreak/>
        <w:drawing>
          <wp:inline distT="0" distB="0" distL="0" distR="0">
            <wp:extent cx="2201333" cy="2091267"/>
            <wp:effectExtent l="0" t="0" r="0" b="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AE4411">
        <w:rPr>
          <w:noProof/>
          <w:lang w:eastAsia="en-AU"/>
        </w:rPr>
        <w:t xml:space="preserve"> </w:t>
      </w:r>
      <w:r w:rsidRPr="00AE4411">
        <w:rPr>
          <w:noProof/>
          <w:lang w:eastAsia="en-AU"/>
        </w:rPr>
        <w:drawing>
          <wp:inline distT="0" distB="0" distL="0" distR="0">
            <wp:extent cx="2590800" cy="2015067"/>
            <wp:effectExtent l="0" t="0" r="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36D2C" w:rsidRPr="00AE4411" w:rsidRDefault="00636D2C" w:rsidP="00D025D5">
      <w:pPr>
        <w:pStyle w:val="AccessibleBody"/>
        <w:rPr>
          <w:sz w:val="18"/>
          <w:szCs w:val="18"/>
        </w:rPr>
      </w:pPr>
      <w:r w:rsidRPr="00AE4411">
        <w:rPr>
          <w:noProof/>
          <w:sz w:val="18"/>
          <w:szCs w:val="18"/>
          <w:lang w:eastAsia="en-AU"/>
        </w:rPr>
        <w:t xml:space="preserve">Fig </w:t>
      </w:r>
      <w:r w:rsidR="006230FE" w:rsidRPr="00AE4411">
        <w:rPr>
          <w:noProof/>
          <w:sz w:val="18"/>
          <w:szCs w:val="18"/>
          <w:lang w:eastAsia="en-AU"/>
        </w:rPr>
        <w:t xml:space="preserve">26 </w:t>
      </w:r>
      <w:r w:rsidRPr="00AE4411">
        <w:rPr>
          <w:noProof/>
          <w:sz w:val="18"/>
          <w:szCs w:val="18"/>
          <w:lang w:eastAsia="en-AU"/>
        </w:rPr>
        <w:t>Weekly and annual average wages for the ECEC sector in the ACT</w:t>
      </w:r>
    </w:p>
    <w:p w:rsidR="000344A0" w:rsidRPr="00AE4411" w:rsidRDefault="001F733E" w:rsidP="00D025D5">
      <w:pPr>
        <w:pStyle w:val="AccessibleBody"/>
      </w:pPr>
      <w:r w:rsidRPr="00AE4411">
        <w:rPr>
          <w:b/>
        </w:rPr>
        <w:t>Figures 13 and 14</w:t>
      </w:r>
      <w:r w:rsidRPr="00AE4411">
        <w:t xml:space="preserve"> </w:t>
      </w:r>
      <w:r w:rsidR="00EC0C6B" w:rsidRPr="00AE4411">
        <w:t>earlier in this document</w:t>
      </w:r>
      <w:r w:rsidR="0014002E" w:rsidRPr="00AE4411">
        <w:t xml:space="preserve"> </w:t>
      </w:r>
      <w:r w:rsidR="008B0DCA" w:rsidRPr="00AE4411">
        <w:t>show the</w:t>
      </w:r>
      <w:r w:rsidR="0014002E" w:rsidRPr="00AE4411">
        <w:t xml:space="preserve"> distribution of workers in the sector across the different Award categories. This shows that</w:t>
      </w:r>
      <w:r w:rsidR="008B0DCA" w:rsidRPr="00AE4411">
        <w:t xml:space="preserve"> 64% of workers in the sector </w:t>
      </w:r>
      <w:r w:rsidR="0014002E" w:rsidRPr="00AE4411">
        <w:t>are at wor</w:t>
      </w:r>
      <w:r w:rsidR="008B0DCA" w:rsidRPr="00AE4411">
        <w:t>k levels below the average</w:t>
      </w:r>
      <w:r w:rsidR="0014002E" w:rsidRPr="00AE4411">
        <w:t xml:space="preserve"> salary paid in the ACT</w:t>
      </w:r>
      <w:r w:rsidR="008B0DCA" w:rsidRPr="00AE4411">
        <w:t>, which indicates that for the average to be $48,561, workers in the sector, on average, must be being paid higher than Award wages.</w:t>
      </w:r>
    </w:p>
    <w:p w:rsidR="00CE513F" w:rsidRPr="00AE4411" w:rsidRDefault="0014002E" w:rsidP="00EC0C6B">
      <w:pPr>
        <w:pStyle w:val="AccessibleBody"/>
        <w:spacing w:after="120"/>
      </w:pPr>
      <w:r w:rsidRPr="00AE4411">
        <w:t xml:space="preserve">The </w:t>
      </w:r>
      <w:r w:rsidR="00BC25BA" w:rsidRPr="00AE4411">
        <w:t xml:space="preserve">2016 </w:t>
      </w:r>
      <w:r w:rsidR="001135FA" w:rsidRPr="00AE4411">
        <w:t>Review</w:t>
      </w:r>
      <w:r w:rsidRPr="00AE4411">
        <w:t xml:space="preserve"> found that the average salaries paid across the sector between 2010 and 2015 have been flat across the sector over six years, with little if any growth</w:t>
      </w:r>
      <w:r w:rsidR="00636D2C" w:rsidRPr="00AE4411">
        <w:t xml:space="preserve">, as shown in </w:t>
      </w:r>
      <w:r w:rsidR="008A5FE5" w:rsidRPr="00AE4411">
        <w:rPr>
          <w:b/>
        </w:rPr>
        <w:t>Figure </w:t>
      </w:r>
      <w:r w:rsidR="006230FE" w:rsidRPr="00AE4411">
        <w:rPr>
          <w:b/>
        </w:rPr>
        <w:t>27</w:t>
      </w:r>
      <w:r w:rsidR="006230FE" w:rsidRPr="00AE4411">
        <w:t xml:space="preserve"> </w:t>
      </w:r>
      <w:r w:rsidR="00636D2C" w:rsidRPr="00AE4411">
        <w:t>below</w:t>
      </w:r>
      <w:r w:rsidRPr="00AE4411">
        <w:t>. This appeared to contradict evidence that overall salaries across the sector are above Award</w:t>
      </w:r>
      <w:r w:rsidR="009B24E7" w:rsidRPr="00AE4411">
        <w:t>. O</w:t>
      </w:r>
      <w:r w:rsidRPr="00AE4411">
        <w:t xml:space="preserve">ne possible cause </w:t>
      </w:r>
      <w:r w:rsidR="00CE513F" w:rsidRPr="00AE4411">
        <w:t xml:space="preserve">for this apparent anomaly </w:t>
      </w:r>
      <w:r w:rsidRPr="00AE4411">
        <w:t>may be that overcapacity in the sector is driving competition for children and putting downward pressure on wages growth</w:t>
      </w:r>
      <w:r w:rsidR="00CE513F" w:rsidRPr="00AE4411">
        <w:t xml:space="preserve"> and that the extent of over Award payments </w:t>
      </w:r>
      <w:r w:rsidR="009B24E7" w:rsidRPr="00AE4411">
        <w:t>is</w:t>
      </w:r>
      <w:r w:rsidR="00CE513F" w:rsidRPr="00AE4411">
        <w:t xml:space="preserve"> being reduced</w:t>
      </w:r>
      <w:r w:rsidR="009B24E7" w:rsidRPr="00AE4411">
        <w:t xml:space="preserve"> over time</w:t>
      </w:r>
      <w:r w:rsidRPr="00AE4411">
        <w:t xml:space="preserve">. </w:t>
      </w:r>
    </w:p>
    <w:p w:rsidR="0014002E" w:rsidRPr="00AE4411" w:rsidRDefault="0014002E" w:rsidP="00EC0C6B">
      <w:pPr>
        <w:pStyle w:val="AccessibleBody"/>
        <w:spacing w:after="120"/>
      </w:pPr>
      <w:r w:rsidRPr="00AE4411">
        <w:t xml:space="preserve">Equally, it may be that </w:t>
      </w:r>
      <w:r w:rsidR="009B24E7" w:rsidRPr="00AE4411">
        <w:t xml:space="preserve">whole of </w:t>
      </w:r>
      <w:r w:rsidR="00CE513F" w:rsidRPr="00AE4411">
        <w:t>sector</w:t>
      </w:r>
      <w:r w:rsidRPr="00AE4411">
        <w:t xml:space="preserve"> average wage costs represent a very broad range of wage costs between </w:t>
      </w:r>
      <w:r w:rsidR="009B24E7" w:rsidRPr="00AE4411">
        <w:t xml:space="preserve">many different employers, and employer </w:t>
      </w:r>
      <w:r w:rsidR="00CE513F" w:rsidRPr="00AE4411">
        <w:t>categories</w:t>
      </w:r>
      <w:r w:rsidRPr="00AE4411">
        <w:t xml:space="preserve"> of the overall sector</w:t>
      </w:r>
      <w:r w:rsidR="009B24E7" w:rsidRPr="00AE4411">
        <w:t>,</w:t>
      </w:r>
      <w:r w:rsidRPr="00AE4411">
        <w:t xml:space="preserve"> and that a change in balance between the market shares of the different sub-sectors is having the effect of keeping average levels down, while hiding significant differences between the sub-sectors, or between individual employers</w:t>
      </w:r>
      <w:r w:rsidR="00F06189" w:rsidRPr="00AE4411">
        <w:t xml:space="preserve">. The </w:t>
      </w:r>
      <w:r w:rsidR="00BC25BA" w:rsidRPr="00AE4411">
        <w:t xml:space="preserve">2016 </w:t>
      </w:r>
      <w:r w:rsidR="001135FA" w:rsidRPr="00AE4411">
        <w:t>Review</w:t>
      </w:r>
      <w:r w:rsidR="00F06189" w:rsidRPr="00AE4411">
        <w:t xml:space="preserve"> explored this last option and found that there were significant differences between the salaries paid to workers across the different category of service provider. </w:t>
      </w:r>
    </w:p>
    <w:p w:rsidR="0014002E" w:rsidRPr="00AE4411" w:rsidRDefault="0014002E" w:rsidP="0014002E">
      <w:pPr>
        <w:spacing w:after="0"/>
        <w:rPr>
          <w:rFonts w:cs="Calibri"/>
        </w:rPr>
      </w:pPr>
      <w:r w:rsidRPr="00AE4411">
        <w:rPr>
          <w:rFonts w:cs="Calibri"/>
          <w:noProof/>
          <w:lang w:eastAsia="en-AU"/>
        </w:rPr>
        <w:lastRenderedPageBreak/>
        <w:drawing>
          <wp:inline distT="0" distB="0" distL="0" distR="0">
            <wp:extent cx="5318449" cy="2164702"/>
            <wp:effectExtent l="0" t="0" r="0" b="0"/>
            <wp:docPr id="2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4002E" w:rsidRPr="00AE4411" w:rsidRDefault="0014002E" w:rsidP="00EC0C6B">
      <w:pPr>
        <w:spacing w:after="120"/>
        <w:rPr>
          <w:rFonts w:cs="Calibri"/>
          <w:sz w:val="18"/>
          <w:szCs w:val="18"/>
        </w:rPr>
      </w:pPr>
      <w:r w:rsidRPr="00AE4411">
        <w:rPr>
          <w:rFonts w:cs="Calibri"/>
          <w:sz w:val="18"/>
          <w:szCs w:val="18"/>
        </w:rPr>
        <w:t xml:space="preserve">Fig </w:t>
      </w:r>
      <w:r w:rsidR="006230FE" w:rsidRPr="00AE4411">
        <w:rPr>
          <w:rFonts w:cs="Calibri"/>
          <w:sz w:val="18"/>
          <w:szCs w:val="18"/>
        </w:rPr>
        <w:t>27</w:t>
      </w:r>
      <w:r w:rsidRPr="00AE4411">
        <w:rPr>
          <w:rFonts w:cs="Calibri"/>
          <w:sz w:val="18"/>
          <w:szCs w:val="18"/>
        </w:rPr>
        <w:t>Average annual salary payments to full time ECEC workers between 2010 and 2016</w:t>
      </w:r>
    </w:p>
    <w:p w:rsidR="00E277F5" w:rsidRPr="00AE4411" w:rsidRDefault="00E277F5" w:rsidP="00EC0C6B">
      <w:pPr>
        <w:pStyle w:val="AccessibleBody"/>
        <w:spacing w:after="120"/>
      </w:pPr>
      <w:r w:rsidRPr="00AE4411">
        <w:t xml:space="preserve">The </w:t>
      </w:r>
      <w:r w:rsidR="00BC25BA" w:rsidRPr="00AE4411">
        <w:t xml:space="preserve">2016 </w:t>
      </w:r>
      <w:r w:rsidR="001135FA" w:rsidRPr="00AE4411">
        <w:t>Review</w:t>
      </w:r>
      <w:r w:rsidRPr="00AE4411">
        <w:t xml:space="preserve"> also analysed the differences in average salaries by length of service, and by age of recipient, anticipating that a normal distribution would be found, where increased length of service and increased age is reflected in higher salaries. However, </w:t>
      </w:r>
      <w:r w:rsidRPr="00AE4411">
        <w:rPr>
          <w:b/>
        </w:rPr>
        <w:t>Figure</w:t>
      </w:r>
      <w:r w:rsidR="007B5001">
        <w:rPr>
          <w:b/>
        </w:rPr>
        <w:t> </w:t>
      </w:r>
      <w:r w:rsidR="006230FE" w:rsidRPr="00AE4411">
        <w:rPr>
          <w:b/>
        </w:rPr>
        <w:t xml:space="preserve">28 </w:t>
      </w:r>
      <w:r w:rsidRPr="00AE4411">
        <w:t>and</w:t>
      </w:r>
      <w:r w:rsidRPr="00AE4411">
        <w:rPr>
          <w:b/>
        </w:rPr>
        <w:t xml:space="preserve"> </w:t>
      </w:r>
      <w:r w:rsidR="007B5001" w:rsidRPr="00AE4411">
        <w:rPr>
          <w:b/>
        </w:rPr>
        <w:t>Figure</w:t>
      </w:r>
      <w:r w:rsidR="007B5001">
        <w:rPr>
          <w:b/>
        </w:rPr>
        <w:t> </w:t>
      </w:r>
      <w:r w:rsidR="006230FE" w:rsidRPr="00AE4411">
        <w:rPr>
          <w:b/>
        </w:rPr>
        <w:t xml:space="preserve">29 </w:t>
      </w:r>
      <w:r w:rsidRPr="00AE4411">
        <w:t>below</w:t>
      </w:r>
      <w:r w:rsidRPr="00AE4411">
        <w:rPr>
          <w:b/>
        </w:rPr>
        <w:t xml:space="preserve"> </w:t>
      </w:r>
      <w:r w:rsidRPr="00AE4411">
        <w:t>shows this was not the case, and there appears to be some small correlation between age and salary, but little, if any, correlation between length of service and average salary levels.</w:t>
      </w:r>
    </w:p>
    <w:p w:rsidR="00D025D5" w:rsidRPr="00AE4411" w:rsidRDefault="00D025D5" w:rsidP="00D025D5">
      <w:pPr>
        <w:rPr>
          <w:rFonts w:cs="Calibri"/>
        </w:rPr>
      </w:pPr>
      <w:r w:rsidRPr="00AE4411">
        <w:rPr>
          <w:rFonts w:cs="Calibri"/>
          <w:noProof/>
          <w:lang w:eastAsia="en-AU"/>
        </w:rPr>
        <w:drawing>
          <wp:inline distT="0" distB="0" distL="0" distR="0">
            <wp:extent cx="5393094" cy="1763486"/>
            <wp:effectExtent l="0" t="0" r="0" b="0"/>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025D5" w:rsidRPr="00AE4411" w:rsidRDefault="00D025D5" w:rsidP="00D025D5">
      <w:pPr>
        <w:rPr>
          <w:rFonts w:cs="Calibri"/>
          <w:sz w:val="18"/>
          <w:szCs w:val="18"/>
        </w:rPr>
      </w:pPr>
      <w:r w:rsidRPr="00AE4411">
        <w:rPr>
          <w:rFonts w:cs="Calibri"/>
          <w:sz w:val="18"/>
          <w:szCs w:val="18"/>
        </w:rPr>
        <w:t xml:space="preserve">Fig </w:t>
      </w:r>
      <w:r w:rsidR="006230FE" w:rsidRPr="00AE4411">
        <w:rPr>
          <w:rFonts w:cs="Calibri"/>
          <w:sz w:val="18"/>
          <w:szCs w:val="18"/>
        </w:rPr>
        <w:t xml:space="preserve">28 </w:t>
      </w:r>
      <w:r w:rsidRPr="00AE4411">
        <w:rPr>
          <w:rFonts w:cs="Calibri"/>
          <w:sz w:val="18"/>
          <w:szCs w:val="18"/>
        </w:rPr>
        <w:t>Average annual salaries in the ECEC sector in the ACT, by age of worker</w:t>
      </w:r>
    </w:p>
    <w:p w:rsidR="00D025D5" w:rsidRPr="00AE4411" w:rsidRDefault="00D025D5" w:rsidP="00D025D5">
      <w:pPr>
        <w:rPr>
          <w:rFonts w:cs="Calibri"/>
        </w:rPr>
      </w:pPr>
      <w:r w:rsidRPr="00AE4411">
        <w:rPr>
          <w:rFonts w:cs="Calibri"/>
          <w:noProof/>
          <w:lang w:eastAsia="en-AU"/>
        </w:rPr>
        <w:drawing>
          <wp:inline distT="0" distB="0" distL="0" distR="0">
            <wp:extent cx="5343525" cy="2209800"/>
            <wp:effectExtent l="0" t="0" r="0" b="0"/>
            <wp:docPr id="2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025D5" w:rsidRPr="00AE4411" w:rsidRDefault="00636D2C" w:rsidP="00D025D5">
      <w:pPr>
        <w:rPr>
          <w:rFonts w:cs="Calibri"/>
          <w:sz w:val="18"/>
          <w:szCs w:val="18"/>
        </w:rPr>
      </w:pPr>
      <w:r w:rsidRPr="00AE4411">
        <w:rPr>
          <w:rFonts w:cs="Calibri"/>
          <w:sz w:val="18"/>
          <w:szCs w:val="18"/>
        </w:rPr>
        <w:t xml:space="preserve">Fig </w:t>
      </w:r>
      <w:r w:rsidR="006230FE" w:rsidRPr="00AE4411">
        <w:rPr>
          <w:rFonts w:cs="Calibri"/>
          <w:sz w:val="18"/>
          <w:szCs w:val="18"/>
        </w:rPr>
        <w:t xml:space="preserve">29 </w:t>
      </w:r>
      <w:r w:rsidR="00D025D5" w:rsidRPr="00AE4411">
        <w:rPr>
          <w:rFonts w:cs="Calibri"/>
          <w:sz w:val="18"/>
          <w:szCs w:val="18"/>
        </w:rPr>
        <w:t>Average salaries for ECEC workers, by length of service</w:t>
      </w:r>
    </w:p>
    <w:p w:rsidR="00EE2E13" w:rsidRPr="00AE4411" w:rsidRDefault="00EE2E13" w:rsidP="00EE2E13">
      <w:pPr>
        <w:pStyle w:val="AccessibleBody"/>
      </w:pPr>
      <w:r w:rsidRPr="00AE4411">
        <w:lastRenderedPageBreak/>
        <w:t xml:space="preserve">It may be inferred from these patterns that, in a high turn-over environment for workers, where the average length of service for full time workers is only 2.5 years and where it is difficult to attract and retain workers, that employers will pay the salary necessary to attract and retain workers, but be reluctant to invest in their workers through higher wages to reward length of service. </w:t>
      </w:r>
    </w:p>
    <w:p w:rsidR="00EE2E13" w:rsidRPr="00AE4411" w:rsidRDefault="00EE2E13" w:rsidP="00EE2E13">
      <w:pPr>
        <w:pStyle w:val="AccessibleBody"/>
      </w:pPr>
      <w:r w:rsidRPr="00AE4411">
        <w:t xml:space="preserve">The 1 July </w:t>
      </w:r>
      <w:r w:rsidR="006D2D84" w:rsidRPr="00AE4411">
        <w:t xml:space="preserve">2016 </w:t>
      </w:r>
      <w:r w:rsidR="008C1EAF" w:rsidRPr="00AE4411">
        <w:t>Forum</w:t>
      </w:r>
      <w:r w:rsidR="00DF7000" w:rsidRPr="00AE4411">
        <w:t xml:space="preserve"> confirmed this, with comments on the high cost of continuous professional development and improvement of staff and the high levels of worker turn-over, where workers gain skills within the sector, then leave</w:t>
      </w:r>
      <w:r w:rsidRPr="00AE4411">
        <w:t xml:space="preserve"> to join the public service, or leave because they do not see a career path in the sector.</w:t>
      </w:r>
    </w:p>
    <w:p w:rsidR="001229FE" w:rsidRPr="00AE4411" w:rsidRDefault="00DF7000" w:rsidP="00EE2E13">
      <w:pPr>
        <w:pStyle w:val="AccessibleBody"/>
      </w:pPr>
      <w:r w:rsidRPr="00AE4411">
        <w:t xml:space="preserve">A further factor, caused in part by the difficulty in attracting suitable workers that contributes to the cost of employment is the casualisation of the ECEC workforce. This casualisation takes two forms, a change in the workforce structure to favour casual, or part-time workers over full-time workers, and the use of contract workers sourced through an employment agency. In both cases, but particularly the latter, casual workers and contract workers are more expensive, due to the salary loadings that are required, or the administrative charges required by contractors. </w:t>
      </w:r>
    </w:p>
    <w:p w:rsidR="00DF7000" w:rsidRPr="00AE4411" w:rsidRDefault="00445D4F" w:rsidP="00EE2E13">
      <w:pPr>
        <w:pStyle w:val="AccessibleBody"/>
      </w:pPr>
      <w:r w:rsidRPr="00AE4411">
        <w:t xml:space="preserve">These short-term employment strategies are an expected response to services </w:t>
      </w:r>
      <w:r w:rsidR="00DF7000" w:rsidRPr="00AE4411">
        <w:t>facing worker shortages</w:t>
      </w:r>
      <w:r w:rsidR="00CD7C1B" w:rsidRPr="00AE4411">
        <w:t>, high turnovers</w:t>
      </w:r>
      <w:r w:rsidR="00DF7000" w:rsidRPr="00AE4411">
        <w:t xml:space="preserve"> and </w:t>
      </w:r>
      <w:r w:rsidRPr="00AE4411">
        <w:t>uncertain demand.</w:t>
      </w:r>
      <w:r w:rsidR="00CD7C1B" w:rsidRPr="00AE4411">
        <w:t xml:space="preserve"> </w:t>
      </w:r>
      <w:r w:rsidR="00B62DE1" w:rsidRPr="00AE4411">
        <w:t>T</w:t>
      </w:r>
      <w:r w:rsidR="00675249" w:rsidRPr="00AE4411">
        <w:t>he Review notes that part-</w:t>
      </w:r>
      <w:r w:rsidR="00B62DE1" w:rsidRPr="00AE4411">
        <w:t>time</w:t>
      </w:r>
      <w:r w:rsidR="00675249" w:rsidRPr="00AE4411">
        <w:t xml:space="preserve"> and casual</w:t>
      </w:r>
      <w:r w:rsidR="00B62DE1" w:rsidRPr="00AE4411">
        <w:t xml:space="preserve"> workers can provide </w:t>
      </w:r>
      <w:r w:rsidR="001D2168" w:rsidRPr="00AE4411">
        <w:t>more flexibility and</w:t>
      </w:r>
      <w:r w:rsidR="00143B86" w:rsidRPr="00AE4411">
        <w:t xml:space="preserve"> </w:t>
      </w:r>
      <w:r w:rsidR="005879F6" w:rsidRPr="00AE4411">
        <w:t xml:space="preserve">in the short term </w:t>
      </w:r>
      <w:r w:rsidR="00143B86" w:rsidRPr="00AE4411">
        <w:t>be more</w:t>
      </w:r>
      <w:r w:rsidR="001D2168" w:rsidRPr="00AE4411">
        <w:t xml:space="preserve"> cost efficien</w:t>
      </w:r>
      <w:r w:rsidR="00143B86" w:rsidRPr="00AE4411">
        <w:t>t</w:t>
      </w:r>
      <w:r w:rsidR="00675249" w:rsidRPr="00AE4411">
        <w:t xml:space="preserve"> than full-time workers</w:t>
      </w:r>
      <w:r w:rsidR="001D2168" w:rsidRPr="00AE4411">
        <w:t xml:space="preserve"> by allowing staffing to vary according to demand.</w:t>
      </w:r>
    </w:p>
    <w:p w:rsidR="001229FE" w:rsidRPr="00AE4411" w:rsidRDefault="00CD7C1B" w:rsidP="00C13ECC">
      <w:pPr>
        <w:pStyle w:val="AccessibleBody"/>
        <w:rPr>
          <w:szCs w:val="24"/>
        </w:rPr>
      </w:pPr>
      <w:r w:rsidRPr="00AE4411">
        <w:rPr>
          <w:szCs w:val="24"/>
        </w:rPr>
        <w:t xml:space="preserve">The </w:t>
      </w:r>
      <w:r w:rsidR="007B5001">
        <w:rPr>
          <w:szCs w:val="24"/>
        </w:rPr>
        <w:t xml:space="preserve">2016 </w:t>
      </w:r>
      <w:r w:rsidR="001135FA" w:rsidRPr="00AE4411">
        <w:rPr>
          <w:szCs w:val="24"/>
        </w:rPr>
        <w:t>Review</w:t>
      </w:r>
      <w:r w:rsidRPr="00AE4411">
        <w:rPr>
          <w:szCs w:val="24"/>
        </w:rPr>
        <w:t xml:space="preserve"> found that</w:t>
      </w:r>
      <w:r w:rsidR="00B7785F" w:rsidRPr="00AE4411">
        <w:rPr>
          <w:szCs w:val="24"/>
        </w:rPr>
        <w:t xml:space="preserve"> the very significant increase in the numbers of workers in the sector between 2010 and 2015 </w:t>
      </w:r>
      <w:r w:rsidR="006D2D84" w:rsidRPr="00AE4411">
        <w:rPr>
          <w:szCs w:val="24"/>
        </w:rPr>
        <w:t xml:space="preserve">was </w:t>
      </w:r>
      <w:r w:rsidR="00B7785F" w:rsidRPr="00AE4411">
        <w:rPr>
          <w:szCs w:val="24"/>
        </w:rPr>
        <w:t xml:space="preserve">accompanied by an equally significant change in the employment structures </w:t>
      </w:r>
      <w:r w:rsidR="004A686A" w:rsidRPr="00AE4411">
        <w:rPr>
          <w:szCs w:val="24"/>
        </w:rPr>
        <w:t>across</w:t>
      </w:r>
      <w:r w:rsidR="00B7785F" w:rsidRPr="00AE4411">
        <w:rPr>
          <w:szCs w:val="24"/>
        </w:rPr>
        <w:t xml:space="preserve"> the sector</w:t>
      </w:r>
      <w:r w:rsidR="004A686A" w:rsidRPr="00AE4411">
        <w:rPr>
          <w:szCs w:val="24"/>
        </w:rPr>
        <w:t>, particularly the balance between full time and part time workers</w:t>
      </w:r>
      <w:r w:rsidR="00B7785F" w:rsidRPr="00AE4411">
        <w:rPr>
          <w:szCs w:val="24"/>
        </w:rPr>
        <w:t xml:space="preserve">. </w:t>
      </w:r>
    </w:p>
    <w:p w:rsidR="00CD7C1B" w:rsidRPr="00AE4411" w:rsidRDefault="004A686A" w:rsidP="00C13ECC">
      <w:pPr>
        <w:pStyle w:val="AccessibleBody"/>
        <w:rPr>
          <w:szCs w:val="24"/>
        </w:rPr>
      </w:pPr>
      <w:r w:rsidRPr="00AE4411">
        <w:rPr>
          <w:b/>
          <w:szCs w:val="24"/>
        </w:rPr>
        <w:t xml:space="preserve">Figure </w:t>
      </w:r>
      <w:r w:rsidR="006230FE" w:rsidRPr="00AE4411">
        <w:rPr>
          <w:b/>
          <w:szCs w:val="24"/>
        </w:rPr>
        <w:t>30</w:t>
      </w:r>
      <w:r w:rsidR="006230FE" w:rsidRPr="00AE4411">
        <w:rPr>
          <w:szCs w:val="24"/>
        </w:rPr>
        <w:t xml:space="preserve"> </w:t>
      </w:r>
      <w:r w:rsidRPr="00AE4411">
        <w:rPr>
          <w:szCs w:val="24"/>
        </w:rPr>
        <w:t xml:space="preserve">below shows this change between 2010 and 2015 as a </w:t>
      </w:r>
      <w:r w:rsidR="001229FE" w:rsidRPr="00AE4411">
        <w:rPr>
          <w:szCs w:val="24"/>
        </w:rPr>
        <w:t>change in the ratio of full time to part time workers across the whole of the sector</w:t>
      </w:r>
      <w:r w:rsidR="00063E45" w:rsidRPr="00AE4411">
        <w:rPr>
          <w:rStyle w:val="FootnoteReference"/>
          <w:szCs w:val="24"/>
        </w:rPr>
        <w:footnoteReference w:id="30"/>
      </w:r>
      <w:r w:rsidRPr="00AE4411">
        <w:rPr>
          <w:szCs w:val="24"/>
        </w:rPr>
        <w:t xml:space="preserve">. </w:t>
      </w:r>
    </w:p>
    <w:p w:rsidR="001229FE" w:rsidRPr="00AE4411" w:rsidRDefault="001229FE" w:rsidP="001229FE">
      <w:pPr>
        <w:pStyle w:val="AccessibleBody"/>
        <w:spacing w:after="0"/>
        <w:rPr>
          <w:szCs w:val="24"/>
        </w:rPr>
      </w:pPr>
      <w:r w:rsidRPr="00AE4411">
        <w:rPr>
          <w:noProof/>
          <w:szCs w:val="24"/>
          <w:lang w:eastAsia="en-AU"/>
        </w:rPr>
        <w:lastRenderedPageBreak/>
        <w:drawing>
          <wp:inline distT="0" distB="0" distL="0" distR="0">
            <wp:extent cx="5467350" cy="335280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229FE" w:rsidRPr="00AE4411" w:rsidRDefault="001229FE" w:rsidP="00C13ECC">
      <w:pPr>
        <w:pStyle w:val="AccessibleBody"/>
        <w:rPr>
          <w:sz w:val="18"/>
          <w:szCs w:val="18"/>
        </w:rPr>
      </w:pPr>
      <w:r w:rsidRPr="00AE4411">
        <w:rPr>
          <w:sz w:val="18"/>
          <w:szCs w:val="18"/>
        </w:rPr>
        <w:t>Fig 30 Change in ratio of full time and part time workers between 2010 and 2015</w:t>
      </w:r>
    </w:p>
    <w:p w:rsidR="00890799" w:rsidRPr="00AE4411" w:rsidRDefault="001229FE" w:rsidP="00C13ECC">
      <w:pPr>
        <w:pStyle w:val="AccessibleBody"/>
        <w:rPr>
          <w:szCs w:val="24"/>
        </w:rPr>
      </w:pPr>
      <w:r w:rsidRPr="00AE4411">
        <w:rPr>
          <w:b/>
          <w:szCs w:val="24"/>
        </w:rPr>
        <w:t>Figure 31</w:t>
      </w:r>
      <w:r w:rsidRPr="00AE4411">
        <w:rPr>
          <w:szCs w:val="24"/>
        </w:rPr>
        <w:t xml:space="preserve"> below shows the same change as a percentage reduction in the number of full time workers in the sector by employer </w:t>
      </w:r>
      <w:r w:rsidR="004A686A" w:rsidRPr="00AE4411">
        <w:rPr>
          <w:szCs w:val="24"/>
        </w:rPr>
        <w:t xml:space="preserve">The table shows this change by employer, not by individual service, and excludes five employers who have not had a presence in the ACT for long enough to generate a change of worker status profile. </w:t>
      </w:r>
    </w:p>
    <w:p w:rsidR="00CD7C1B" w:rsidRPr="00AE4411" w:rsidRDefault="00C2273A" w:rsidP="00C13ECC">
      <w:pPr>
        <w:pStyle w:val="AccessibleBody"/>
        <w:rPr>
          <w:szCs w:val="24"/>
        </w:rPr>
      </w:pPr>
      <w:r w:rsidRPr="00AE4411">
        <w:rPr>
          <w:szCs w:val="24"/>
        </w:rPr>
        <w:t>As the table shows, there has been a significant casualisation</w:t>
      </w:r>
      <w:r w:rsidR="00636D2C" w:rsidRPr="00AE4411">
        <w:rPr>
          <w:rStyle w:val="FootnoteReference"/>
          <w:szCs w:val="24"/>
        </w:rPr>
        <w:footnoteReference w:id="31"/>
      </w:r>
      <w:r w:rsidRPr="00AE4411">
        <w:rPr>
          <w:szCs w:val="24"/>
        </w:rPr>
        <w:t xml:space="preserve"> of the ECEC workforce over the last six years, with only a small proporti</w:t>
      </w:r>
      <w:r w:rsidR="00AF44CD" w:rsidRPr="00AE4411">
        <w:rPr>
          <w:szCs w:val="24"/>
        </w:rPr>
        <w:t xml:space="preserve">on of the employers showing a relatively small </w:t>
      </w:r>
      <w:r w:rsidR="00CD7C1B" w:rsidRPr="00AE4411">
        <w:rPr>
          <w:szCs w:val="24"/>
        </w:rPr>
        <w:t xml:space="preserve">increase in the full-time component of their </w:t>
      </w:r>
      <w:r w:rsidR="00AF44CD" w:rsidRPr="00AE4411">
        <w:rPr>
          <w:szCs w:val="24"/>
        </w:rPr>
        <w:t xml:space="preserve">worker profile. </w:t>
      </w:r>
    </w:p>
    <w:p w:rsidR="004A686A" w:rsidRPr="00AE4411" w:rsidRDefault="00AF44CD" w:rsidP="00C13ECC">
      <w:pPr>
        <w:pStyle w:val="AccessibleBody"/>
        <w:rPr>
          <w:szCs w:val="24"/>
        </w:rPr>
      </w:pPr>
      <w:r w:rsidRPr="00AE4411">
        <w:rPr>
          <w:szCs w:val="24"/>
        </w:rPr>
        <w:t>Of this small proportion, the majority fall into the independent not-for-profit category of service providers</w:t>
      </w:r>
      <w:r w:rsidR="00CD7C1B" w:rsidRPr="00AE4411">
        <w:rPr>
          <w:szCs w:val="24"/>
        </w:rPr>
        <w:t>, and considered in conjunction with the high levels of pay by this category, may represent an employment strategy of retaining key staff by offering more highly paid, full-time work, with superior working conditions</w:t>
      </w:r>
      <w:r w:rsidRPr="00AE4411">
        <w:rPr>
          <w:szCs w:val="24"/>
        </w:rPr>
        <w:t>.</w:t>
      </w:r>
    </w:p>
    <w:p w:rsidR="000053D0" w:rsidRPr="00AE4411" w:rsidRDefault="00B7785F" w:rsidP="00890799">
      <w:pPr>
        <w:pStyle w:val="AccessibleBody"/>
        <w:spacing w:after="0"/>
      </w:pPr>
      <w:r w:rsidRPr="00AE4411">
        <w:rPr>
          <w:noProof/>
          <w:lang w:eastAsia="en-AU"/>
        </w:rPr>
        <w:lastRenderedPageBreak/>
        <w:drawing>
          <wp:inline distT="0" distB="0" distL="0" distR="0">
            <wp:extent cx="5257800" cy="2695575"/>
            <wp:effectExtent l="19050" t="0" r="1905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053D0" w:rsidRPr="00AE4411" w:rsidRDefault="00B7785F" w:rsidP="00C13ECC">
      <w:pPr>
        <w:pStyle w:val="AccessibleBody"/>
        <w:rPr>
          <w:sz w:val="18"/>
          <w:szCs w:val="18"/>
        </w:rPr>
      </w:pPr>
      <w:r w:rsidRPr="00AE4411">
        <w:rPr>
          <w:sz w:val="18"/>
          <w:szCs w:val="18"/>
        </w:rPr>
        <w:t xml:space="preserve">Fig </w:t>
      </w:r>
      <w:r w:rsidR="00890799" w:rsidRPr="00AE4411">
        <w:rPr>
          <w:sz w:val="18"/>
          <w:szCs w:val="18"/>
        </w:rPr>
        <w:t>31</w:t>
      </w:r>
      <w:r w:rsidR="006230FE" w:rsidRPr="00AE4411">
        <w:rPr>
          <w:sz w:val="18"/>
          <w:szCs w:val="18"/>
        </w:rPr>
        <w:t xml:space="preserve"> </w:t>
      </w:r>
      <w:r w:rsidRPr="00AE4411">
        <w:rPr>
          <w:sz w:val="18"/>
          <w:szCs w:val="18"/>
        </w:rPr>
        <w:t xml:space="preserve">Change in </w:t>
      </w:r>
      <w:r w:rsidR="00986ACE" w:rsidRPr="00AE4411">
        <w:rPr>
          <w:sz w:val="18"/>
          <w:szCs w:val="18"/>
        </w:rPr>
        <w:t>per cent</w:t>
      </w:r>
      <w:r w:rsidRPr="00AE4411">
        <w:rPr>
          <w:sz w:val="18"/>
          <w:szCs w:val="18"/>
        </w:rPr>
        <w:t xml:space="preserve"> of full time workers between 2010 and 2015</w:t>
      </w:r>
    </w:p>
    <w:p w:rsidR="00890799" w:rsidRPr="00AE4411" w:rsidRDefault="00890799" w:rsidP="00C13ECC">
      <w:pPr>
        <w:pStyle w:val="AccessibleBody"/>
      </w:pPr>
      <w:r w:rsidRPr="00AE4411">
        <w:t xml:space="preserve">Finally, </w:t>
      </w:r>
      <w:r w:rsidR="00063E45" w:rsidRPr="00AE4411">
        <w:rPr>
          <w:b/>
        </w:rPr>
        <w:t>Figure 32</w:t>
      </w:r>
      <w:r w:rsidR="00063E45" w:rsidRPr="00AE4411">
        <w:t xml:space="preserve"> below shows </w:t>
      </w:r>
      <w:r w:rsidRPr="00AE4411">
        <w:t>the increase in the proportion of casual workers has been accompanied by a fall in the average weekly wage earned by those workers</w:t>
      </w:r>
      <w:r w:rsidR="00063E45" w:rsidRPr="00AE4411">
        <w:rPr>
          <w:rStyle w:val="FootnoteReference"/>
        </w:rPr>
        <w:footnoteReference w:id="32"/>
      </w:r>
      <w:r w:rsidRPr="00AE4411">
        <w:t>. In the five years after 2010, average weekly salaries were only 81% of the level in 2010. Such a fall can represent either lower salaries, such as when casuals workers are employed at lower classification levels on the Award structure, or it can represent shorter hours worked by the casuals. The current average weekly salary for a part time worker in the sector is equivalent to 16 Hours, or two days, for a level 2.2 worker under the Award with twelve months experience.</w:t>
      </w:r>
    </w:p>
    <w:p w:rsidR="00890799" w:rsidRPr="00AE4411" w:rsidRDefault="00890799" w:rsidP="00063E45">
      <w:pPr>
        <w:pStyle w:val="AccessibleBody"/>
        <w:spacing w:after="0"/>
      </w:pPr>
      <w:r w:rsidRPr="00AE4411">
        <w:rPr>
          <w:noProof/>
          <w:lang w:eastAsia="en-AU"/>
        </w:rPr>
        <w:drawing>
          <wp:inline distT="0" distB="0" distL="0" distR="0">
            <wp:extent cx="5419725" cy="2819400"/>
            <wp:effectExtent l="19050" t="0" r="9525"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C29F4" w:rsidRPr="00002381" w:rsidRDefault="00063E45" w:rsidP="00002381">
      <w:pPr>
        <w:pStyle w:val="AccessibleBody"/>
        <w:rPr>
          <w:sz w:val="18"/>
          <w:szCs w:val="18"/>
        </w:rPr>
      </w:pPr>
      <w:r w:rsidRPr="00AE4411">
        <w:rPr>
          <w:sz w:val="18"/>
          <w:szCs w:val="18"/>
        </w:rPr>
        <w:t>Fig 32 Change in average weekly part time salaries for ECEC workers</w:t>
      </w:r>
    </w:p>
    <w:p w:rsidR="008F43FE" w:rsidRPr="00002381" w:rsidRDefault="004B14CF" w:rsidP="00C35664">
      <w:pPr>
        <w:pStyle w:val="AccessibleBody"/>
      </w:pPr>
      <w:r>
        <w:rPr>
          <w:noProof/>
          <w:lang w:eastAsia="en-AU"/>
        </w:rPr>
        <w:lastRenderedPageBreak/>
        <mc:AlternateContent>
          <mc:Choice Requires="wps">
            <w:drawing>
              <wp:anchor distT="91440" distB="91440" distL="114300" distR="114300" simplePos="0" relativeHeight="251667968" behindDoc="0" locked="0" layoutInCell="0" allowOverlap="1">
                <wp:simplePos x="0" y="0"/>
                <wp:positionH relativeFrom="margin">
                  <wp:posOffset>-114300</wp:posOffset>
                </wp:positionH>
                <wp:positionV relativeFrom="margin">
                  <wp:posOffset>-133350</wp:posOffset>
                </wp:positionV>
                <wp:extent cx="5913120" cy="1728470"/>
                <wp:effectExtent l="19050" t="9525" r="11430" b="14605"/>
                <wp:wrapSquare wrapText="bothSides"/>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13120" cy="172847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E0AC1" w:rsidRPr="007B5001" w:rsidRDefault="007E0AC1" w:rsidP="007B5001">
                            <w:pPr>
                              <w:pStyle w:val="AccessibleBody"/>
                            </w:pPr>
                            <w:r w:rsidRPr="007B5001">
                              <w:t>ISSUES</w:t>
                            </w:r>
                          </w:p>
                          <w:p w:rsidR="007E0AC1" w:rsidRPr="007B5001" w:rsidRDefault="007E0AC1" w:rsidP="007B5001">
                            <w:pPr>
                              <w:pStyle w:val="AccessibleBody"/>
                            </w:pPr>
                            <w:r w:rsidRPr="007B5001">
                              <w:t>Longevity of professionals in the sector improves quality in the sector, as do wages and conditions.</w:t>
                            </w:r>
                            <w:r>
                              <w:t xml:space="preserve"> </w:t>
                            </w:r>
                            <w:r w:rsidRPr="007B5001">
                              <w:t>How can employment and conditions be improved for education and care professionals in the ACT</w:t>
                            </w:r>
                            <w:r>
                              <w:t>?</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18" o:spid="_x0000_s1033" style="position:absolute;margin-left:-9pt;margin-top:-10.5pt;width:465.6pt;height:136.1pt;flip:x;z-index:2516679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" o:allowincell="f" filled="f" fillcolor="black [3213]" strokecolor="black [3213]" strokeweight="1.5pt">
                <v:shadow color="#f79646 [3209]" opacity=".5" offset="-15pt,0"/>
                <v:textbox style="mso-fit-shape-to-text:t" inset="21.6pt,21.6pt,21.6pt,21.6pt">
                  <w:txbxContent>
                    <w:p w:rsidR="007E0AC1" w:rsidRPr="007B5001" w:rsidRDefault="007E0AC1" w:rsidP="007B5001">
                      <w:pPr>
                        <w:pStyle w:val="AccessibleBody"/>
                      </w:pPr>
                      <w:r w:rsidRPr="007B5001">
                        <w:t>ISSUES</w:t>
                      </w:r>
                    </w:p>
                    <w:p w:rsidR="007E0AC1" w:rsidRPr="007B5001" w:rsidRDefault="007E0AC1" w:rsidP="007B5001">
                      <w:pPr>
                        <w:pStyle w:val="AccessibleBody"/>
                      </w:pPr>
                      <w:r w:rsidRPr="007B5001">
                        <w:t>Longevity of professionals in the sector improves quality in the sector, as do wages and conditions.</w:t>
                      </w:r>
                      <w:r>
                        <w:t xml:space="preserve"> </w:t>
                      </w:r>
                      <w:r w:rsidRPr="007B5001">
                        <w:t>How can employment and conditions be improved for education and care professionals in the ACT</w:t>
                      </w:r>
                      <w:r>
                        <w:t>?</w:t>
                      </w:r>
                    </w:p>
                  </w:txbxContent>
                </v:textbox>
                <w10:wrap type="square" anchorx="margin" anchory="margin"/>
              </v:rect>
            </w:pict>
          </mc:Fallback>
        </mc:AlternateContent>
      </w:r>
    </w:p>
    <w:sectPr w:rsidR="008F43FE" w:rsidRPr="00002381" w:rsidSect="004D0A6D">
      <w:pgSz w:w="11906" w:h="16838"/>
      <w:pgMar w:top="1440" w:right="1440" w:bottom="1276" w:left="1440"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DC" w:rsidRDefault="00DE6DDC" w:rsidP="00A022D0">
      <w:pPr>
        <w:spacing w:after="0" w:line="240" w:lineRule="auto"/>
      </w:pPr>
      <w:r>
        <w:separator/>
      </w:r>
    </w:p>
    <w:p w:rsidR="00DE6DDC" w:rsidRDefault="00DE6DDC"/>
  </w:endnote>
  <w:endnote w:type="continuationSeparator" w:id="0">
    <w:p w:rsidR="00DE6DDC" w:rsidRDefault="00DE6DDC" w:rsidP="00A022D0">
      <w:pPr>
        <w:spacing w:after="0" w:line="240" w:lineRule="auto"/>
      </w:pPr>
      <w:r>
        <w:continuationSeparator/>
      </w:r>
    </w:p>
    <w:p w:rsidR="00DE6DDC" w:rsidRDefault="00DE6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C1" w:rsidRPr="00B64D9C" w:rsidRDefault="007E0AC1" w:rsidP="002C1E48">
    <w:pPr>
      <w:tabs>
        <w:tab w:val="left" w:pos="3930"/>
      </w:tabs>
      <w:spacing w:after="0" w:line="240" w:lineRule="auto"/>
      <w:rPr>
        <w:sz w:val="16"/>
      </w:rPr>
    </w:pPr>
  </w:p>
  <w:p w:rsidR="007E0AC1" w:rsidRPr="000C6E52" w:rsidRDefault="007E0AC1" w:rsidP="002C1E48">
    <w:pPr>
      <w:tabs>
        <w:tab w:val="left" w:pos="3930"/>
      </w:tabs>
      <w:spacing w:after="0" w:line="240" w:lineRule="auto"/>
      <w:rPr>
        <w:sz w:val="20"/>
      </w:rPr>
    </w:pPr>
    <w:r>
      <w:rPr>
        <w:sz w:val="20"/>
      </w:rPr>
      <w:t>Early Childhood Education and Care in the ACT</w:t>
    </w:r>
  </w:p>
  <w:p w:rsidR="007E0AC1" w:rsidRDefault="007E0AC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85465">
      <w:rPr>
        <w:b/>
        <w:noProof/>
      </w:rPr>
      <w:t>58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85465">
      <w:rPr>
        <w:b/>
        <w:noProof/>
      </w:rPr>
      <w:t>58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C1" w:rsidRPr="000C6E52" w:rsidRDefault="007E0AC1" w:rsidP="00A078DC">
    <w:pPr>
      <w:tabs>
        <w:tab w:val="left" w:pos="3930"/>
      </w:tabs>
      <w:spacing w:after="0" w:line="240" w:lineRule="auto"/>
      <w:rPr>
        <w:sz w:val="20"/>
      </w:rPr>
    </w:pPr>
    <w:r>
      <w:rPr>
        <w:sz w:val="20"/>
      </w:rPr>
      <w:t>Early Childhood Education and Care in the ACT</w:t>
    </w:r>
  </w:p>
  <w:p w:rsidR="007E0AC1" w:rsidRPr="007807E8" w:rsidRDefault="007E0AC1" w:rsidP="00A078D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8546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85465">
      <w:rPr>
        <w:b/>
        <w:noProof/>
      </w:rPr>
      <w:t>58</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DC" w:rsidRDefault="00DE6DDC" w:rsidP="00A022D0">
      <w:pPr>
        <w:spacing w:after="0" w:line="240" w:lineRule="auto"/>
      </w:pPr>
      <w:r>
        <w:separator/>
      </w:r>
    </w:p>
  </w:footnote>
  <w:footnote w:type="continuationSeparator" w:id="0">
    <w:p w:rsidR="00DE6DDC" w:rsidRDefault="00DE6DDC" w:rsidP="00A022D0">
      <w:pPr>
        <w:spacing w:after="0" w:line="240" w:lineRule="auto"/>
      </w:pPr>
      <w:r>
        <w:continuationSeparator/>
      </w:r>
    </w:p>
    <w:p w:rsidR="00DE6DDC" w:rsidRDefault="00DE6DDC"/>
  </w:footnote>
  <w:footnote w:id="1">
    <w:p w:rsidR="007E0AC1" w:rsidRDefault="007E0AC1">
      <w:pPr>
        <w:pStyle w:val="FootnoteText"/>
      </w:pPr>
      <w:r>
        <w:rPr>
          <w:rStyle w:val="FootnoteReference"/>
        </w:rPr>
        <w:footnoteRef/>
      </w:r>
      <w:r>
        <w:t xml:space="preserve"> </w:t>
      </w:r>
      <w:r w:rsidRPr="00893E4A">
        <w:t>Moore, T.G. and McDonald, M. (2013).</w:t>
      </w:r>
      <w:r w:rsidRPr="00893E4A">
        <w:rPr>
          <w:i/>
        </w:rPr>
        <w:t xml:space="preserve"> Acting Early, Changing Lives. </w:t>
      </w:r>
      <w:r w:rsidRPr="00893E4A">
        <w:t>Prepared for The Benevolent Society. Parkville, Victoria</w:t>
      </w:r>
    </w:p>
  </w:footnote>
  <w:footnote w:id="2">
    <w:p w:rsidR="007E0AC1" w:rsidRDefault="007E0AC1">
      <w:pPr>
        <w:pStyle w:val="FootnoteText"/>
      </w:pPr>
      <w:r>
        <w:rPr>
          <w:rStyle w:val="FootnoteReference"/>
        </w:rPr>
        <w:footnoteRef/>
      </w:r>
      <w:r>
        <w:t xml:space="preserve"> </w:t>
      </w:r>
      <w:r w:rsidRPr="00A67656">
        <w:t xml:space="preserve">Heckman, J. (2011). The Economics of Inequality: The Value of Early Childhood Education. </w:t>
      </w:r>
      <w:r w:rsidRPr="00A67656">
        <w:rPr>
          <w:i/>
        </w:rPr>
        <w:t>American Educator</w:t>
      </w:r>
      <w:r w:rsidRPr="00A67656">
        <w:t>.</w:t>
      </w:r>
    </w:p>
  </w:footnote>
  <w:footnote w:id="3">
    <w:p w:rsidR="007E0AC1" w:rsidRDefault="007E0AC1" w:rsidP="00547E85">
      <w:pPr>
        <w:pStyle w:val="FootnoteText"/>
      </w:pPr>
      <w:r>
        <w:rPr>
          <w:rStyle w:val="FootnoteReference"/>
        </w:rPr>
        <w:footnoteRef/>
      </w:r>
      <w:r>
        <w:t xml:space="preserve"> Source – ACT Education Directorate administrative data</w:t>
      </w:r>
    </w:p>
  </w:footnote>
  <w:footnote w:id="4">
    <w:p w:rsidR="007E0AC1" w:rsidRDefault="007E0AC1" w:rsidP="001A10FE">
      <w:pPr>
        <w:pStyle w:val="FootnoteText"/>
      </w:pPr>
      <w:r>
        <w:rPr>
          <w:rStyle w:val="FootnoteReference"/>
        </w:rPr>
        <w:footnoteRef/>
      </w:r>
      <w:r>
        <w:t xml:space="preserve"> ACT Government Children and Young People’s Commitment 2015-2025</w:t>
      </w:r>
    </w:p>
  </w:footnote>
  <w:footnote w:id="5">
    <w:p w:rsidR="007E0AC1" w:rsidRDefault="007E0AC1">
      <w:pPr>
        <w:pStyle w:val="FootnoteText"/>
      </w:pPr>
      <w:r>
        <w:rPr>
          <w:rStyle w:val="FootnoteReference"/>
        </w:rPr>
        <w:footnoteRef/>
      </w:r>
      <w:r>
        <w:t xml:space="preserve"> All prices are based on access by a single child over a week of no less than 45 hours</w:t>
      </w:r>
    </w:p>
  </w:footnote>
  <w:footnote w:id="6">
    <w:p w:rsidR="007E0AC1" w:rsidRDefault="007E0AC1" w:rsidP="00D20D37">
      <w:pPr>
        <w:pStyle w:val="FootnoteText"/>
      </w:pPr>
      <w:r>
        <w:rPr>
          <w:rStyle w:val="FootnoteReference"/>
        </w:rPr>
        <w:footnoteRef/>
      </w:r>
      <w:r>
        <w:t xml:space="preserve"> Australian Bureau of Statistics - 6202.0 - Labour Force, Australia, Released May 2016 </w:t>
      </w:r>
    </w:p>
  </w:footnote>
  <w:footnote w:id="7">
    <w:p w:rsidR="007E0AC1" w:rsidRDefault="007E0AC1">
      <w:pPr>
        <w:pStyle w:val="FootnoteText"/>
      </w:pPr>
      <w:r>
        <w:rPr>
          <w:rStyle w:val="FootnoteReference"/>
        </w:rPr>
        <w:footnoteRef/>
      </w:r>
      <w:r>
        <w:t xml:space="preserve"> Early childhood and Child Care in Summary June Quarter 2015 – Australian Government Department of Education and Training</w:t>
      </w:r>
    </w:p>
  </w:footnote>
  <w:footnote w:id="8">
    <w:p w:rsidR="007E0AC1" w:rsidRDefault="007E0AC1">
      <w:pPr>
        <w:pStyle w:val="FootnoteText"/>
      </w:pPr>
      <w:r>
        <w:rPr>
          <w:rStyle w:val="FootnoteReference"/>
        </w:rPr>
        <w:footnoteRef/>
      </w:r>
      <w:r>
        <w:t xml:space="preserve"> </w:t>
      </w:r>
      <w:r w:rsidRPr="00E97C84">
        <w:rPr>
          <w:i/>
        </w:rPr>
        <w:t>Marginalised Australians: Characteristics and Predictors of Exit over Ten Years 2001-2010</w:t>
      </w:r>
    </w:p>
  </w:footnote>
  <w:footnote w:id="9">
    <w:p w:rsidR="007E0AC1" w:rsidRDefault="007E0AC1">
      <w:pPr>
        <w:pStyle w:val="FootnoteText"/>
      </w:pPr>
      <w:r>
        <w:rPr>
          <w:rStyle w:val="FootnoteReference"/>
        </w:rPr>
        <w:footnoteRef/>
      </w:r>
      <w:r>
        <w:t xml:space="preserve"> All cost data and assumptions in this Review are on the basis of a single child.</w:t>
      </w:r>
    </w:p>
  </w:footnote>
  <w:footnote w:id="10">
    <w:p w:rsidR="007E0AC1" w:rsidRDefault="007E0AC1">
      <w:pPr>
        <w:pStyle w:val="FootnoteText"/>
      </w:pPr>
      <w:r>
        <w:rPr>
          <w:rStyle w:val="FootnoteReference"/>
        </w:rPr>
        <w:footnoteRef/>
      </w:r>
      <w:r>
        <w:t xml:space="preserve"> National cost figures, including for the ACT, are not available for 2016. This Review has calculated a 2016 cost from information available from service providers in the ACT.</w:t>
      </w:r>
    </w:p>
  </w:footnote>
  <w:footnote w:id="11">
    <w:p w:rsidR="007E0AC1" w:rsidRDefault="007E0AC1" w:rsidP="005D52E4">
      <w:pPr>
        <w:pStyle w:val="FootnoteText"/>
      </w:pPr>
      <w:r>
        <w:rPr>
          <w:rStyle w:val="FootnoteReference"/>
        </w:rPr>
        <w:footnoteRef/>
      </w:r>
      <w:r>
        <w:t xml:space="preserve"> Table 3A.39 of ROGS Report.</w:t>
      </w:r>
    </w:p>
  </w:footnote>
  <w:footnote w:id="12">
    <w:p w:rsidR="007E0AC1" w:rsidRDefault="007E0AC1">
      <w:pPr>
        <w:pStyle w:val="FootnoteText"/>
      </w:pPr>
      <w:r>
        <w:rPr>
          <w:rStyle w:val="FootnoteReference"/>
        </w:rPr>
        <w:footnoteRef/>
      </w:r>
      <w:r>
        <w:t xml:space="preserve"> </w:t>
      </w:r>
      <w:r w:rsidRPr="006D78B9">
        <w:t>ABS Wageprice Index cat. 6345</w:t>
      </w:r>
      <w:r>
        <w:t xml:space="preserve"> Various tables</w:t>
      </w:r>
    </w:p>
  </w:footnote>
  <w:footnote w:id="13">
    <w:p w:rsidR="007E0AC1" w:rsidRDefault="007E0AC1">
      <w:pPr>
        <w:pStyle w:val="FootnoteText"/>
      </w:pPr>
      <w:r>
        <w:rPr>
          <w:rStyle w:val="FootnoteReference"/>
        </w:rPr>
        <w:footnoteRef/>
      </w:r>
      <w:r>
        <w:t xml:space="preserve"> Calculations undertaken on behalf of the Review by ACT Treasury</w:t>
      </w:r>
    </w:p>
  </w:footnote>
  <w:footnote w:id="14">
    <w:p w:rsidR="007E0AC1" w:rsidRPr="008E311C" w:rsidRDefault="007E0AC1" w:rsidP="00C25F82">
      <w:pPr>
        <w:pStyle w:val="FootnoteText"/>
        <w:rPr>
          <w:lang w:val="en-US"/>
        </w:rPr>
      </w:pPr>
      <w:r>
        <w:rPr>
          <w:rStyle w:val="FootnoteReference"/>
        </w:rPr>
        <w:footnoteRef/>
      </w:r>
      <w:r>
        <w:t xml:space="preserve"> </w:t>
      </w:r>
      <w:r>
        <w:rPr>
          <w:lang w:val="en-US"/>
        </w:rPr>
        <w:t xml:space="preserve">Mean disposable income is derived from the Australian Bureau of Statistics publication </w:t>
      </w:r>
      <w:r w:rsidRPr="00397B95">
        <w:rPr>
          <w:lang w:val="en-US"/>
        </w:rPr>
        <w:t xml:space="preserve">6523.0 Household Income and Wealth, Australia, 2013–14 </w:t>
      </w:r>
      <w:r>
        <w:rPr>
          <w:lang w:val="en-US"/>
        </w:rPr>
        <w:t>Released September 2015</w:t>
      </w:r>
    </w:p>
  </w:footnote>
  <w:footnote w:id="15">
    <w:p w:rsidR="007E0AC1" w:rsidRDefault="007E0AC1" w:rsidP="005237D6">
      <w:pPr>
        <w:pStyle w:val="FootnoteText"/>
      </w:pPr>
      <w:r>
        <w:rPr>
          <w:rStyle w:val="FootnoteReference"/>
        </w:rPr>
        <w:footnoteRef/>
      </w:r>
      <w:r>
        <w:t xml:space="preserve"> </w:t>
      </w:r>
      <w:r w:rsidRPr="006D78B9">
        <w:t>ABS Wageprice Index cat. 6345</w:t>
      </w:r>
      <w:r>
        <w:t xml:space="preserve"> Table 3a.</w:t>
      </w:r>
    </w:p>
  </w:footnote>
  <w:footnote w:id="16">
    <w:p w:rsidR="007E0AC1" w:rsidRDefault="007E0AC1" w:rsidP="008D29D4">
      <w:pPr>
        <w:pStyle w:val="FootnoteText"/>
      </w:pPr>
      <w:r>
        <w:rPr>
          <w:rStyle w:val="FootnoteReference"/>
        </w:rPr>
        <w:footnoteRef/>
      </w:r>
      <w:r>
        <w:t xml:space="preserve"> Excerpt adapted from </w:t>
      </w:r>
      <w:r w:rsidRPr="00B21C56">
        <w:t>Table 3A.45</w:t>
      </w:r>
      <w:r>
        <w:t xml:space="preserve"> of 2016 ROGS Report</w:t>
      </w:r>
    </w:p>
  </w:footnote>
  <w:footnote w:id="17">
    <w:p w:rsidR="007E0AC1" w:rsidRDefault="007E0AC1" w:rsidP="008D29D4">
      <w:pPr>
        <w:pStyle w:val="FootnoteText"/>
      </w:pPr>
      <w:r>
        <w:rPr>
          <w:rStyle w:val="FootnoteReference"/>
        </w:rPr>
        <w:footnoteRef/>
      </w:r>
      <w:r>
        <w:t xml:space="preserve"> Source: ACT Long Service Leave Authority</w:t>
      </w:r>
    </w:p>
  </w:footnote>
  <w:footnote w:id="18">
    <w:p w:rsidR="007E0AC1" w:rsidRPr="00BC2F52" w:rsidRDefault="007E0AC1" w:rsidP="008D29D4">
      <w:pPr>
        <w:pStyle w:val="FootnoteText"/>
        <w:rPr>
          <w:lang w:val="en-US"/>
        </w:rPr>
      </w:pPr>
      <w:r>
        <w:rPr>
          <w:rStyle w:val="FootnoteReference"/>
        </w:rPr>
        <w:footnoteRef/>
      </w:r>
      <w:r>
        <w:t xml:space="preserve"> </w:t>
      </w:r>
      <w:r>
        <w:rPr>
          <w:lang w:val="en-US"/>
        </w:rPr>
        <w:t>Industry level data provided by the ACT Long Service Leave Authority</w:t>
      </w:r>
    </w:p>
  </w:footnote>
  <w:footnote w:id="19">
    <w:p w:rsidR="007E0AC1" w:rsidRDefault="007E0AC1" w:rsidP="00F315E7">
      <w:pPr>
        <w:pStyle w:val="FootnoteText"/>
      </w:pPr>
      <w:r>
        <w:rPr>
          <w:rStyle w:val="FootnoteReference"/>
        </w:rPr>
        <w:footnoteRef/>
      </w:r>
      <w:r>
        <w:t xml:space="preserve"> Value of community rent represented by peppercorn leases provided by ACT Property Group</w:t>
      </w:r>
    </w:p>
  </w:footnote>
  <w:footnote w:id="20">
    <w:p w:rsidR="007E0AC1" w:rsidRDefault="007E0AC1">
      <w:pPr>
        <w:pStyle w:val="FootnoteText"/>
      </w:pPr>
      <w:r>
        <w:rPr>
          <w:rStyle w:val="FootnoteReference"/>
        </w:rPr>
        <w:footnoteRef/>
      </w:r>
      <w:r>
        <w:t xml:space="preserve"> Average salary figures for 2015 provided by the ACT Long Service Leave Authority</w:t>
      </w:r>
    </w:p>
  </w:footnote>
  <w:footnote w:id="21">
    <w:p w:rsidR="007E0AC1" w:rsidRDefault="007E0AC1" w:rsidP="00F315E7">
      <w:pPr>
        <w:pStyle w:val="FootnoteText"/>
      </w:pPr>
      <w:r>
        <w:rPr>
          <w:rStyle w:val="FootnoteReference"/>
        </w:rPr>
        <w:footnoteRef/>
      </w:r>
      <w:r>
        <w:t xml:space="preserve"> </w:t>
      </w:r>
      <w:r w:rsidRPr="009C5EBE">
        <w:rPr>
          <w:rFonts w:eastAsia="Times New Roman"/>
          <w:color w:val="000000"/>
          <w:sz w:val="18"/>
          <w:szCs w:val="18"/>
          <w:lang w:eastAsia="en-AU"/>
        </w:rPr>
        <w:t>Table 3A.19 of ROGS Report 2016.</w:t>
      </w:r>
    </w:p>
  </w:footnote>
  <w:footnote w:id="22">
    <w:p w:rsidR="007E0AC1" w:rsidRDefault="007E0AC1">
      <w:pPr>
        <w:pStyle w:val="FootnoteText"/>
      </w:pPr>
      <w:r>
        <w:rPr>
          <w:rStyle w:val="FootnoteReference"/>
        </w:rPr>
        <w:footnoteRef/>
      </w:r>
      <w:r>
        <w:t xml:space="preserve"> </w:t>
      </w:r>
      <w:r w:rsidRPr="008D29D4">
        <w:rPr>
          <w:rFonts w:eastAsia="Times New Roman"/>
          <w:color w:val="000000"/>
          <w:sz w:val="18"/>
          <w:szCs w:val="18"/>
          <w:lang w:eastAsia="en-AU"/>
        </w:rPr>
        <w:t>3101.0 Australian Demographic Statistics Table 58. Estimated Resident Population by Single Year Of Age, Australian Capital Territory</w:t>
      </w:r>
    </w:p>
  </w:footnote>
  <w:footnote w:id="23">
    <w:p w:rsidR="007E0AC1" w:rsidRPr="003D0953" w:rsidRDefault="007E0AC1" w:rsidP="005435FB">
      <w:pPr>
        <w:pStyle w:val="FootnoteText"/>
        <w:rPr>
          <w:lang w:val="en-US"/>
        </w:rPr>
      </w:pPr>
      <w:r>
        <w:rPr>
          <w:rStyle w:val="FootnoteReference"/>
        </w:rPr>
        <w:footnoteRef/>
      </w:r>
      <w:r>
        <w:t xml:space="preserve"> </w:t>
      </w:r>
      <w:r w:rsidRPr="003D0953">
        <w:t>These figures do not add up to 100% due to the num</w:t>
      </w:r>
      <w:r>
        <w:t>bers of cross border enrolments</w:t>
      </w:r>
    </w:p>
  </w:footnote>
  <w:footnote w:id="24">
    <w:p w:rsidR="007E0AC1" w:rsidRDefault="007E0AC1" w:rsidP="00B67E44">
      <w:pPr>
        <w:pStyle w:val="FootnoteText"/>
      </w:pPr>
      <w:r>
        <w:rPr>
          <w:rStyle w:val="FootnoteReference"/>
        </w:rPr>
        <w:footnoteRef/>
      </w:r>
      <w:r>
        <w:t xml:space="preserve"> Early Childhood and Child Care in Summary – June Quarter 2015 </w:t>
      </w:r>
      <w:r w:rsidRPr="00AF2989">
        <w:rPr>
          <w:sz w:val="16"/>
          <w:szCs w:val="16"/>
        </w:rPr>
        <w:t xml:space="preserve">Source: Department of </w:t>
      </w:r>
      <w:r>
        <w:rPr>
          <w:sz w:val="16"/>
          <w:szCs w:val="16"/>
        </w:rPr>
        <w:t>Education and Training</w:t>
      </w:r>
      <w:r w:rsidRPr="00AF2989">
        <w:rPr>
          <w:sz w:val="16"/>
          <w:szCs w:val="16"/>
        </w:rPr>
        <w:t xml:space="preserve"> administrative data</w:t>
      </w:r>
    </w:p>
  </w:footnote>
  <w:footnote w:id="25">
    <w:p w:rsidR="007E0AC1" w:rsidRPr="00EA7A64" w:rsidRDefault="007E0AC1">
      <w:pPr>
        <w:pStyle w:val="FootnoteText"/>
        <w:rPr>
          <w:lang w:val="en-US"/>
        </w:rPr>
      </w:pPr>
      <w:r>
        <w:rPr>
          <w:rStyle w:val="FootnoteReference"/>
        </w:rPr>
        <w:footnoteRef/>
      </w:r>
      <w:r>
        <w:t xml:space="preserve"> </w:t>
      </w:r>
      <w:r w:rsidRPr="00EA7A64">
        <w:rPr>
          <w:sz w:val="18"/>
          <w:szCs w:val="18"/>
        </w:rPr>
        <w:t>As children may use more than one service type in more than one state or territory in any particular quarter and due to rounding, the sum of the component parts may not equal the Total</w:t>
      </w:r>
    </w:p>
  </w:footnote>
  <w:footnote w:id="26">
    <w:p w:rsidR="007E0AC1" w:rsidRPr="00D459F6" w:rsidRDefault="007E0AC1">
      <w:pPr>
        <w:pStyle w:val="FootnoteText"/>
        <w:rPr>
          <w:lang w:val="en-US"/>
        </w:rPr>
      </w:pPr>
      <w:r>
        <w:rPr>
          <w:rStyle w:val="FootnoteReference"/>
        </w:rPr>
        <w:footnoteRef/>
      </w:r>
      <w:r>
        <w:t xml:space="preserve"> </w:t>
      </w:r>
      <w:r w:rsidRPr="00900413">
        <w:rPr>
          <w:sz w:val="18"/>
          <w:szCs w:val="18"/>
        </w:rPr>
        <w:t>Early Childhood and Child Care in Summary – June Quarter 2015 Source: Department of Education and Training administrative data</w:t>
      </w:r>
    </w:p>
  </w:footnote>
  <w:footnote w:id="27">
    <w:p w:rsidR="007E0AC1" w:rsidRPr="00D459F6" w:rsidRDefault="007E0AC1">
      <w:pPr>
        <w:pStyle w:val="FootnoteText"/>
        <w:rPr>
          <w:lang w:val="en-US"/>
        </w:rPr>
      </w:pPr>
      <w:r>
        <w:rPr>
          <w:rStyle w:val="FootnoteReference"/>
        </w:rPr>
        <w:footnoteRef/>
      </w:r>
      <w:r>
        <w:t xml:space="preserve"> </w:t>
      </w:r>
      <w:r>
        <w:rPr>
          <w:rFonts w:eastAsia="Times New Roman"/>
          <w:color w:val="000000"/>
          <w:sz w:val="18"/>
          <w:szCs w:val="18"/>
          <w:lang w:eastAsia="en-AU"/>
        </w:rPr>
        <w:t xml:space="preserve">ABS Publication </w:t>
      </w:r>
      <w:r w:rsidRPr="008D29D4">
        <w:rPr>
          <w:rFonts w:eastAsia="Times New Roman"/>
          <w:color w:val="000000"/>
          <w:sz w:val="18"/>
          <w:szCs w:val="18"/>
          <w:lang w:eastAsia="en-AU"/>
        </w:rPr>
        <w:t xml:space="preserve">3101.0 Australian Demographic Statistics Table 58. Estimated Resident Population </w:t>
      </w:r>
      <w:r>
        <w:rPr>
          <w:rFonts w:eastAsia="Times New Roman"/>
          <w:color w:val="000000"/>
          <w:sz w:val="18"/>
          <w:szCs w:val="18"/>
          <w:lang w:eastAsia="en-AU"/>
        </w:rPr>
        <w:t>ACT</w:t>
      </w:r>
    </w:p>
  </w:footnote>
  <w:footnote w:id="28">
    <w:p w:rsidR="007E0AC1" w:rsidRPr="00FA6F3D" w:rsidRDefault="007E0AC1">
      <w:pPr>
        <w:pStyle w:val="FootnoteText"/>
        <w:rPr>
          <w:lang w:val="en-US"/>
        </w:rPr>
      </w:pPr>
      <w:r>
        <w:rPr>
          <w:rStyle w:val="FootnoteReference"/>
        </w:rPr>
        <w:footnoteRef/>
      </w:r>
      <w:r>
        <w:t xml:space="preserve"> Marginalised Australians: Characteristics and Predictors of Exit over Ten Years 2001-2010</w:t>
      </w:r>
    </w:p>
  </w:footnote>
  <w:footnote w:id="29">
    <w:p w:rsidR="007E0AC1" w:rsidRDefault="007E0AC1" w:rsidP="000344A0">
      <w:pPr>
        <w:pStyle w:val="FootnoteText"/>
      </w:pPr>
      <w:r>
        <w:rPr>
          <w:rStyle w:val="FootnoteReference"/>
        </w:rPr>
        <w:footnoteRef/>
      </w:r>
      <w:r>
        <w:t xml:space="preserve"> Information provided by the Long Service Leave Authority</w:t>
      </w:r>
    </w:p>
  </w:footnote>
  <w:footnote w:id="30">
    <w:p w:rsidR="007E0AC1" w:rsidRDefault="007E0AC1">
      <w:pPr>
        <w:pStyle w:val="FootnoteText"/>
      </w:pPr>
      <w:r>
        <w:rPr>
          <w:rStyle w:val="FootnoteReference"/>
        </w:rPr>
        <w:footnoteRef/>
      </w:r>
      <w:r>
        <w:t xml:space="preserve"> </w:t>
      </w:r>
      <w:r>
        <w:rPr>
          <w:sz w:val="18"/>
          <w:szCs w:val="18"/>
        </w:rPr>
        <w:t>Data provided by the Long Service Leave Authority</w:t>
      </w:r>
    </w:p>
  </w:footnote>
  <w:footnote w:id="31">
    <w:p w:rsidR="007E0AC1" w:rsidRPr="00636D2C" w:rsidRDefault="007E0AC1">
      <w:pPr>
        <w:pStyle w:val="FootnoteText"/>
        <w:rPr>
          <w:lang w:val="en-US"/>
        </w:rPr>
      </w:pPr>
      <w:r>
        <w:rPr>
          <w:rStyle w:val="FootnoteReference"/>
        </w:rPr>
        <w:footnoteRef/>
      </w:r>
      <w:r>
        <w:t xml:space="preserve"> </w:t>
      </w:r>
      <w:r>
        <w:rPr>
          <w:sz w:val="18"/>
          <w:szCs w:val="18"/>
        </w:rPr>
        <w:t>Data provided by the Long Service Leave Authority</w:t>
      </w:r>
    </w:p>
  </w:footnote>
  <w:footnote w:id="32">
    <w:p w:rsidR="007E0AC1" w:rsidRDefault="007E0AC1">
      <w:pPr>
        <w:pStyle w:val="FootnoteText"/>
      </w:pPr>
      <w:r>
        <w:rPr>
          <w:rStyle w:val="FootnoteReference"/>
        </w:rPr>
        <w:footnoteRef/>
      </w:r>
      <w:r>
        <w:t xml:space="preserve"> </w:t>
      </w:r>
      <w:r>
        <w:rPr>
          <w:sz w:val="18"/>
          <w:szCs w:val="18"/>
        </w:rPr>
        <w:t>Data provided by the Long Service Leave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C1" w:rsidRDefault="00485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6536" o:spid="_x0000_s2049" type="#_x0000_t136" style="position:absolute;margin-left:0;margin-top:0;width:540.85pt;height:95.4pt;rotation:315;z-index:-251658752;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872"/>
    <w:multiLevelType w:val="multilevel"/>
    <w:tmpl w:val="82C66F3C"/>
    <w:styleLink w:val="PolicyNumbering-Accessible"/>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sz w:val="24"/>
      </w:rPr>
    </w:lvl>
    <w:lvl w:ilvl="2">
      <w:start w:val="1"/>
      <w:numFmt w:val="decimal"/>
      <w:pStyle w:val="PolicyHeading4-Accessible"/>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15:restartNumberingAfterBreak="0">
    <w:nsid w:val="0B7B1238"/>
    <w:multiLevelType w:val="hybridMultilevel"/>
    <w:tmpl w:val="4B9AA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95F65"/>
    <w:multiLevelType w:val="multilevel"/>
    <w:tmpl w:val="C444122C"/>
    <w:lvl w:ilvl="0">
      <w:start w:val="1"/>
      <w:numFmt w:val="decimal"/>
      <w:pStyle w:val="ListNumber"/>
      <w:lvlText w:val="%1."/>
      <w:lvlJc w:val="left"/>
      <w:pPr>
        <w:tabs>
          <w:tab w:val="num" w:pos="340"/>
        </w:tabs>
        <w:ind w:left="340" w:hanging="340"/>
      </w:pPr>
    </w:lvl>
    <w:lvl w:ilvl="1">
      <w:start w:val="1"/>
      <w:numFmt w:val="lowerLetter"/>
      <w:pStyle w:val="ListNumber2"/>
      <w:lvlText w:val="(%2)"/>
      <w:lvlJc w:val="left"/>
      <w:pPr>
        <w:tabs>
          <w:tab w:val="num" w:pos="7258"/>
        </w:tabs>
        <w:ind w:left="7258" w:hanging="454"/>
      </w:pPr>
    </w:lvl>
    <w:lvl w:ilvl="2">
      <w:start w:val="1"/>
      <w:numFmt w:val="lowerRoman"/>
      <w:pStyle w:val="ListNumber3"/>
      <w:lvlText w:val="(%3)"/>
      <w:lvlJc w:val="left"/>
      <w:pPr>
        <w:tabs>
          <w:tab w:val="num" w:pos="1304"/>
        </w:tabs>
        <w:ind w:left="1304"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034090"/>
    <w:multiLevelType w:val="hybridMultilevel"/>
    <w:tmpl w:val="1EA4F24E"/>
    <w:lvl w:ilvl="0" w:tplc="474ED47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0070C4"/>
    <w:multiLevelType w:val="hybridMultilevel"/>
    <w:tmpl w:val="C9BA8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3C73BA"/>
    <w:multiLevelType w:val="hybridMultilevel"/>
    <w:tmpl w:val="1902E0DC"/>
    <w:lvl w:ilvl="0" w:tplc="474ED47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70622D"/>
    <w:multiLevelType w:val="hybridMultilevel"/>
    <w:tmpl w:val="1BC01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285A52"/>
    <w:multiLevelType w:val="multilevel"/>
    <w:tmpl w:val="AECAE9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lvl w:ilvl="0">
        <w:start w:val="1"/>
        <w:numFmt w:val="decimal"/>
        <w:pStyle w:val="PolicyHeading2-Accessible"/>
        <w:lvlText w:val="%1."/>
        <w:lvlJc w:val="left"/>
        <w:pPr>
          <w:tabs>
            <w:tab w:val="num" w:pos="7226"/>
          </w:tabs>
          <w:ind w:left="6659"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Policy-BodyText"/>
        <w:lvlText w:val="%1.%2."/>
        <w:lvlJc w:val="left"/>
        <w:pPr>
          <w:tabs>
            <w:tab w:val="num" w:pos="563"/>
          </w:tabs>
          <w:ind w:left="-4"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PolicyHeading4-Accessible"/>
        <w:lvlText w:val="%1.%2.%3."/>
        <w:lvlJc w:val="left"/>
        <w:pPr>
          <w:tabs>
            <w:tab w:val="num" w:pos="676"/>
          </w:tabs>
          <w:ind w:left="-4"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7"/>
  </w:num>
  <w:num w:numId="7">
    <w:abstractNumId w:val="5"/>
  </w:num>
  <w:num w:numId="8">
    <w:abstractNumId w:val="1"/>
  </w:num>
  <w:num w:numId="9">
    <w:abstractNumId w:val="3"/>
  </w:num>
  <w:num w:numId="10">
    <w:abstractNumId w:val="0"/>
    <w:lvlOverride w:ilvl="0">
      <w:lvl w:ilvl="0">
        <w:start w:val="1"/>
        <w:numFmt w:val="decimal"/>
        <w:pStyle w:val="PolicyHeading2-Accessible"/>
        <w:lvlText w:val="%1."/>
        <w:lvlJc w:val="left"/>
        <w:pPr>
          <w:tabs>
            <w:tab w:val="num" w:pos="567"/>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D0"/>
    <w:rsid w:val="00000113"/>
    <w:rsid w:val="00000854"/>
    <w:rsid w:val="00000D61"/>
    <w:rsid w:val="00000DAE"/>
    <w:rsid w:val="00000E42"/>
    <w:rsid w:val="00002381"/>
    <w:rsid w:val="000025A4"/>
    <w:rsid w:val="00002D3A"/>
    <w:rsid w:val="000045FE"/>
    <w:rsid w:val="000053D0"/>
    <w:rsid w:val="000055C1"/>
    <w:rsid w:val="000055D1"/>
    <w:rsid w:val="00005618"/>
    <w:rsid w:val="00005F15"/>
    <w:rsid w:val="00006796"/>
    <w:rsid w:val="00006F89"/>
    <w:rsid w:val="0001017B"/>
    <w:rsid w:val="00010C91"/>
    <w:rsid w:val="00010F8B"/>
    <w:rsid w:val="0001115E"/>
    <w:rsid w:val="00011645"/>
    <w:rsid w:val="00011D24"/>
    <w:rsid w:val="00012281"/>
    <w:rsid w:val="00012455"/>
    <w:rsid w:val="00012F88"/>
    <w:rsid w:val="000139B4"/>
    <w:rsid w:val="00013D01"/>
    <w:rsid w:val="00013F66"/>
    <w:rsid w:val="0001501E"/>
    <w:rsid w:val="0001636F"/>
    <w:rsid w:val="000165BC"/>
    <w:rsid w:val="000210F3"/>
    <w:rsid w:val="0002313E"/>
    <w:rsid w:val="0002480E"/>
    <w:rsid w:val="00025023"/>
    <w:rsid w:val="00025C6C"/>
    <w:rsid w:val="00026333"/>
    <w:rsid w:val="0002639F"/>
    <w:rsid w:val="00026A41"/>
    <w:rsid w:val="00026BE3"/>
    <w:rsid w:val="00027073"/>
    <w:rsid w:val="000271C4"/>
    <w:rsid w:val="00027369"/>
    <w:rsid w:val="0002763B"/>
    <w:rsid w:val="0003181C"/>
    <w:rsid w:val="00031FC8"/>
    <w:rsid w:val="00033190"/>
    <w:rsid w:val="000335DD"/>
    <w:rsid w:val="0003360F"/>
    <w:rsid w:val="00033D41"/>
    <w:rsid w:val="000344A0"/>
    <w:rsid w:val="00034596"/>
    <w:rsid w:val="0003498B"/>
    <w:rsid w:val="000357C3"/>
    <w:rsid w:val="00035F3A"/>
    <w:rsid w:val="00036D29"/>
    <w:rsid w:val="0004072B"/>
    <w:rsid w:val="0004084F"/>
    <w:rsid w:val="00040ACB"/>
    <w:rsid w:val="000414D1"/>
    <w:rsid w:val="000424A1"/>
    <w:rsid w:val="00042B63"/>
    <w:rsid w:val="00043173"/>
    <w:rsid w:val="0004407C"/>
    <w:rsid w:val="00044170"/>
    <w:rsid w:val="00045284"/>
    <w:rsid w:val="000454BF"/>
    <w:rsid w:val="000459C2"/>
    <w:rsid w:val="000466B9"/>
    <w:rsid w:val="0004762F"/>
    <w:rsid w:val="000476CD"/>
    <w:rsid w:val="0005019E"/>
    <w:rsid w:val="00051949"/>
    <w:rsid w:val="00051D94"/>
    <w:rsid w:val="00051DF2"/>
    <w:rsid w:val="000521A4"/>
    <w:rsid w:val="000524F5"/>
    <w:rsid w:val="00053050"/>
    <w:rsid w:val="00053126"/>
    <w:rsid w:val="000540FB"/>
    <w:rsid w:val="000567A3"/>
    <w:rsid w:val="00060204"/>
    <w:rsid w:val="0006077B"/>
    <w:rsid w:val="000609CA"/>
    <w:rsid w:val="00062E43"/>
    <w:rsid w:val="00062F7A"/>
    <w:rsid w:val="00063414"/>
    <w:rsid w:val="00063E38"/>
    <w:rsid w:val="00063E45"/>
    <w:rsid w:val="00064FDA"/>
    <w:rsid w:val="00065261"/>
    <w:rsid w:val="0006533A"/>
    <w:rsid w:val="00065DCE"/>
    <w:rsid w:val="00066120"/>
    <w:rsid w:val="000675BF"/>
    <w:rsid w:val="00067D6C"/>
    <w:rsid w:val="00070336"/>
    <w:rsid w:val="000708B9"/>
    <w:rsid w:val="00070B0C"/>
    <w:rsid w:val="00071350"/>
    <w:rsid w:val="00071BD3"/>
    <w:rsid w:val="000727FA"/>
    <w:rsid w:val="00072A63"/>
    <w:rsid w:val="00072DBA"/>
    <w:rsid w:val="000734BC"/>
    <w:rsid w:val="000738A8"/>
    <w:rsid w:val="00074495"/>
    <w:rsid w:val="00074BEE"/>
    <w:rsid w:val="000758D7"/>
    <w:rsid w:val="00076675"/>
    <w:rsid w:val="00076B69"/>
    <w:rsid w:val="00076F8E"/>
    <w:rsid w:val="00077863"/>
    <w:rsid w:val="00080483"/>
    <w:rsid w:val="00080BBD"/>
    <w:rsid w:val="00082300"/>
    <w:rsid w:val="00082386"/>
    <w:rsid w:val="00082899"/>
    <w:rsid w:val="00082990"/>
    <w:rsid w:val="00082C40"/>
    <w:rsid w:val="00084DF0"/>
    <w:rsid w:val="00085385"/>
    <w:rsid w:val="00085DB3"/>
    <w:rsid w:val="00085F67"/>
    <w:rsid w:val="00086C3D"/>
    <w:rsid w:val="0008700F"/>
    <w:rsid w:val="0008776F"/>
    <w:rsid w:val="00087916"/>
    <w:rsid w:val="00087D72"/>
    <w:rsid w:val="000909E5"/>
    <w:rsid w:val="00090DE0"/>
    <w:rsid w:val="000917EF"/>
    <w:rsid w:val="00091A28"/>
    <w:rsid w:val="0009277F"/>
    <w:rsid w:val="00093141"/>
    <w:rsid w:val="00093C17"/>
    <w:rsid w:val="0009521A"/>
    <w:rsid w:val="000959B5"/>
    <w:rsid w:val="00096116"/>
    <w:rsid w:val="00096422"/>
    <w:rsid w:val="000A010B"/>
    <w:rsid w:val="000A1793"/>
    <w:rsid w:val="000A1BF3"/>
    <w:rsid w:val="000A1D88"/>
    <w:rsid w:val="000A20D4"/>
    <w:rsid w:val="000A22AC"/>
    <w:rsid w:val="000A4F6A"/>
    <w:rsid w:val="000A58DC"/>
    <w:rsid w:val="000A597E"/>
    <w:rsid w:val="000A5C37"/>
    <w:rsid w:val="000A5EAB"/>
    <w:rsid w:val="000A69F9"/>
    <w:rsid w:val="000A6B3A"/>
    <w:rsid w:val="000A7CA1"/>
    <w:rsid w:val="000A7E5A"/>
    <w:rsid w:val="000B0917"/>
    <w:rsid w:val="000B0C87"/>
    <w:rsid w:val="000B0D38"/>
    <w:rsid w:val="000B1147"/>
    <w:rsid w:val="000B1B42"/>
    <w:rsid w:val="000B1C14"/>
    <w:rsid w:val="000B2350"/>
    <w:rsid w:val="000B3E56"/>
    <w:rsid w:val="000B54EA"/>
    <w:rsid w:val="000B5629"/>
    <w:rsid w:val="000B57F0"/>
    <w:rsid w:val="000B5EC2"/>
    <w:rsid w:val="000B658B"/>
    <w:rsid w:val="000C0635"/>
    <w:rsid w:val="000C08A8"/>
    <w:rsid w:val="000C1E3D"/>
    <w:rsid w:val="000C2D93"/>
    <w:rsid w:val="000C3025"/>
    <w:rsid w:val="000C382C"/>
    <w:rsid w:val="000C4E4C"/>
    <w:rsid w:val="000C6E52"/>
    <w:rsid w:val="000D0533"/>
    <w:rsid w:val="000D1B60"/>
    <w:rsid w:val="000D2739"/>
    <w:rsid w:val="000D291E"/>
    <w:rsid w:val="000D2FAB"/>
    <w:rsid w:val="000D3D19"/>
    <w:rsid w:val="000D4A6F"/>
    <w:rsid w:val="000D4D89"/>
    <w:rsid w:val="000D4EA6"/>
    <w:rsid w:val="000D58FB"/>
    <w:rsid w:val="000D59FC"/>
    <w:rsid w:val="000D62F0"/>
    <w:rsid w:val="000D6BC7"/>
    <w:rsid w:val="000D7AEF"/>
    <w:rsid w:val="000D7B5C"/>
    <w:rsid w:val="000E0C94"/>
    <w:rsid w:val="000E1876"/>
    <w:rsid w:val="000E1BB3"/>
    <w:rsid w:val="000E3681"/>
    <w:rsid w:val="000E44EA"/>
    <w:rsid w:val="000E4A1A"/>
    <w:rsid w:val="000E500E"/>
    <w:rsid w:val="000E514F"/>
    <w:rsid w:val="000E54CF"/>
    <w:rsid w:val="000E5DFF"/>
    <w:rsid w:val="000E7272"/>
    <w:rsid w:val="000E7F3F"/>
    <w:rsid w:val="000F013A"/>
    <w:rsid w:val="000F1F2A"/>
    <w:rsid w:val="000F2269"/>
    <w:rsid w:val="000F4072"/>
    <w:rsid w:val="000F56F1"/>
    <w:rsid w:val="000F69A7"/>
    <w:rsid w:val="000F6D1C"/>
    <w:rsid w:val="000F6ECE"/>
    <w:rsid w:val="000F7583"/>
    <w:rsid w:val="000F75C7"/>
    <w:rsid w:val="000F76F3"/>
    <w:rsid w:val="000F7733"/>
    <w:rsid w:val="000F7B56"/>
    <w:rsid w:val="000F7BB5"/>
    <w:rsid w:val="00101273"/>
    <w:rsid w:val="00102AC3"/>
    <w:rsid w:val="00102EB0"/>
    <w:rsid w:val="0010322A"/>
    <w:rsid w:val="00103A36"/>
    <w:rsid w:val="00104CAD"/>
    <w:rsid w:val="00104D2C"/>
    <w:rsid w:val="00104EF9"/>
    <w:rsid w:val="001057A2"/>
    <w:rsid w:val="00105939"/>
    <w:rsid w:val="001059D6"/>
    <w:rsid w:val="00106083"/>
    <w:rsid w:val="00106180"/>
    <w:rsid w:val="00106592"/>
    <w:rsid w:val="00106F86"/>
    <w:rsid w:val="001071C0"/>
    <w:rsid w:val="00107404"/>
    <w:rsid w:val="0011126D"/>
    <w:rsid w:val="0011170A"/>
    <w:rsid w:val="00111D3A"/>
    <w:rsid w:val="00112193"/>
    <w:rsid w:val="0011305C"/>
    <w:rsid w:val="001135FA"/>
    <w:rsid w:val="001139DE"/>
    <w:rsid w:val="00113A48"/>
    <w:rsid w:val="001159A0"/>
    <w:rsid w:val="00116813"/>
    <w:rsid w:val="00117542"/>
    <w:rsid w:val="001177B8"/>
    <w:rsid w:val="00121484"/>
    <w:rsid w:val="001227FC"/>
    <w:rsid w:val="001229FE"/>
    <w:rsid w:val="00122CA8"/>
    <w:rsid w:val="001239DD"/>
    <w:rsid w:val="001241F7"/>
    <w:rsid w:val="00124838"/>
    <w:rsid w:val="001257CE"/>
    <w:rsid w:val="00125998"/>
    <w:rsid w:val="00126109"/>
    <w:rsid w:val="00126B69"/>
    <w:rsid w:val="00126F49"/>
    <w:rsid w:val="0013036B"/>
    <w:rsid w:val="0013150F"/>
    <w:rsid w:val="001315B4"/>
    <w:rsid w:val="00131888"/>
    <w:rsid w:val="00131941"/>
    <w:rsid w:val="00131A61"/>
    <w:rsid w:val="00131C5F"/>
    <w:rsid w:val="001322F1"/>
    <w:rsid w:val="00132463"/>
    <w:rsid w:val="0013301B"/>
    <w:rsid w:val="00133D0F"/>
    <w:rsid w:val="00134007"/>
    <w:rsid w:val="00134A8F"/>
    <w:rsid w:val="001352C9"/>
    <w:rsid w:val="00135A8C"/>
    <w:rsid w:val="00136FB3"/>
    <w:rsid w:val="0014002E"/>
    <w:rsid w:val="0014021C"/>
    <w:rsid w:val="00142E68"/>
    <w:rsid w:val="001430F9"/>
    <w:rsid w:val="00143B86"/>
    <w:rsid w:val="00143E52"/>
    <w:rsid w:val="00143EBF"/>
    <w:rsid w:val="00144046"/>
    <w:rsid w:val="0014417D"/>
    <w:rsid w:val="0014491E"/>
    <w:rsid w:val="00144982"/>
    <w:rsid w:val="001469ED"/>
    <w:rsid w:val="00146E86"/>
    <w:rsid w:val="001475C6"/>
    <w:rsid w:val="001479BD"/>
    <w:rsid w:val="0015026B"/>
    <w:rsid w:val="00151809"/>
    <w:rsid w:val="001524CE"/>
    <w:rsid w:val="00152780"/>
    <w:rsid w:val="0015499A"/>
    <w:rsid w:val="00157851"/>
    <w:rsid w:val="00157E7C"/>
    <w:rsid w:val="00160061"/>
    <w:rsid w:val="00161A3D"/>
    <w:rsid w:val="00162CA8"/>
    <w:rsid w:val="001639C3"/>
    <w:rsid w:val="0016584B"/>
    <w:rsid w:val="00165F33"/>
    <w:rsid w:val="0016603D"/>
    <w:rsid w:val="00166837"/>
    <w:rsid w:val="0016760A"/>
    <w:rsid w:val="001677A4"/>
    <w:rsid w:val="00167BB5"/>
    <w:rsid w:val="00167CC9"/>
    <w:rsid w:val="0017061E"/>
    <w:rsid w:val="001711C2"/>
    <w:rsid w:val="0017120E"/>
    <w:rsid w:val="001712D1"/>
    <w:rsid w:val="00173132"/>
    <w:rsid w:val="0017343D"/>
    <w:rsid w:val="00174408"/>
    <w:rsid w:val="00174580"/>
    <w:rsid w:val="00175F92"/>
    <w:rsid w:val="001760AC"/>
    <w:rsid w:val="0017650C"/>
    <w:rsid w:val="00176793"/>
    <w:rsid w:val="001767E3"/>
    <w:rsid w:val="00176886"/>
    <w:rsid w:val="00177011"/>
    <w:rsid w:val="00177949"/>
    <w:rsid w:val="001800C9"/>
    <w:rsid w:val="001818AE"/>
    <w:rsid w:val="00181B52"/>
    <w:rsid w:val="00181F69"/>
    <w:rsid w:val="0018201E"/>
    <w:rsid w:val="00182982"/>
    <w:rsid w:val="00182DD4"/>
    <w:rsid w:val="0018378F"/>
    <w:rsid w:val="00183933"/>
    <w:rsid w:val="00183D6F"/>
    <w:rsid w:val="001842F9"/>
    <w:rsid w:val="001866A2"/>
    <w:rsid w:val="00186BA3"/>
    <w:rsid w:val="00190542"/>
    <w:rsid w:val="0019081E"/>
    <w:rsid w:val="001912F4"/>
    <w:rsid w:val="00192157"/>
    <w:rsid w:val="00192702"/>
    <w:rsid w:val="00192779"/>
    <w:rsid w:val="0019318C"/>
    <w:rsid w:val="00193DB2"/>
    <w:rsid w:val="00194880"/>
    <w:rsid w:val="00195379"/>
    <w:rsid w:val="00195793"/>
    <w:rsid w:val="00195847"/>
    <w:rsid w:val="00196523"/>
    <w:rsid w:val="00196B43"/>
    <w:rsid w:val="00196EF2"/>
    <w:rsid w:val="00196F6B"/>
    <w:rsid w:val="0019738F"/>
    <w:rsid w:val="00197ABC"/>
    <w:rsid w:val="001A0D21"/>
    <w:rsid w:val="001A10FE"/>
    <w:rsid w:val="001A1D40"/>
    <w:rsid w:val="001A274D"/>
    <w:rsid w:val="001A3B2F"/>
    <w:rsid w:val="001A46EF"/>
    <w:rsid w:val="001A4857"/>
    <w:rsid w:val="001A59F4"/>
    <w:rsid w:val="001A5B02"/>
    <w:rsid w:val="001A6F38"/>
    <w:rsid w:val="001A71D8"/>
    <w:rsid w:val="001A733E"/>
    <w:rsid w:val="001B0E1E"/>
    <w:rsid w:val="001B1869"/>
    <w:rsid w:val="001B2102"/>
    <w:rsid w:val="001B3227"/>
    <w:rsid w:val="001B35D8"/>
    <w:rsid w:val="001B383E"/>
    <w:rsid w:val="001B3D20"/>
    <w:rsid w:val="001B3D80"/>
    <w:rsid w:val="001B5A5C"/>
    <w:rsid w:val="001B5D2B"/>
    <w:rsid w:val="001B6153"/>
    <w:rsid w:val="001B64B8"/>
    <w:rsid w:val="001B6830"/>
    <w:rsid w:val="001B7404"/>
    <w:rsid w:val="001B7A8E"/>
    <w:rsid w:val="001C12EA"/>
    <w:rsid w:val="001C15E0"/>
    <w:rsid w:val="001C1E6D"/>
    <w:rsid w:val="001C1F82"/>
    <w:rsid w:val="001C35D6"/>
    <w:rsid w:val="001C3AB4"/>
    <w:rsid w:val="001C4D19"/>
    <w:rsid w:val="001C4F70"/>
    <w:rsid w:val="001C5152"/>
    <w:rsid w:val="001C6357"/>
    <w:rsid w:val="001C7396"/>
    <w:rsid w:val="001C7DE8"/>
    <w:rsid w:val="001C7FBC"/>
    <w:rsid w:val="001D077A"/>
    <w:rsid w:val="001D17B0"/>
    <w:rsid w:val="001D2168"/>
    <w:rsid w:val="001D256A"/>
    <w:rsid w:val="001D5902"/>
    <w:rsid w:val="001D604B"/>
    <w:rsid w:val="001D63E8"/>
    <w:rsid w:val="001D6EC7"/>
    <w:rsid w:val="001E00DB"/>
    <w:rsid w:val="001E014A"/>
    <w:rsid w:val="001E0B2F"/>
    <w:rsid w:val="001E1356"/>
    <w:rsid w:val="001E1518"/>
    <w:rsid w:val="001E1DE3"/>
    <w:rsid w:val="001E26E9"/>
    <w:rsid w:val="001E453B"/>
    <w:rsid w:val="001E484F"/>
    <w:rsid w:val="001E4EF0"/>
    <w:rsid w:val="001E5AA4"/>
    <w:rsid w:val="001E632C"/>
    <w:rsid w:val="001E63FF"/>
    <w:rsid w:val="001E6B97"/>
    <w:rsid w:val="001E6B9E"/>
    <w:rsid w:val="001E70D7"/>
    <w:rsid w:val="001F0475"/>
    <w:rsid w:val="001F1792"/>
    <w:rsid w:val="001F33A8"/>
    <w:rsid w:val="001F3D53"/>
    <w:rsid w:val="001F3E32"/>
    <w:rsid w:val="001F4789"/>
    <w:rsid w:val="001F5CF7"/>
    <w:rsid w:val="001F6C4C"/>
    <w:rsid w:val="001F733E"/>
    <w:rsid w:val="001F7746"/>
    <w:rsid w:val="001F77A4"/>
    <w:rsid w:val="001F7ACC"/>
    <w:rsid w:val="00200C90"/>
    <w:rsid w:val="00200F47"/>
    <w:rsid w:val="00201303"/>
    <w:rsid w:val="00201533"/>
    <w:rsid w:val="00201766"/>
    <w:rsid w:val="00201B4F"/>
    <w:rsid w:val="00203217"/>
    <w:rsid w:val="00204512"/>
    <w:rsid w:val="00206A3A"/>
    <w:rsid w:val="00206D52"/>
    <w:rsid w:val="002072BA"/>
    <w:rsid w:val="002072D9"/>
    <w:rsid w:val="002072FC"/>
    <w:rsid w:val="00207A47"/>
    <w:rsid w:val="00207B06"/>
    <w:rsid w:val="002106ED"/>
    <w:rsid w:val="00210ECC"/>
    <w:rsid w:val="00211049"/>
    <w:rsid w:val="002120F7"/>
    <w:rsid w:val="00212322"/>
    <w:rsid w:val="002123A6"/>
    <w:rsid w:val="002129E6"/>
    <w:rsid w:val="0021320C"/>
    <w:rsid w:val="0021610E"/>
    <w:rsid w:val="00216205"/>
    <w:rsid w:val="00216A5F"/>
    <w:rsid w:val="00216C4C"/>
    <w:rsid w:val="002200CE"/>
    <w:rsid w:val="00220806"/>
    <w:rsid w:val="00221453"/>
    <w:rsid w:val="00221532"/>
    <w:rsid w:val="002223F2"/>
    <w:rsid w:val="00222D28"/>
    <w:rsid w:val="00222FBC"/>
    <w:rsid w:val="002230D5"/>
    <w:rsid w:val="002235E7"/>
    <w:rsid w:val="00223793"/>
    <w:rsid w:val="00223A30"/>
    <w:rsid w:val="002241C1"/>
    <w:rsid w:val="002242DF"/>
    <w:rsid w:val="002246DE"/>
    <w:rsid w:val="00224FBB"/>
    <w:rsid w:val="002258B1"/>
    <w:rsid w:val="00225917"/>
    <w:rsid w:val="00225E90"/>
    <w:rsid w:val="00226E97"/>
    <w:rsid w:val="0022749F"/>
    <w:rsid w:val="00227624"/>
    <w:rsid w:val="00230638"/>
    <w:rsid w:val="00230C21"/>
    <w:rsid w:val="0023117E"/>
    <w:rsid w:val="002316B9"/>
    <w:rsid w:val="00231E26"/>
    <w:rsid w:val="00231E40"/>
    <w:rsid w:val="002328ED"/>
    <w:rsid w:val="002330AC"/>
    <w:rsid w:val="00235399"/>
    <w:rsid w:val="0023559B"/>
    <w:rsid w:val="002360C1"/>
    <w:rsid w:val="00236189"/>
    <w:rsid w:val="00236D18"/>
    <w:rsid w:val="00236E8F"/>
    <w:rsid w:val="00236FB1"/>
    <w:rsid w:val="00237168"/>
    <w:rsid w:val="002371A5"/>
    <w:rsid w:val="002375AF"/>
    <w:rsid w:val="002405CF"/>
    <w:rsid w:val="002416E5"/>
    <w:rsid w:val="00242033"/>
    <w:rsid w:val="00242227"/>
    <w:rsid w:val="00242784"/>
    <w:rsid w:val="002430D0"/>
    <w:rsid w:val="002437D9"/>
    <w:rsid w:val="00243FAA"/>
    <w:rsid w:val="00245FBB"/>
    <w:rsid w:val="0024761F"/>
    <w:rsid w:val="002506D3"/>
    <w:rsid w:val="00250A5E"/>
    <w:rsid w:val="0025103C"/>
    <w:rsid w:val="00251FF9"/>
    <w:rsid w:val="002522F3"/>
    <w:rsid w:val="002524BE"/>
    <w:rsid w:val="00253322"/>
    <w:rsid w:val="002552F1"/>
    <w:rsid w:val="00255437"/>
    <w:rsid w:val="00255741"/>
    <w:rsid w:val="002557A3"/>
    <w:rsid w:val="00256CFE"/>
    <w:rsid w:val="00257370"/>
    <w:rsid w:val="00261362"/>
    <w:rsid w:val="0026180F"/>
    <w:rsid w:val="00261881"/>
    <w:rsid w:val="00261A9F"/>
    <w:rsid w:val="002620FA"/>
    <w:rsid w:val="00262261"/>
    <w:rsid w:val="00263C2D"/>
    <w:rsid w:val="00265726"/>
    <w:rsid w:val="00266817"/>
    <w:rsid w:val="002674AE"/>
    <w:rsid w:val="0027010B"/>
    <w:rsid w:val="0027054F"/>
    <w:rsid w:val="0027089F"/>
    <w:rsid w:val="00271A3E"/>
    <w:rsid w:val="00271A8B"/>
    <w:rsid w:val="00272B74"/>
    <w:rsid w:val="00273AB7"/>
    <w:rsid w:val="002759D1"/>
    <w:rsid w:val="00275C00"/>
    <w:rsid w:val="00276182"/>
    <w:rsid w:val="002761DF"/>
    <w:rsid w:val="002767C7"/>
    <w:rsid w:val="002769A3"/>
    <w:rsid w:val="002769BD"/>
    <w:rsid w:val="002769BE"/>
    <w:rsid w:val="00276ED6"/>
    <w:rsid w:val="00277CD0"/>
    <w:rsid w:val="00280AE8"/>
    <w:rsid w:val="0028199D"/>
    <w:rsid w:val="002819F0"/>
    <w:rsid w:val="00281BB9"/>
    <w:rsid w:val="00281EAF"/>
    <w:rsid w:val="002829CB"/>
    <w:rsid w:val="00282A9C"/>
    <w:rsid w:val="002870E4"/>
    <w:rsid w:val="002904C8"/>
    <w:rsid w:val="002909D8"/>
    <w:rsid w:val="0029194C"/>
    <w:rsid w:val="00292036"/>
    <w:rsid w:val="00292A9A"/>
    <w:rsid w:val="00293263"/>
    <w:rsid w:val="00293549"/>
    <w:rsid w:val="00293994"/>
    <w:rsid w:val="0029549D"/>
    <w:rsid w:val="002966E2"/>
    <w:rsid w:val="002970AC"/>
    <w:rsid w:val="0029723E"/>
    <w:rsid w:val="002A0758"/>
    <w:rsid w:val="002A0DE1"/>
    <w:rsid w:val="002A1851"/>
    <w:rsid w:val="002A24F7"/>
    <w:rsid w:val="002A27E3"/>
    <w:rsid w:val="002A30E3"/>
    <w:rsid w:val="002A3E7A"/>
    <w:rsid w:val="002A4502"/>
    <w:rsid w:val="002A45C1"/>
    <w:rsid w:val="002A5E96"/>
    <w:rsid w:val="002A62A3"/>
    <w:rsid w:val="002B0334"/>
    <w:rsid w:val="002B0DD0"/>
    <w:rsid w:val="002B1192"/>
    <w:rsid w:val="002B28E4"/>
    <w:rsid w:val="002B2BB9"/>
    <w:rsid w:val="002B329B"/>
    <w:rsid w:val="002B34F8"/>
    <w:rsid w:val="002B4542"/>
    <w:rsid w:val="002B600E"/>
    <w:rsid w:val="002B65C9"/>
    <w:rsid w:val="002B69F5"/>
    <w:rsid w:val="002B7316"/>
    <w:rsid w:val="002B7ADB"/>
    <w:rsid w:val="002B7E08"/>
    <w:rsid w:val="002C013A"/>
    <w:rsid w:val="002C0DB9"/>
    <w:rsid w:val="002C1E48"/>
    <w:rsid w:val="002C3095"/>
    <w:rsid w:val="002C3BF5"/>
    <w:rsid w:val="002C3F6B"/>
    <w:rsid w:val="002C5072"/>
    <w:rsid w:val="002C5353"/>
    <w:rsid w:val="002C58D3"/>
    <w:rsid w:val="002C7746"/>
    <w:rsid w:val="002C798F"/>
    <w:rsid w:val="002C7CC8"/>
    <w:rsid w:val="002D00A8"/>
    <w:rsid w:val="002D366E"/>
    <w:rsid w:val="002D4548"/>
    <w:rsid w:val="002D4FBB"/>
    <w:rsid w:val="002D53B7"/>
    <w:rsid w:val="002D5D26"/>
    <w:rsid w:val="002D66A7"/>
    <w:rsid w:val="002D6B65"/>
    <w:rsid w:val="002D6E01"/>
    <w:rsid w:val="002D747F"/>
    <w:rsid w:val="002D7F34"/>
    <w:rsid w:val="002E0EDD"/>
    <w:rsid w:val="002E13C5"/>
    <w:rsid w:val="002E1D42"/>
    <w:rsid w:val="002E1FBC"/>
    <w:rsid w:val="002E1FC3"/>
    <w:rsid w:val="002E2409"/>
    <w:rsid w:val="002E2634"/>
    <w:rsid w:val="002E2DFE"/>
    <w:rsid w:val="002E5B54"/>
    <w:rsid w:val="002E6DEC"/>
    <w:rsid w:val="002F027C"/>
    <w:rsid w:val="002F09B7"/>
    <w:rsid w:val="002F0A66"/>
    <w:rsid w:val="002F10C8"/>
    <w:rsid w:val="002F196A"/>
    <w:rsid w:val="002F1A55"/>
    <w:rsid w:val="002F21A7"/>
    <w:rsid w:val="002F21B7"/>
    <w:rsid w:val="002F2F9A"/>
    <w:rsid w:val="002F4477"/>
    <w:rsid w:val="002F5B85"/>
    <w:rsid w:val="002F736F"/>
    <w:rsid w:val="002F7C48"/>
    <w:rsid w:val="00300563"/>
    <w:rsid w:val="00300E1D"/>
    <w:rsid w:val="00302E52"/>
    <w:rsid w:val="00306399"/>
    <w:rsid w:val="003068DC"/>
    <w:rsid w:val="00306E61"/>
    <w:rsid w:val="0030724B"/>
    <w:rsid w:val="00307FEF"/>
    <w:rsid w:val="003103BA"/>
    <w:rsid w:val="003103BD"/>
    <w:rsid w:val="00310DBE"/>
    <w:rsid w:val="0031164F"/>
    <w:rsid w:val="0031178E"/>
    <w:rsid w:val="00312784"/>
    <w:rsid w:val="00312EC4"/>
    <w:rsid w:val="003138CA"/>
    <w:rsid w:val="00313A58"/>
    <w:rsid w:val="00315583"/>
    <w:rsid w:val="00316584"/>
    <w:rsid w:val="003169B4"/>
    <w:rsid w:val="00316D0D"/>
    <w:rsid w:val="00320331"/>
    <w:rsid w:val="00320360"/>
    <w:rsid w:val="00320613"/>
    <w:rsid w:val="00321203"/>
    <w:rsid w:val="0032136F"/>
    <w:rsid w:val="00322E9A"/>
    <w:rsid w:val="0032324D"/>
    <w:rsid w:val="00323360"/>
    <w:rsid w:val="00323C10"/>
    <w:rsid w:val="00324BA2"/>
    <w:rsid w:val="00326458"/>
    <w:rsid w:val="0032705F"/>
    <w:rsid w:val="003276FB"/>
    <w:rsid w:val="00327F47"/>
    <w:rsid w:val="003302A4"/>
    <w:rsid w:val="00331C61"/>
    <w:rsid w:val="00331EA9"/>
    <w:rsid w:val="0033231D"/>
    <w:rsid w:val="0033335A"/>
    <w:rsid w:val="0033368C"/>
    <w:rsid w:val="00335597"/>
    <w:rsid w:val="00336081"/>
    <w:rsid w:val="00336C11"/>
    <w:rsid w:val="003377E8"/>
    <w:rsid w:val="003379AF"/>
    <w:rsid w:val="0034015B"/>
    <w:rsid w:val="00340263"/>
    <w:rsid w:val="00341440"/>
    <w:rsid w:val="00341F9F"/>
    <w:rsid w:val="00342354"/>
    <w:rsid w:val="00342459"/>
    <w:rsid w:val="00342560"/>
    <w:rsid w:val="00343091"/>
    <w:rsid w:val="003436AE"/>
    <w:rsid w:val="00343C19"/>
    <w:rsid w:val="00343DE8"/>
    <w:rsid w:val="00343FE0"/>
    <w:rsid w:val="00344118"/>
    <w:rsid w:val="0034538E"/>
    <w:rsid w:val="003458B9"/>
    <w:rsid w:val="003459F5"/>
    <w:rsid w:val="00345E0F"/>
    <w:rsid w:val="00346076"/>
    <w:rsid w:val="0034666D"/>
    <w:rsid w:val="0035019F"/>
    <w:rsid w:val="003502C5"/>
    <w:rsid w:val="00350D5E"/>
    <w:rsid w:val="00350DA9"/>
    <w:rsid w:val="00350F20"/>
    <w:rsid w:val="00351077"/>
    <w:rsid w:val="00351081"/>
    <w:rsid w:val="003512CF"/>
    <w:rsid w:val="00351392"/>
    <w:rsid w:val="00352869"/>
    <w:rsid w:val="00352936"/>
    <w:rsid w:val="003537D6"/>
    <w:rsid w:val="0035555F"/>
    <w:rsid w:val="003556B6"/>
    <w:rsid w:val="00355893"/>
    <w:rsid w:val="00356695"/>
    <w:rsid w:val="0035730E"/>
    <w:rsid w:val="003574E5"/>
    <w:rsid w:val="00357C83"/>
    <w:rsid w:val="003602CD"/>
    <w:rsid w:val="00360395"/>
    <w:rsid w:val="00361283"/>
    <w:rsid w:val="00361E6E"/>
    <w:rsid w:val="00361F64"/>
    <w:rsid w:val="003620B5"/>
    <w:rsid w:val="00362966"/>
    <w:rsid w:val="00363090"/>
    <w:rsid w:val="003630CD"/>
    <w:rsid w:val="00363255"/>
    <w:rsid w:val="003638DE"/>
    <w:rsid w:val="00363935"/>
    <w:rsid w:val="003646D6"/>
    <w:rsid w:val="00364A59"/>
    <w:rsid w:val="00365D81"/>
    <w:rsid w:val="003670E7"/>
    <w:rsid w:val="00370611"/>
    <w:rsid w:val="00371441"/>
    <w:rsid w:val="0037221D"/>
    <w:rsid w:val="0037375E"/>
    <w:rsid w:val="0037391E"/>
    <w:rsid w:val="0037495D"/>
    <w:rsid w:val="003754ED"/>
    <w:rsid w:val="00376260"/>
    <w:rsid w:val="003762F7"/>
    <w:rsid w:val="0037690D"/>
    <w:rsid w:val="00376CEC"/>
    <w:rsid w:val="00376EE9"/>
    <w:rsid w:val="003770E4"/>
    <w:rsid w:val="0037781A"/>
    <w:rsid w:val="003800F4"/>
    <w:rsid w:val="003810D1"/>
    <w:rsid w:val="00381C47"/>
    <w:rsid w:val="003823D3"/>
    <w:rsid w:val="00382887"/>
    <w:rsid w:val="00382A98"/>
    <w:rsid w:val="00382DFC"/>
    <w:rsid w:val="00383AD7"/>
    <w:rsid w:val="003854F1"/>
    <w:rsid w:val="00385FE2"/>
    <w:rsid w:val="0038656F"/>
    <w:rsid w:val="00386AC5"/>
    <w:rsid w:val="003873F0"/>
    <w:rsid w:val="00387C4F"/>
    <w:rsid w:val="00390F21"/>
    <w:rsid w:val="003911AD"/>
    <w:rsid w:val="0039121F"/>
    <w:rsid w:val="00391905"/>
    <w:rsid w:val="00391EAC"/>
    <w:rsid w:val="00393D6C"/>
    <w:rsid w:val="00394BFF"/>
    <w:rsid w:val="00394F73"/>
    <w:rsid w:val="00395848"/>
    <w:rsid w:val="00397B95"/>
    <w:rsid w:val="003A08A8"/>
    <w:rsid w:val="003A0A82"/>
    <w:rsid w:val="003A170D"/>
    <w:rsid w:val="003A21F6"/>
    <w:rsid w:val="003A37AB"/>
    <w:rsid w:val="003A406C"/>
    <w:rsid w:val="003A4123"/>
    <w:rsid w:val="003A45FC"/>
    <w:rsid w:val="003A49FC"/>
    <w:rsid w:val="003A566F"/>
    <w:rsid w:val="003A6261"/>
    <w:rsid w:val="003A76E8"/>
    <w:rsid w:val="003A792B"/>
    <w:rsid w:val="003B011B"/>
    <w:rsid w:val="003B0520"/>
    <w:rsid w:val="003B06E5"/>
    <w:rsid w:val="003B0798"/>
    <w:rsid w:val="003B0866"/>
    <w:rsid w:val="003B1668"/>
    <w:rsid w:val="003B2122"/>
    <w:rsid w:val="003B2691"/>
    <w:rsid w:val="003B26ED"/>
    <w:rsid w:val="003B34FC"/>
    <w:rsid w:val="003B3EAD"/>
    <w:rsid w:val="003B4DB5"/>
    <w:rsid w:val="003B56E7"/>
    <w:rsid w:val="003B6433"/>
    <w:rsid w:val="003B6505"/>
    <w:rsid w:val="003C0703"/>
    <w:rsid w:val="003C101A"/>
    <w:rsid w:val="003C1396"/>
    <w:rsid w:val="003C18EF"/>
    <w:rsid w:val="003C1E41"/>
    <w:rsid w:val="003C1F40"/>
    <w:rsid w:val="003C240F"/>
    <w:rsid w:val="003C2A51"/>
    <w:rsid w:val="003C2CC3"/>
    <w:rsid w:val="003C3A43"/>
    <w:rsid w:val="003C4B80"/>
    <w:rsid w:val="003C4F08"/>
    <w:rsid w:val="003C4FC5"/>
    <w:rsid w:val="003C55FA"/>
    <w:rsid w:val="003C664B"/>
    <w:rsid w:val="003C6CE9"/>
    <w:rsid w:val="003C7114"/>
    <w:rsid w:val="003D0953"/>
    <w:rsid w:val="003D2CF9"/>
    <w:rsid w:val="003D3888"/>
    <w:rsid w:val="003D3A71"/>
    <w:rsid w:val="003D51D8"/>
    <w:rsid w:val="003D5BFA"/>
    <w:rsid w:val="003D6F40"/>
    <w:rsid w:val="003D75DA"/>
    <w:rsid w:val="003E00A3"/>
    <w:rsid w:val="003E0506"/>
    <w:rsid w:val="003E0F0D"/>
    <w:rsid w:val="003E1252"/>
    <w:rsid w:val="003E19A1"/>
    <w:rsid w:val="003E1A28"/>
    <w:rsid w:val="003E20E6"/>
    <w:rsid w:val="003E3171"/>
    <w:rsid w:val="003E327A"/>
    <w:rsid w:val="003E3F34"/>
    <w:rsid w:val="003E4251"/>
    <w:rsid w:val="003E4B79"/>
    <w:rsid w:val="003E54F5"/>
    <w:rsid w:val="003E6AA1"/>
    <w:rsid w:val="003E70B1"/>
    <w:rsid w:val="003F17BF"/>
    <w:rsid w:val="003F1989"/>
    <w:rsid w:val="003F1BE2"/>
    <w:rsid w:val="003F1F6E"/>
    <w:rsid w:val="003F2095"/>
    <w:rsid w:val="003F29DD"/>
    <w:rsid w:val="003F386E"/>
    <w:rsid w:val="003F3C87"/>
    <w:rsid w:val="003F4DCA"/>
    <w:rsid w:val="003F5272"/>
    <w:rsid w:val="003F531A"/>
    <w:rsid w:val="003F5C34"/>
    <w:rsid w:val="003F63F8"/>
    <w:rsid w:val="003F6996"/>
    <w:rsid w:val="003F6B8B"/>
    <w:rsid w:val="003F754A"/>
    <w:rsid w:val="003F78AA"/>
    <w:rsid w:val="004005CE"/>
    <w:rsid w:val="00400745"/>
    <w:rsid w:val="0040109E"/>
    <w:rsid w:val="004011FE"/>
    <w:rsid w:val="00401943"/>
    <w:rsid w:val="00401A7C"/>
    <w:rsid w:val="0040206C"/>
    <w:rsid w:val="00403158"/>
    <w:rsid w:val="00403440"/>
    <w:rsid w:val="0040376E"/>
    <w:rsid w:val="004037B7"/>
    <w:rsid w:val="004037F5"/>
    <w:rsid w:val="0040394E"/>
    <w:rsid w:val="00403D32"/>
    <w:rsid w:val="00403DF1"/>
    <w:rsid w:val="004040FA"/>
    <w:rsid w:val="00404AFC"/>
    <w:rsid w:val="0040562E"/>
    <w:rsid w:val="004057DD"/>
    <w:rsid w:val="004058FB"/>
    <w:rsid w:val="00405A20"/>
    <w:rsid w:val="00406178"/>
    <w:rsid w:val="004064AF"/>
    <w:rsid w:val="004067D1"/>
    <w:rsid w:val="004077CD"/>
    <w:rsid w:val="00407C1B"/>
    <w:rsid w:val="004107E7"/>
    <w:rsid w:val="004130C2"/>
    <w:rsid w:val="00413222"/>
    <w:rsid w:val="004140BD"/>
    <w:rsid w:val="00416923"/>
    <w:rsid w:val="004176AB"/>
    <w:rsid w:val="0041785F"/>
    <w:rsid w:val="0042066C"/>
    <w:rsid w:val="00420836"/>
    <w:rsid w:val="00421118"/>
    <w:rsid w:val="00421713"/>
    <w:rsid w:val="00421DCC"/>
    <w:rsid w:val="00422106"/>
    <w:rsid w:val="0042286E"/>
    <w:rsid w:val="004232D1"/>
    <w:rsid w:val="00424BCE"/>
    <w:rsid w:val="00425393"/>
    <w:rsid w:val="00425D3F"/>
    <w:rsid w:val="00425E8A"/>
    <w:rsid w:val="0042619E"/>
    <w:rsid w:val="00426D31"/>
    <w:rsid w:val="00427AFB"/>
    <w:rsid w:val="00427F0B"/>
    <w:rsid w:val="0043060F"/>
    <w:rsid w:val="004312A7"/>
    <w:rsid w:val="0043180D"/>
    <w:rsid w:val="0043263F"/>
    <w:rsid w:val="00432B19"/>
    <w:rsid w:val="00432C0E"/>
    <w:rsid w:val="004334BD"/>
    <w:rsid w:val="004334D8"/>
    <w:rsid w:val="0043390A"/>
    <w:rsid w:val="00433E36"/>
    <w:rsid w:val="0043469F"/>
    <w:rsid w:val="0043477B"/>
    <w:rsid w:val="004347CB"/>
    <w:rsid w:val="00435873"/>
    <w:rsid w:val="00435C37"/>
    <w:rsid w:val="00437B88"/>
    <w:rsid w:val="00437D5A"/>
    <w:rsid w:val="0044004C"/>
    <w:rsid w:val="00440DD2"/>
    <w:rsid w:val="004410EE"/>
    <w:rsid w:val="0044229E"/>
    <w:rsid w:val="004422D4"/>
    <w:rsid w:val="00443C73"/>
    <w:rsid w:val="004443CF"/>
    <w:rsid w:val="00444539"/>
    <w:rsid w:val="004448C1"/>
    <w:rsid w:val="00444FD4"/>
    <w:rsid w:val="00445B2A"/>
    <w:rsid w:val="00445D4F"/>
    <w:rsid w:val="00446602"/>
    <w:rsid w:val="004466E2"/>
    <w:rsid w:val="00446974"/>
    <w:rsid w:val="004470B7"/>
    <w:rsid w:val="00450222"/>
    <w:rsid w:val="0045073E"/>
    <w:rsid w:val="00450A42"/>
    <w:rsid w:val="00450D66"/>
    <w:rsid w:val="0045125C"/>
    <w:rsid w:val="004516F6"/>
    <w:rsid w:val="00452916"/>
    <w:rsid w:val="004538CF"/>
    <w:rsid w:val="00455CFB"/>
    <w:rsid w:val="00456F7B"/>
    <w:rsid w:val="0046010C"/>
    <w:rsid w:val="004608AA"/>
    <w:rsid w:val="00461214"/>
    <w:rsid w:val="00461228"/>
    <w:rsid w:val="00461961"/>
    <w:rsid w:val="00461B5B"/>
    <w:rsid w:val="00462A5D"/>
    <w:rsid w:val="00463016"/>
    <w:rsid w:val="004655B8"/>
    <w:rsid w:val="0046600E"/>
    <w:rsid w:val="00470C19"/>
    <w:rsid w:val="00472327"/>
    <w:rsid w:val="00472337"/>
    <w:rsid w:val="00472A7D"/>
    <w:rsid w:val="00472FA8"/>
    <w:rsid w:val="00475A00"/>
    <w:rsid w:val="00476647"/>
    <w:rsid w:val="00477A85"/>
    <w:rsid w:val="00477E17"/>
    <w:rsid w:val="00480400"/>
    <w:rsid w:val="0048044D"/>
    <w:rsid w:val="004804C5"/>
    <w:rsid w:val="00480C5B"/>
    <w:rsid w:val="004814AA"/>
    <w:rsid w:val="00481C47"/>
    <w:rsid w:val="004826B2"/>
    <w:rsid w:val="00482F68"/>
    <w:rsid w:val="004834BF"/>
    <w:rsid w:val="00483D80"/>
    <w:rsid w:val="00484077"/>
    <w:rsid w:val="00485465"/>
    <w:rsid w:val="00485EA4"/>
    <w:rsid w:val="00486ABE"/>
    <w:rsid w:val="00491518"/>
    <w:rsid w:val="004915EC"/>
    <w:rsid w:val="00491668"/>
    <w:rsid w:val="00492149"/>
    <w:rsid w:val="00492B62"/>
    <w:rsid w:val="0049323A"/>
    <w:rsid w:val="00494BAD"/>
    <w:rsid w:val="004952BB"/>
    <w:rsid w:val="00496FE5"/>
    <w:rsid w:val="00497025"/>
    <w:rsid w:val="00497412"/>
    <w:rsid w:val="004974C2"/>
    <w:rsid w:val="00497919"/>
    <w:rsid w:val="00497C75"/>
    <w:rsid w:val="004A0934"/>
    <w:rsid w:val="004A1888"/>
    <w:rsid w:val="004A22F3"/>
    <w:rsid w:val="004A2570"/>
    <w:rsid w:val="004A302F"/>
    <w:rsid w:val="004A31E6"/>
    <w:rsid w:val="004A3638"/>
    <w:rsid w:val="004A4125"/>
    <w:rsid w:val="004A4A9D"/>
    <w:rsid w:val="004A5496"/>
    <w:rsid w:val="004A57AB"/>
    <w:rsid w:val="004A5F98"/>
    <w:rsid w:val="004A606B"/>
    <w:rsid w:val="004A686A"/>
    <w:rsid w:val="004A68A1"/>
    <w:rsid w:val="004A6939"/>
    <w:rsid w:val="004A7558"/>
    <w:rsid w:val="004B0481"/>
    <w:rsid w:val="004B07E9"/>
    <w:rsid w:val="004B09B4"/>
    <w:rsid w:val="004B14CF"/>
    <w:rsid w:val="004B1566"/>
    <w:rsid w:val="004B27B3"/>
    <w:rsid w:val="004B2869"/>
    <w:rsid w:val="004B2B72"/>
    <w:rsid w:val="004B32C9"/>
    <w:rsid w:val="004B3DF3"/>
    <w:rsid w:val="004B401C"/>
    <w:rsid w:val="004B4510"/>
    <w:rsid w:val="004B4708"/>
    <w:rsid w:val="004B4D91"/>
    <w:rsid w:val="004B52DB"/>
    <w:rsid w:val="004B5894"/>
    <w:rsid w:val="004B6513"/>
    <w:rsid w:val="004B675C"/>
    <w:rsid w:val="004B67BE"/>
    <w:rsid w:val="004B6A72"/>
    <w:rsid w:val="004B6AB1"/>
    <w:rsid w:val="004C1032"/>
    <w:rsid w:val="004C1BB6"/>
    <w:rsid w:val="004C20BF"/>
    <w:rsid w:val="004C2944"/>
    <w:rsid w:val="004C3A18"/>
    <w:rsid w:val="004C3A92"/>
    <w:rsid w:val="004C3E03"/>
    <w:rsid w:val="004C46F7"/>
    <w:rsid w:val="004C4E21"/>
    <w:rsid w:val="004C6680"/>
    <w:rsid w:val="004C6CB3"/>
    <w:rsid w:val="004C7674"/>
    <w:rsid w:val="004C7ADF"/>
    <w:rsid w:val="004D01A2"/>
    <w:rsid w:val="004D054E"/>
    <w:rsid w:val="004D0A6D"/>
    <w:rsid w:val="004D17A4"/>
    <w:rsid w:val="004D22B7"/>
    <w:rsid w:val="004D27C1"/>
    <w:rsid w:val="004D34AC"/>
    <w:rsid w:val="004D3E09"/>
    <w:rsid w:val="004D4269"/>
    <w:rsid w:val="004D56B1"/>
    <w:rsid w:val="004D5711"/>
    <w:rsid w:val="004D5882"/>
    <w:rsid w:val="004D6145"/>
    <w:rsid w:val="004D63DE"/>
    <w:rsid w:val="004D6B91"/>
    <w:rsid w:val="004D79AB"/>
    <w:rsid w:val="004D7E0A"/>
    <w:rsid w:val="004E05F7"/>
    <w:rsid w:val="004E0D4C"/>
    <w:rsid w:val="004E225E"/>
    <w:rsid w:val="004E3534"/>
    <w:rsid w:val="004E36CD"/>
    <w:rsid w:val="004E38CE"/>
    <w:rsid w:val="004E46D6"/>
    <w:rsid w:val="004E53DE"/>
    <w:rsid w:val="004E5A93"/>
    <w:rsid w:val="004E5F67"/>
    <w:rsid w:val="004E7428"/>
    <w:rsid w:val="004E743B"/>
    <w:rsid w:val="004E7E16"/>
    <w:rsid w:val="004F123B"/>
    <w:rsid w:val="004F1504"/>
    <w:rsid w:val="004F2AEE"/>
    <w:rsid w:val="004F36CD"/>
    <w:rsid w:val="004F3B8C"/>
    <w:rsid w:val="004F40E4"/>
    <w:rsid w:val="004F4F60"/>
    <w:rsid w:val="004F5062"/>
    <w:rsid w:val="004F5A90"/>
    <w:rsid w:val="004F5C7B"/>
    <w:rsid w:val="004F6DE0"/>
    <w:rsid w:val="004F7316"/>
    <w:rsid w:val="004F7463"/>
    <w:rsid w:val="004F76BC"/>
    <w:rsid w:val="0050080F"/>
    <w:rsid w:val="00500A58"/>
    <w:rsid w:val="00502840"/>
    <w:rsid w:val="00503381"/>
    <w:rsid w:val="005034CD"/>
    <w:rsid w:val="00504030"/>
    <w:rsid w:val="00504758"/>
    <w:rsid w:val="00504799"/>
    <w:rsid w:val="005047A0"/>
    <w:rsid w:val="005053BB"/>
    <w:rsid w:val="00506001"/>
    <w:rsid w:val="0050602E"/>
    <w:rsid w:val="0050688C"/>
    <w:rsid w:val="00507DD1"/>
    <w:rsid w:val="00510586"/>
    <w:rsid w:val="0051085A"/>
    <w:rsid w:val="00510B84"/>
    <w:rsid w:val="00510FE0"/>
    <w:rsid w:val="005114BA"/>
    <w:rsid w:val="00511E53"/>
    <w:rsid w:val="00511E73"/>
    <w:rsid w:val="00511F2C"/>
    <w:rsid w:val="00512E3E"/>
    <w:rsid w:val="00513EFD"/>
    <w:rsid w:val="00514670"/>
    <w:rsid w:val="00515461"/>
    <w:rsid w:val="005157E1"/>
    <w:rsid w:val="00516668"/>
    <w:rsid w:val="00516A14"/>
    <w:rsid w:val="00522237"/>
    <w:rsid w:val="005226A8"/>
    <w:rsid w:val="00522D86"/>
    <w:rsid w:val="005237D6"/>
    <w:rsid w:val="00524BF6"/>
    <w:rsid w:val="005255DD"/>
    <w:rsid w:val="0052590F"/>
    <w:rsid w:val="00527330"/>
    <w:rsid w:val="005275F7"/>
    <w:rsid w:val="00527C6D"/>
    <w:rsid w:val="0053056C"/>
    <w:rsid w:val="005305CA"/>
    <w:rsid w:val="00530CEA"/>
    <w:rsid w:val="00531155"/>
    <w:rsid w:val="00533C9F"/>
    <w:rsid w:val="00533D2B"/>
    <w:rsid w:val="00533F91"/>
    <w:rsid w:val="0053420D"/>
    <w:rsid w:val="00534740"/>
    <w:rsid w:val="00535108"/>
    <w:rsid w:val="00535228"/>
    <w:rsid w:val="005364EF"/>
    <w:rsid w:val="00536B72"/>
    <w:rsid w:val="00536CE8"/>
    <w:rsid w:val="00536DD7"/>
    <w:rsid w:val="00541AE4"/>
    <w:rsid w:val="00541BE9"/>
    <w:rsid w:val="00541DCD"/>
    <w:rsid w:val="00541F3B"/>
    <w:rsid w:val="00542087"/>
    <w:rsid w:val="0054312A"/>
    <w:rsid w:val="005435FB"/>
    <w:rsid w:val="00544FB6"/>
    <w:rsid w:val="00545BC0"/>
    <w:rsid w:val="00546926"/>
    <w:rsid w:val="00546BD5"/>
    <w:rsid w:val="00547E85"/>
    <w:rsid w:val="00551CEB"/>
    <w:rsid w:val="0055214A"/>
    <w:rsid w:val="005527BA"/>
    <w:rsid w:val="0055317B"/>
    <w:rsid w:val="00553839"/>
    <w:rsid w:val="00553B04"/>
    <w:rsid w:val="00554093"/>
    <w:rsid w:val="00554A68"/>
    <w:rsid w:val="005551C8"/>
    <w:rsid w:val="005562C3"/>
    <w:rsid w:val="005564F2"/>
    <w:rsid w:val="00556593"/>
    <w:rsid w:val="00556AF4"/>
    <w:rsid w:val="005571E4"/>
    <w:rsid w:val="00557F7E"/>
    <w:rsid w:val="00560361"/>
    <w:rsid w:val="00561293"/>
    <w:rsid w:val="00561AB3"/>
    <w:rsid w:val="00562533"/>
    <w:rsid w:val="0056329C"/>
    <w:rsid w:val="00563B7A"/>
    <w:rsid w:val="00565DDA"/>
    <w:rsid w:val="00565F22"/>
    <w:rsid w:val="005668EE"/>
    <w:rsid w:val="0056699A"/>
    <w:rsid w:val="00566E86"/>
    <w:rsid w:val="00566F57"/>
    <w:rsid w:val="0056700C"/>
    <w:rsid w:val="00567439"/>
    <w:rsid w:val="0056765B"/>
    <w:rsid w:val="00567996"/>
    <w:rsid w:val="00567F3C"/>
    <w:rsid w:val="00571B5E"/>
    <w:rsid w:val="00571F51"/>
    <w:rsid w:val="00572433"/>
    <w:rsid w:val="00572B1D"/>
    <w:rsid w:val="00573048"/>
    <w:rsid w:val="00573E14"/>
    <w:rsid w:val="00574091"/>
    <w:rsid w:val="005740C5"/>
    <w:rsid w:val="00574B6C"/>
    <w:rsid w:val="00575517"/>
    <w:rsid w:val="00575832"/>
    <w:rsid w:val="005765CC"/>
    <w:rsid w:val="005772C5"/>
    <w:rsid w:val="0058095C"/>
    <w:rsid w:val="00581A0F"/>
    <w:rsid w:val="00582546"/>
    <w:rsid w:val="0058289C"/>
    <w:rsid w:val="00582B09"/>
    <w:rsid w:val="00582E5B"/>
    <w:rsid w:val="005835A6"/>
    <w:rsid w:val="005838FC"/>
    <w:rsid w:val="005843CE"/>
    <w:rsid w:val="00584912"/>
    <w:rsid w:val="005879F6"/>
    <w:rsid w:val="00587F46"/>
    <w:rsid w:val="005912B8"/>
    <w:rsid w:val="00591AF7"/>
    <w:rsid w:val="00591D61"/>
    <w:rsid w:val="00592385"/>
    <w:rsid w:val="0059275E"/>
    <w:rsid w:val="00592B48"/>
    <w:rsid w:val="00592E13"/>
    <w:rsid w:val="0059306F"/>
    <w:rsid w:val="0059313E"/>
    <w:rsid w:val="005947AB"/>
    <w:rsid w:val="00594A2D"/>
    <w:rsid w:val="00594D9A"/>
    <w:rsid w:val="00595A29"/>
    <w:rsid w:val="005961A4"/>
    <w:rsid w:val="00596B4F"/>
    <w:rsid w:val="00596EFD"/>
    <w:rsid w:val="005973C6"/>
    <w:rsid w:val="00597836"/>
    <w:rsid w:val="00597E2B"/>
    <w:rsid w:val="005A05FC"/>
    <w:rsid w:val="005A0F51"/>
    <w:rsid w:val="005A1DD3"/>
    <w:rsid w:val="005A2070"/>
    <w:rsid w:val="005A394E"/>
    <w:rsid w:val="005A4D25"/>
    <w:rsid w:val="005A56CE"/>
    <w:rsid w:val="005A652B"/>
    <w:rsid w:val="005A6B97"/>
    <w:rsid w:val="005A742D"/>
    <w:rsid w:val="005B3184"/>
    <w:rsid w:val="005B489A"/>
    <w:rsid w:val="005B4A06"/>
    <w:rsid w:val="005B5176"/>
    <w:rsid w:val="005B53CC"/>
    <w:rsid w:val="005B6A5D"/>
    <w:rsid w:val="005B6CC2"/>
    <w:rsid w:val="005B71EB"/>
    <w:rsid w:val="005B7539"/>
    <w:rsid w:val="005C07D9"/>
    <w:rsid w:val="005C1964"/>
    <w:rsid w:val="005C3607"/>
    <w:rsid w:val="005C3850"/>
    <w:rsid w:val="005C3E27"/>
    <w:rsid w:val="005C41BA"/>
    <w:rsid w:val="005C44CC"/>
    <w:rsid w:val="005C4AF2"/>
    <w:rsid w:val="005C7161"/>
    <w:rsid w:val="005C7C0B"/>
    <w:rsid w:val="005D01F1"/>
    <w:rsid w:val="005D2B03"/>
    <w:rsid w:val="005D2CB3"/>
    <w:rsid w:val="005D315B"/>
    <w:rsid w:val="005D3F2B"/>
    <w:rsid w:val="005D40DA"/>
    <w:rsid w:val="005D46F0"/>
    <w:rsid w:val="005D52E4"/>
    <w:rsid w:val="005D5A1B"/>
    <w:rsid w:val="005D5C3A"/>
    <w:rsid w:val="005D784C"/>
    <w:rsid w:val="005E034B"/>
    <w:rsid w:val="005E0567"/>
    <w:rsid w:val="005E058E"/>
    <w:rsid w:val="005E0CCF"/>
    <w:rsid w:val="005E1DA0"/>
    <w:rsid w:val="005E3DD7"/>
    <w:rsid w:val="005E4045"/>
    <w:rsid w:val="005E43DA"/>
    <w:rsid w:val="005E4A5B"/>
    <w:rsid w:val="005E5A50"/>
    <w:rsid w:val="005E660B"/>
    <w:rsid w:val="005E69CC"/>
    <w:rsid w:val="005E7259"/>
    <w:rsid w:val="005E757B"/>
    <w:rsid w:val="005F05F0"/>
    <w:rsid w:val="005F0651"/>
    <w:rsid w:val="005F0CEF"/>
    <w:rsid w:val="005F1145"/>
    <w:rsid w:val="005F138E"/>
    <w:rsid w:val="005F1570"/>
    <w:rsid w:val="005F1FE3"/>
    <w:rsid w:val="005F204E"/>
    <w:rsid w:val="005F2488"/>
    <w:rsid w:val="005F33E4"/>
    <w:rsid w:val="005F498C"/>
    <w:rsid w:val="005F4E2E"/>
    <w:rsid w:val="005F4EFB"/>
    <w:rsid w:val="005F5446"/>
    <w:rsid w:val="005F5657"/>
    <w:rsid w:val="005F66E6"/>
    <w:rsid w:val="005F757B"/>
    <w:rsid w:val="005F7867"/>
    <w:rsid w:val="005F7B7E"/>
    <w:rsid w:val="005F7F77"/>
    <w:rsid w:val="00600148"/>
    <w:rsid w:val="0060133A"/>
    <w:rsid w:val="006017D1"/>
    <w:rsid w:val="00601F58"/>
    <w:rsid w:val="0060255C"/>
    <w:rsid w:val="00602887"/>
    <w:rsid w:val="00602ECF"/>
    <w:rsid w:val="00604FB3"/>
    <w:rsid w:val="00604FF0"/>
    <w:rsid w:val="0060666B"/>
    <w:rsid w:val="006067AC"/>
    <w:rsid w:val="00606A06"/>
    <w:rsid w:val="00606FC9"/>
    <w:rsid w:val="0060782E"/>
    <w:rsid w:val="00607B28"/>
    <w:rsid w:val="006101C8"/>
    <w:rsid w:val="006106CB"/>
    <w:rsid w:val="00610815"/>
    <w:rsid w:val="00610A19"/>
    <w:rsid w:val="00610AA4"/>
    <w:rsid w:val="006118FA"/>
    <w:rsid w:val="00612596"/>
    <w:rsid w:val="006127AE"/>
    <w:rsid w:val="0061543F"/>
    <w:rsid w:val="006156F0"/>
    <w:rsid w:val="006158E6"/>
    <w:rsid w:val="00616C6B"/>
    <w:rsid w:val="00616DE6"/>
    <w:rsid w:val="00617851"/>
    <w:rsid w:val="006178BF"/>
    <w:rsid w:val="00617E6B"/>
    <w:rsid w:val="00621A72"/>
    <w:rsid w:val="00622CBD"/>
    <w:rsid w:val="006230FE"/>
    <w:rsid w:val="0062320F"/>
    <w:rsid w:val="0062456A"/>
    <w:rsid w:val="006245D5"/>
    <w:rsid w:val="00624976"/>
    <w:rsid w:val="00624C8A"/>
    <w:rsid w:val="00625233"/>
    <w:rsid w:val="0062547E"/>
    <w:rsid w:val="0062573C"/>
    <w:rsid w:val="00625AE6"/>
    <w:rsid w:val="006269CF"/>
    <w:rsid w:val="00626FE4"/>
    <w:rsid w:val="006271B1"/>
    <w:rsid w:val="00627361"/>
    <w:rsid w:val="0062798C"/>
    <w:rsid w:val="00630537"/>
    <w:rsid w:val="0063100A"/>
    <w:rsid w:val="00631335"/>
    <w:rsid w:val="00632239"/>
    <w:rsid w:val="0063286E"/>
    <w:rsid w:val="006338A1"/>
    <w:rsid w:val="0063415D"/>
    <w:rsid w:val="006347CD"/>
    <w:rsid w:val="0063496D"/>
    <w:rsid w:val="006350AD"/>
    <w:rsid w:val="00635483"/>
    <w:rsid w:val="00635FD6"/>
    <w:rsid w:val="00636D2C"/>
    <w:rsid w:val="006405C7"/>
    <w:rsid w:val="00640F8A"/>
    <w:rsid w:val="00641040"/>
    <w:rsid w:val="006413C2"/>
    <w:rsid w:val="00641EB6"/>
    <w:rsid w:val="0064325E"/>
    <w:rsid w:val="00643DEF"/>
    <w:rsid w:val="00643FFA"/>
    <w:rsid w:val="006442ED"/>
    <w:rsid w:val="00644759"/>
    <w:rsid w:val="006448CC"/>
    <w:rsid w:val="00645318"/>
    <w:rsid w:val="0064566D"/>
    <w:rsid w:val="00645D8E"/>
    <w:rsid w:val="00645DEE"/>
    <w:rsid w:val="0064613B"/>
    <w:rsid w:val="0064649E"/>
    <w:rsid w:val="00646D26"/>
    <w:rsid w:val="0064722D"/>
    <w:rsid w:val="00650685"/>
    <w:rsid w:val="00651377"/>
    <w:rsid w:val="00651F0A"/>
    <w:rsid w:val="00652FEA"/>
    <w:rsid w:val="0065362B"/>
    <w:rsid w:val="00653B84"/>
    <w:rsid w:val="006547E6"/>
    <w:rsid w:val="00655B2D"/>
    <w:rsid w:val="0065636D"/>
    <w:rsid w:val="00656A85"/>
    <w:rsid w:val="0065740D"/>
    <w:rsid w:val="00657B9E"/>
    <w:rsid w:val="00660062"/>
    <w:rsid w:val="0066047E"/>
    <w:rsid w:val="00660D27"/>
    <w:rsid w:val="006611C8"/>
    <w:rsid w:val="00661719"/>
    <w:rsid w:val="00661DD7"/>
    <w:rsid w:val="00662B02"/>
    <w:rsid w:val="00662B09"/>
    <w:rsid w:val="006635D6"/>
    <w:rsid w:val="00663E62"/>
    <w:rsid w:val="00665E58"/>
    <w:rsid w:val="006663B9"/>
    <w:rsid w:val="00667DA6"/>
    <w:rsid w:val="00670B52"/>
    <w:rsid w:val="00671109"/>
    <w:rsid w:val="00671793"/>
    <w:rsid w:val="0067182F"/>
    <w:rsid w:val="006739F7"/>
    <w:rsid w:val="00675249"/>
    <w:rsid w:val="00675A81"/>
    <w:rsid w:val="006768C8"/>
    <w:rsid w:val="00676C9B"/>
    <w:rsid w:val="0067777D"/>
    <w:rsid w:val="00677B8F"/>
    <w:rsid w:val="00677D8D"/>
    <w:rsid w:val="00677F91"/>
    <w:rsid w:val="00680491"/>
    <w:rsid w:val="006809C2"/>
    <w:rsid w:val="00680C97"/>
    <w:rsid w:val="0068177A"/>
    <w:rsid w:val="006820E7"/>
    <w:rsid w:val="00682319"/>
    <w:rsid w:val="006835D1"/>
    <w:rsid w:val="00683838"/>
    <w:rsid w:val="00683F45"/>
    <w:rsid w:val="00684CC9"/>
    <w:rsid w:val="00685887"/>
    <w:rsid w:val="00685DBF"/>
    <w:rsid w:val="006863FA"/>
    <w:rsid w:val="00686D02"/>
    <w:rsid w:val="006875D1"/>
    <w:rsid w:val="0069059D"/>
    <w:rsid w:val="00691C49"/>
    <w:rsid w:val="00692241"/>
    <w:rsid w:val="006934B2"/>
    <w:rsid w:val="006935D7"/>
    <w:rsid w:val="00693C27"/>
    <w:rsid w:val="00694264"/>
    <w:rsid w:val="006957D6"/>
    <w:rsid w:val="006968F9"/>
    <w:rsid w:val="006972AE"/>
    <w:rsid w:val="006A0A17"/>
    <w:rsid w:val="006A0AD4"/>
    <w:rsid w:val="006A0C5D"/>
    <w:rsid w:val="006A0E0B"/>
    <w:rsid w:val="006A11E8"/>
    <w:rsid w:val="006A2BF5"/>
    <w:rsid w:val="006A2D24"/>
    <w:rsid w:val="006A2E6A"/>
    <w:rsid w:val="006A36D5"/>
    <w:rsid w:val="006A384B"/>
    <w:rsid w:val="006A4B79"/>
    <w:rsid w:val="006A5C3E"/>
    <w:rsid w:val="006A6334"/>
    <w:rsid w:val="006A672B"/>
    <w:rsid w:val="006A6780"/>
    <w:rsid w:val="006A762B"/>
    <w:rsid w:val="006A776C"/>
    <w:rsid w:val="006A7A51"/>
    <w:rsid w:val="006A7A6E"/>
    <w:rsid w:val="006A7DA6"/>
    <w:rsid w:val="006B00CD"/>
    <w:rsid w:val="006B0511"/>
    <w:rsid w:val="006B05ED"/>
    <w:rsid w:val="006B0A73"/>
    <w:rsid w:val="006B0B99"/>
    <w:rsid w:val="006B1688"/>
    <w:rsid w:val="006B1701"/>
    <w:rsid w:val="006B256F"/>
    <w:rsid w:val="006B387D"/>
    <w:rsid w:val="006C04E1"/>
    <w:rsid w:val="006C0629"/>
    <w:rsid w:val="006C1FE1"/>
    <w:rsid w:val="006C29F4"/>
    <w:rsid w:val="006C2E12"/>
    <w:rsid w:val="006C30CD"/>
    <w:rsid w:val="006C3F3B"/>
    <w:rsid w:val="006C47DC"/>
    <w:rsid w:val="006C78F3"/>
    <w:rsid w:val="006D0136"/>
    <w:rsid w:val="006D0314"/>
    <w:rsid w:val="006D0750"/>
    <w:rsid w:val="006D155F"/>
    <w:rsid w:val="006D1646"/>
    <w:rsid w:val="006D24E3"/>
    <w:rsid w:val="006D29A2"/>
    <w:rsid w:val="006D2CF6"/>
    <w:rsid w:val="006D2CFC"/>
    <w:rsid w:val="006D2D84"/>
    <w:rsid w:val="006D3498"/>
    <w:rsid w:val="006D35DD"/>
    <w:rsid w:val="006D3695"/>
    <w:rsid w:val="006D4AD5"/>
    <w:rsid w:val="006D4FFA"/>
    <w:rsid w:val="006D78B9"/>
    <w:rsid w:val="006D7B58"/>
    <w:rsid w:val="006D7F76"/>
    <w:rsid w:val="006D7FF1"/>
    <w:rsid w:val="006E0319"/>
    <w:rsid w:val="006E06FC"/>
    <w:rsid w:val="006E17C2"/>
    <w:rsid w:val="006E1A7B"/>
    <w:rsid w:val="006E1BC7"/>
    <w:rsid w:val="006E252C"/>
    <w:rsid w:val="006E2747"/>
    <w:rsid w:val="006E2B7D"/>
    <w:rsid w:val="006E2D0E"/>
    <w:rsid w:val="006E2F9C"/>
    <w:rsid w:val="006E446D"/>
    <w:rsid w:val="006E566E"/>
    <w:rsid w:val="006E60F9"/>
    <w:rsid w:val="006F0DFF"/>
    <w:rsid w:val="006F17F7"/>
    <w:rsid w:val="006F2261"/>
    <w:rsid w:val="006F278B"/>
    <w:rsid w:val="006F4171"/>
    <w:rsid w:val="006F480E"/>
    <w:rsid w:val="006F52D9"/>
    <w:rsid w:val="006F5710"/>
    <w:rsid w:val="006F5FB1"/>
    <w:rsid w:val="006F699F"/>
    <w:rsid w:val="006F6E40"/>
    <w:rsid w:val="00700D85"/>
    <w:rsid w:val="00700DE2"/>
    <w:rsid w:val="00701DE2"/>
    <w:rsid w:val="0070213A"/>
    <w:rsid w:val="007029AE"/>
    <w:rsid w:val="00702CCC"/>
    <w:rsid w:val="0070318B"/>
    <w:rsid w:val="00703293"/>
    <w:rsid w:val="007033B1"/>
    <w:rsid w:val="00703D29"/>
    <w:rsid w:val="0070459F"/>
    <w:rsid w:val="00706678"/>
    <w:rsid w:val="0070760E"/>
    <w:rsid w:val="00710B04"/>
    <w:rsid w:val="0071167E"/>
    <w:rsid w:val="007116DA"/>
    <w:rsid w:val="00712073"/>
    <w:rsid w:val="00712DAF"/>
    <w:rsid w:val="007133C4"/>
    <w:rsid w:val="00713ADB"/>
    <w:rsid w:val="00713EFE"/>
    <w:rsid w:val="00714EB9"/>
    <w:rsid w:val="00714F98"/>
    <w:rsid w:val="0071624B"/>
    <w:rsid w:val="0071625D"/>
    <w:rsid w:val="0071656B"/>
    <w:rsid w:val="00716E07"/>
    <w:rsid w:val="007170AF"/>
    <w:rsid w:val="00720206"/>
    <w:rsid w:val="00720580"/>
    <w:rsid w:val="00720584"/>
    <w:rsid w:val="00721E78"/>
    <w:rsid w:val="00722169"/>
    <w:rsid w:val="00722FB0"/>
    <w:rsid w:val="00723234"/>
    <w:rsid w:val="007232F3"/>
    <w:rsid w:val="007237E0"/>
    <w:rsid w:val="0072391A"/>
    <w:rsid w:val="00723A45"/>
    <w:rsid w:val="007244CF"/>
    <w:rsid w:val="00724E98"/>
    <w:rsid w:val="00726DF6"/>
    <w:rsid w:val="00727100"/>
    <w:rsid w:val="007277EA"/>
    <w:rsid w:val="007309AE"/>
    <w:rsid w:val="007314E6"/>
    <w:rsid w:val="00731C88"/>
    <w:rsid w:val="00732599"/>
    <w:rsid w:val="007344FD"/>
    <w:rsid w:val="00734D02"/>
    <w:rsid w:val="00734D3B"/>
    <w:rsid w:val="00735295"/>
    <w:rsid w:val="00735321"/>
    <w:rsid w:val="00735E5F"/>
    <w:rsid w:val="00735FEF"/>
    <w:rsid w:val="00735FFD"/>
    <w:rsid w:val="00736353"/>
    <w:rsid w:val="007373F2"/>
    <w:rsid w:val="00741CF1"/>
    <w:rsid w:val="00742124"/>
    <w:rsid w:val="007425BA"/>
    <w:rsid w:val="00742734"/>
    <w:rsid w:val="00742CDA"/>
    <w:rsid w:val="00742D9F"/>
    <w:rsid w:val="00745881"/>
    <w:rsid w:val="00747537"/>
    <w:rsid w:val="00750C74"/>
    <w:rsid w:val="00752A37"/>
    <w:rsid w:val="00752F96"/>
    <w:rsid w:val="00753BA1"/>
    <w:rsid w:val="00753EE0"/>
    <w:rsid w:val="007540DA"/>
    <w:rsid w:val="00754DF9"/>
    <w:rsid w:val="00756FB6"/>
    <w:rsid w:val="00757C00"/>
    <w:rsid w:val="007601E3"/>
    <w:rsid w:val="00760A97"/>
    <w:rsid w:val="007614E4"/>
    <w:rsid w:val="00762E41"/>
    <w:rsid w:val="00763267"/>
    <w:rsid w:val="007640FF"/>
    <w:rsid w:val="00766311"/>
    <w:rsid w:val="00766DBF"/>
    <w:rsid w:val="0077091A"/>
    <w:rsid w:val="00771641"/>
    <w:rsid w:val="00771DCD"/>
    <w:rsid w:val="007729B9"/>
    <w:rsid w:val="00774247"/>
    <w:rsid w:val="00774823"/>
    <w:rsid w:val="00776453"/>
    <w:rsid w:val="00776E3D"/>
    <w:rsid w:val="00777CE4"/>
    <w:rsid w:val="007807E8"/>
    <w:rsid w:val="00781C5C"/>
    <w:rsid w:val="00781D87"/>
    <w:rsid w:val="00781F60"/>
    <w:rsid w:val="00782169"/>
    <w:rsid w:val="00782435"/>
    <w:rsid w:val="00782A0D"/>
    <w:rsid w:val="00782BDA"/>
    <w:rsid w:val="00783D32"/>
    <w:rsid w:val="0078404E"/>
    <w:rsid w:val="00784D7A"/>
    <w:rsid w:val="00785138"/>
    <w:rsid w:val="00785A26"/>
    <w:rsid w:val="007863BB"/>
    <w:rsid w:val="00790F2E"/>
    <w:rsid w:val="00791045"/>
    <w:rsid w:val="00791A76"/>
    <w:rsid w:val="00791B71"/>
    <w:rsid w:val="00792628"/>
    <w:rsid w:val="007933FC"/>
    <w:rsid w:val="0079464C"/>
    <w:rsid w:val="0079479F"/>
    <w:rsid w:val="00794BF7"/>
    <w:rsid w:val="00795241"/>
    <w:rsid w:val="00796420"/>
    <w:rsid w:val="007978CB"/>
    <w:rsid w:val="007A0319"/>
    <w:rsid w:val="007A04D3"/>
    <w:rsid w:val="007A063A"/>
    <w:rsid w:val="007A0D31"/>
    <w:rsid w:val="007A255C"/>
    <w:rsid w:val="007A29E4"/>
    <w:rsid w:val="007A3BB8"/>
    <w:rsid w:val="007A3E04"/>
    <w:rsid w:val="007A4DDA"/>
    <w:rsid w:val="007A51CF"/>
    <w:rsid w:val="007A6678"/>
    <w:rsid w:val="007A7B8F"/>
    <w:rsid w:val="007A7BA6"/>
    <w:rsid w:val="007A7C20"/>
    <w:rsid w:val="007B0AFF"/>
    <w:rsid w:val="007B2BE6"/>
    <w:rsid w:val="007B309B"/>
    <w:rsid w:val="007B31BA"/>
    <w:rsid w:val="007B3699"/>
    <w:rsid w:val="007B3749"/>
    <w:rsid w:val="007B46F3"/>
    <w:rsid w:val="007B5001"/>
    <w:rsid w:val="007B5005"/>
    <w:rsid w:val="007B51E8"/>
    <w:rsid w:val="007B5AE3"/>
    <w:rsid w:val="007B6134"/>
    <w:rsid w:val="007C14BD"/>
    <w:rsid w:val="007C16A7"/>
    <w:rsid w:val="007C1741"/>
    <w:rsid w:val="007C1913"/>
    <w:rsid w:val="007C1E6B"/>
    <w:rsid w:val="007C21EA"/>
    <w:rsid w:val="007C2C67"/>
    <w:rsid w:val="007C4586"/>
    <w:rsid w:val="007C4682"/>
    <w:rsid w:val="007C49E0"/>
    <w:rsid w:val="007C4BC7"/>
    <w:rsid w:val="007C5110"/>
    <w:rsid w:val="007C58DF"/>
    <w:rsid w:val="007C5D06"/>
    <w:rsid w:val="007C69F8"/>
    <w:rsid w:val="007C6B09"/>
    <w:rsid w:val="007C72D3"/>
    <w:rsid w:val="007C7B36"/>
    <w:rsid w:val="007D01CF"/>
    <w:rsid w:val="007D08D4"/>
    <w:rsid w:val="007D0B38"/>
    <w:rsid w:val="007D0D57"/>
    <w:rsid w:val="007D0E60"/>
    <w:rsid w:val="007D1354"/>
    <w:rsid w:val="007D1DD3"/>
    <w:rsid w:val="007D2426"/>
    <w:rsid w:val="007D2BDE"/>
    <w:rsid w:val="007D36EB"/>
    <w:rsid w:val="007D619B"/>
    <w:rsid w:val="007D7F9D"/>
    <w:rsid w:val="007E0A03"/>
    <w:rsid w:val="007E0AC1"/>
    <w:rsid w:val="007E16D8"/>
    <w:rsid w:val="007E1A8E"/>
    <w:rsid w:val="007E1CD2"/>
    <w:rsid w:val="007E22C4"/>
    <w:rsid w:val="007E2529"/>
    <w:rsid w:val="007E350D"/>
    <w:rsid w:val="007E3AEA"/>
    <w:rsid w:val="007E3B46"/>
    <w:rsid w:val="007E40E6"/>
    <w:rsid w:val="007E60A5"/>
    <w:rsid w:val="007E62B1"/>
    <w:rsid w:val="007E6FFF"/>
    <w:rsid w:val="007E7B14"/>
    <w:rsid w:val="007E7DFC"/>
    <w:rsid w:val="007F0169"/>
    <w:rsid w:val="007F0496"/>
    <w:rsid w:val="007F0630"/>
    <w:rsid w:val="007F196E"/>
    <w:rsid w:val="007F2B0B"/>
    <w:rsid w:val="007F37ED"/>
    <w:rsid w:val="007F4717"/>
    <w:rsid w:val="007F505F"/>
    <w:rsid w:val="007F5F1B"/>
    <w:rsid w:val="007F65EE"/>
    <w:rsid w:val="007F6F0B"/>
    <w:rsid w:val="007F7884"/>
    <w:rsid w:val="007F7908"/>
    <w:rsid w:val="007F7D50"/>
    <w:rsid w:val="0080042A"/>
    <w:rsid w:val="00800C3B"/>
    <w:rsid w:val="00800C89"/>
    <w:rsid w:val="00801547"/>
    <w:rsid w:val="00801BBC"/>
    <w:rsid w:val="008025B2"/>
    <w:rsid w:val="00802A9B"/>
    <w:rsid w:val="00802D92"/>
    <w:rsid w:val="00802F06"/>
    <w:rsid w:val="00803A54"/>
    <w:rsid w:val="00804986"/>
    <w:rsid w:val="008049FA"/>
    <w:rsid w:val="00804DB9"/>
    <w:rsid w:val="00805A3D"/>
    <w:rsid w:val="00806444"/>
    <w:rsid w:val="00807159"/>
    <w:rsid w:val="00810024"/>
    <w:rsid w:val="00811270"/>
    <w:rsid w:val="00811B83"/>
    <w:rsid w:val="00811D40"/>
    <w:rsid w:val="00812A9B"/>
    <w:rsid w:val="00812C88"/>
    <w:rsid w:val="00813882"/>
    <w:rsid w:val="00813B5B"/>
    <w:rsid w:val="00813D99"/>
    <w:rsid w:val="0081455F"/>
    <w:rsid w:val="00814810"/>
    <w:rsid w:val="008148FD"/>
    <w:rsid w:val="008152C9"/>
    <w:rsid w:val="00815712"/>
    <w:rsid w:val="00816AA6"/>
    <w:rsid w:val="00816B31"/>
    <w:rsid w:val="00816DC3"/>
    <w:rsid w:val="008173D3"/>
    <w:rsid w:val="008174AF"/>
    <w:rsid w:val="0081754A"/>
    <w:rsid w:val="0082018A"/>
    <w:rsid w:val="0082099D"/>
    <w:rsid w:val="008219E5"/>
    <w:rsid w:val="00821B40"/>
    <w:rsid w:val="00822B3B"/>
    <w:rsid w:val="00823215"/>
    <w:rsid w:val="0082407A"/>
    <w:rsid w:val="008254CE"/>
    <w:rsid w:val="00825A05"/>
    <w:rsid w:val="00826057"/>
    <w:rsid w:val="0082631A"/>
    <w:rsid w:val="00826F60"/>
    <w:rsid w:val="0082710B"/>
    <w:rsid w:val="00827863"/>
    <w:rsid w:val="0083122F"/>
    <w:rsid w:val="00831410"/>
    <w:rsid w:val="00831814"/>
    <w:rsid w:val="0083350F"/>
    <w:rsid w:val="00833980"/>
    <w:rsid w:val="00833A2E"/>
    <w:rsid w:val="00834404"/>
    <w:rsid w:val="00834E7C"/>
    <w:rsid w:val="008356F0"/>
    <w:rsid w:val="00836A4D"/>
    <w:rsid w:val="00836E7E"/>
    <w:rsid w:val="00840AFF"/>
    <w:rsid w:val="008419D9"/>
    <w:rsid w:val="00841FED"/>
    <w:rsid w:val="008424D0"/>
    <w:rsid w:val="00842C2B"/>
    <w:rsid w:val="00842FAF"/>
    <w:rsid w:val="00843943"/>
    <w:rsid w:val="00844075"/>
    <w:rsid w:val="0084434F"/>
    <w:rsid w:val="0084493F"/>
    <w:rsid w:val="00844A05"/>
    <w:rsid w:val="00844B3C"/>
    <w:rsid w:val="00845820"/>
    <w:rsid w:val="00846255"/>
    <w:rsid w:val="008469A1"/>
    <w:rsid w:val="00846F4B"/>
    <w:rsid w:val="008470F6"/>
    <w:rsid w:val="008476AE"/>
    <w:rsid w:val="00847BD2"/>
    <w:rsid w:val="008513B5"/>
    <w:rsid w:val="0085172A"/>
    <w:rsid w:val="008526EE"/>
    <w:rsid w:val="00852F96"/>
    <w:rsid w:val="0085301C"/>
    <w:rsid w:val="0085364C"/>
    <w:rsid w:val="00854F9E"/>
    <w:rsid w:val="00854FB0"/>
    <w:rsid w:val="00855CB2"/>
    <w:rsid w:val="00856369"/>
    <w:rsid w:val="00857DCA"/>
    <w:rsid w:val="00857E33"/>
    <w:rsid w:val="0086018A"/>
    <w:rsid w:val="00860A4B"/>
    <w:rsid w:val="00861665"/>
    <w:rsid w:val="00861C04"/>
    <w:rsid w:val="00861F53"/>
    <w:rsid w:val="0086252E"/>
    <w:rsid w:val="008627C2"/>
    <w:rsid w:val="00862B7C"/>
    <w:rsid w:val="00862E1D"/>
    <w:rsid w:val="00863482"/>
    <w:rsid w:val="00863B4A"/>
    <w:rsid w:val="00863C98"/>
    <w:rsid w:val="0086545E"/>
    <w:rsid w:val="0086584B"/>
    <w:rsid w:val="00865B74"/>
    <w:rsid w:val="008661FA"/>
    <w:rsid w:val="00866657"/>
    <w:rsid w:val="008669DA"/>
    <w:rsid w:val="00866A33"/>
    <w:rsid w:val="008671D6"/>
    <w:rsid w:val="0086752F"/>
    <w:rsid w:val="00870282"/>
    <w:rsid w:val="00871715"/>
    <w:rsid w:val="0087206C"/>
    <w:rsid w:val="00872987"/>
    <w:rsid w:val="00872A89"/>
    <w:rsid w:val="0087337B"/>
    <w:rsid w:val="00873676"/>
    <w:rsid w:val="00874976"/>
    <w:rsid w:val="008757E8"/>
    <w:rsid w:val="00875D93"/>
    <w:rsid w:val="00876712"/>
    <w:rsid w:val="00876D61"/>
    <w:rsid w:val="00876DBA"/>
    <w:rsid w:val="008773BE"/>
    <w:rsid w:val="00877E93"/>
    <w:rsid w:val="00877FB2"/>
    <w:rsid w:val="0088089B"/>
    <w:rsid w:val="008815EC"/>
    <w:rsid w:val="00881AD9"/>
    <w:rsid w:val="008829D9"/>
    <w:rsid w:val="00882ABE"/>
    <w:rsid w:val="00882E10"/>
    <w:rsid w:val="00882F56"/>
    <w:rsid w:val="00884E31"/>
    <w:rsid w:val="00887074"/>
    <w:rsid w:val="00887E70"/>
    <w:rsid w:val="00890799"/>
    <w:rsid w:val="00891B12"/>
    <w:rsid w:val="0089266B"/>
    <w:rsid w:val="0089330C"/>
    <w:rsid w:val="0089339B"/>
    <w:rsid w:val="00893689"/>
    <w:rsid w:val="00893C74"/>
    <w:rsid w:val="00893E4A"/>
    <w:rsid w:val="00893E90"/>
    <w:rsid w:val="008943E1"/>
    <w:rsid w:val="00894B63"/>
    <w:rsid w:val="00895245"/>
    <w:rsid w:val="008966BD"/>
    <w:rsid w:val="008969B2"/>
    <w:rsid w:val="00896DC1"/>
    <w:rsid w:val="00896E0B"/>
    <w:rsid w:val="0089727C"/>
    <w:rsid w:val="00897E01"/>
    <w:rsid w:val="008A0635"/>
    <w:rsid w:val="008A158B"/>
    <w:rsid w:val="008A3037"/>
    <w:rsid w:val="008A39BD"/>
    <w:rsid w:val="008A43C5"/>
    <w:rsid w:val="008A47C2"/>
    <w:rsid w:val="008A4A86"/>
    <w:rsid w:val="008A4D21"/>
    <w:rsid w:val="008A4E22"/>
    <w:rsid w:val="008A5FE5"/>
    <w:rsid w:val="008A60E3"/>
    <w:rsid w:val="008A7E35"/>
    <w:rsid w:val="008B08B3"/>
    <w:rsid w:val="008B0DCA"/>
    <w:rsid w:val="008B1086"/>
    <w:rsid w:val="008B1637"/>
    <w:rsid w:val="008B1716"/>
    <w:rsid w:val="008B1AD8"/>
    <w:rsid w:val="008B1C43"/>
    <w:rsid w:val="008B22D8"/>
    <w:rsid w:val="008B2A30"/>
    <w:rsid w:val="008B32DD"/>
    <w:rsid w:val="008B39AE"/>
    <w:rsid w:val="008B4303"/>
    <w:rsid w:val="008B45D3"/>
    <w:rsid w:val="008B4D5E"/>
    <w:rsid w:val="008B5AE0"/>
    <w:rsid w:val="008B60C0"/>
    <w:rsid w:val="008B64FB"/>
    <w:rsid w:val="008B6B18"/>
    <w:rsid w:val="008B7753"/>
    <w:rsid w:val="008C0783"/>
    <w:rsid w:val="008C09C7"/>
    <w:rsid w:val="008C1EAF"/>
    <w:rsid w:val="008C2B9D"/>
    <w:rsid w:val="008C2C33"/>
    <w:rsid w:val="008C3CA6"/>
    <w:rsid w:val="008C3FCB"/>
    <w:rsid w:val="008C53CE"/>
    <w:rsid w:val="008C560A"/>
    <w:rsid w:val="008C5623"/>
    <w:rsid w:val="008C6904"/>
    <w:rsid w:val="008C6A16"/>
    <w:rsid w:val="008C6BA6"/>
    <w:rsid w:val="008D00E6"/>
    <w:rsid w:val="008D0571"/>
    <w:rsid w:val="008D0E4B"/>
    <w:rsid w:val="008D158E"/>
    <w:rsid w:val="008D1AD1"/>
    <w:rsid w:val="008D1F49"/>
    <w:rsid w:val="008D2283"/>
    <w:rsid w:val="008D235B"/>
    <w:rsid w:val="008D29D4"/>
    <w:rsid w:val="008D2E6D"/>
    <w:rsid w:val="008D38AB"/>
    <w:rsid w:val="008D4D95"/>
    <w:rsid w:val="008D58F4"/>
    <w:rsid w:val="008D6B8D"/>
    <w:rsid w:val="008D6B93"/>
    <w:rsid w:val="008D7D46"/>
    <w:rsid w:val="008E093E"/>
    <w:rsid w:val="008E0D9F"/>
    <w:rsid w:val="008E11F9"/>
    <w:rsid w:val="008E1E75"/>
    <w:rsid w:val="008E2956"/>
    <w:rsid w:val="008E311C"/>
    <w:rsid w:val="008E4751"/>
    <w:rsid w:val="008E4FBF"/>
    <w:rsid w:val="008E5DFA"/>
    <w:rsid w:val="008E67DC"/>
    <w:rsid w:val="008E67F8"/>
    <w:rsid w:val="008E7947"/>
    <w:rsid w:val="008E7DE0"/>
    <w:rsid w:val="008F0755"/>
    <w:rsid w:val="008F11D4"/>
    <w:rsid w:val="008F1368"/>
    <w:rsid w:val="008F168D"/>
    <w:rsid w:val="008F21DC"/>
    <w:rsid w:val="008F3619"/>
    <w:rsid w:val="008F4136"/>
    <w:rsid w:val="008F43FE"/>
    <w:rsid w:val="008F64E7"/>
    <w:rsid w:val="008F784B"/>
    <w:rsid w:val="008F7C95"/>
    <w:rsid w:val="00900413"/>
    <w:rsid w:val="00900436"/>
    <w:rsid w:val="00903B69"/>
    <w:rsid w:val="0090409A"/>
    <w:rsid w:val="0090466A"/>
    <w:rsid w:val="009055E6"/>
    <w:rsid w:val="0090603B"/>
    <w:rsid w:val="0090720D"/>
    <w:rsid w:val="00910008"/>
    <w:rsid w:val="009109F0"/>
    <w:rsid w:val="0091104B"/>
    <w:rsid w:val="00911166"/>
    <w:rsid w:val="00911418"/>
    <w:rsid w:val="00911DBD"/>
    <w:rsid w:val="00912771"/>
    <w:rsid w:val="009139C4"/>
    <w:rsid w:val="00913CC4"/>
    <w:rsid w:val="00913F27"/>
    <w:rsid w:val="009148EB"/>
    <w:rsid w:val="00915411"/>
    <w:rsid w:val="0091580C"/>
    <w:rsid w:val="00916BE8"/>
    <w:rsid w:val="009209BE"/>
    <w:rsid w:val="00920B1B"/>
    <w:rsid w:val="009238E5"/>
    <w:rsid w:val="009244F1"/>
    <w:rsid w:val="00924DA9"/>
    <w:rsid w:val="0092592B"/>
    <w:rsid w:val="009259A2"/>
    <w:rsid w:val="00926036"/>
    <w:rsid w:val="00926DCA"/>
    <w:rsid w:val="00930075"/>
    <w:rsid w:val="009307B2"/>
    <w:rsid w:val="00931B3B"/>
    <w:rsid w:val="00932235"/>
    <w:rsid w:val="0093265A"/>
    <w:rsid w:val="00932B6E"/>
    <w:rsid w:val="00932C46"/>
    <w:rsid w:val="0093365F"/>
    <w:rsid w:val="00933B8D"/>
    <w:rsid w:val="009340FD"/>
    <w:rsid w:val="00934419"/>
    <w:rsid w:val="00935EE1"/>
    <w:rsid w:val="00935F5D"/>
    <w:rsid w:val="00936347"/>
    <w:rsid w:val="009379EA"/>
    <w:rsid w:val="00937B7C"/>
    <w:rsid w:val="00937E82"/>
    <w:rsid w:val="009402C6"/>
    <w:rsid w:val="00940452"/>
    <w:rsid w:val="00941DB5"/>
    <w:rsid w:val="00942548"/>
    <w:rsid w:val="00943345"/>
    <w:rsid w:val="009445F5"/>
    <w:rsid w:val="00944EFC"/>
    <w:rsid w:val="009462CA"/>
    <w:rsid w:val="00947148"/>
    <w:rsid w:val="00947EB4"/>
    <w:rsid w:val="00947F82"/>
    <w:rsid w:val="00951292"/>
    <w:rsid w:val="00952488"/>
    <w:rsid w:val="00952910"/>
    <w:rsid w:val="00952A9A"/>
    <w:rsid w:val="00952E67"/>
    <w:rsid w:val="009532F3"/>
    <w:rsid w:val="0095330F"/>
    <w:rsid w:val="00953995"/>
    <w:rsid w:val="00953EEB"/>
    <w:rsid w:val="0095574A"/>
    <w:rsid w:val="00955B63"/>
    <w:rsid w:val="00955F6F"/>
    <w:rsid w:val="009562C9"/>
    <w:rsid w:val="0095653E"/>
    <w:rsid w:val="00956DA0"/>
    <w:rsid w:val="009570FD"/>
    <w:rsid w:val="00961272"/>
    <w:rsid w:val="00961436"/>
    <w:rsid w:val="00961F4A"/>
    <w:rsid w:val="00962844"/>
    <w:rsid w:val="00962956"/>
    <w:rsid w:val="00962B48"/>
    <w:rsid w:val="00962F33"/>
    <w:rsid w:val="009646EC"/>
    <w:rsid w:val="009652E9"/>
    <w:rsid w:val="0096535D"/>
    <w:rsid w:val="00965A40"/>
    <w:rsid w:val="00966FC3"/>
    <w:rsid w:val="00967408"/>
    <w:rsid w:val="00967D1B"/>
    <w:rsid w:val="00970036"/>
    <w:rsid w:val="009701C1"/>
    <w:rsid w:val="0097570F"/>
    <w:rsid w:val="009757E3"/>
    <w:rsid w:val="00975A54"/>
    <w:rsid w:val="00976F4A"/>
    <w:rsid w:val="0097720B"/>
    <w:rsid w:val="009774B1"/>
    <w:rsid w:val="00977B53"/>
    <w:rsid w:val="00980ABE"/>
    <w:rsid w:val="00981F37"/>
    <w:rsid w:val="00982637"/>
    <w:rsid w:val="009839C5"/>
    <w:rsid w:val="00985592"/>
    <w:rsid w:val="00985EEA"/>
    <w:rsid w:val="00985F6F"/>
    <w:rsid w:val="009862B6"/>
    <w:rsid w:val="00986ACE"/>
    <w:rsid w:val="00986DC2"/>
    <w:rsid w:val="0098733B"/>
    <w:rsid w:val="009904C2"/>
    <w:rsid w:val="009910DE"/>
    <w:rsid w:val="009912C9"/>
    <w:rsid w:val="009921A7"/>
    <w:rsid w:val="009938D9"/>
    <w:rsid w:val="00993C90"/>
    <w:rsid w:val="009940D4"/>
    <w:rsid w:val="0099411E"/>
    <w:rsid w:val="00995B6D"/>
    <w:rsid w:val="00996CF9"/>
    <w:rsid w:val="009A0387"/>
    <w:rsid w:val="009A17AB"/>
    <w:rsid w:val="009A17CD"/>
    <w:rsid w:val="009A1D06"/>
    <w:rsid w:val="009A1E3F"/>
    <w:rsid w:val="009A2868"/>
    <w:rsid w:val="009A2BD7"/>
    <w:rsid w:val="009A48CA"/>
    <w:rsid w:val="009A5F9E"/>
    <w:rsid w:val="009A636D"/>
    <w:rsid w:val="009A69FF"/>
    <w:rsid w:val="009A6A7E"/>
    <w:rsid w:val="009A6C6A"/>
    <w:rsid w:val="009A6DAA"/>
    <w:rsid w:val="009A7966"/>
    <w:rsid w:val="009A7D55"/>
    <w:rsid w:val="009B1A0E"/>
    <w:rsid w:val="009B1A4C"/>
    <w:rsid w:val="009B1FA6"/>
    <w:rsid w:val="009B24E7"/>
    <w:rsid w:val="009B388C"/>
    <w:rsid w:val="009B442C"/>
    <w:rsid w:val="009B4C50"/>
    <w:rsid w:val="009B6E33"/>
    <w:rsid w:val="009B7EEA"/>
    <w:rsid w:val="009C0001"/>
    <w:rsid w:val="009C1722"/>
    <w:rsid w:val="009C1BC4"/>
    <w:rsid w:val="009C221F"/>
    <w:rsid w:val="009C2E61"/>
    <w:rsid w:val="009C2FF6"/>
    <w:rsid w:val="009C314B"/>
    <w:rsid w:val="009C35F8"/>
    <w:rsid w:val="009C5116"/>
    <w:rsid w:val="009C5705"/>
    <w:rsid w:val="009C5E6A"/>
    <w:rsid w:val="009C5EBE"/>
    <w:rsid w:val="009C6187"/>
    <w:rsid w:val="009C6739"/>
    <w:rsid w:val="009C6EF8"/>
    <w:rsid w:val="009D0A01"/>
    <w:rsid w:val="009D2B9D"/>
    <w:rsid w:val="009D2CCD"/>
    <w:rsid w:val="009D322C"/>
    <w:rsid w:val="009D3CC8"/>
    <w:rsid w:val="009D4158"/>
    <w:rsid w:val="009D43F3"/>
    <w:rsid w:val="009D5416"/>
    <w:rsid w:val="009D5C0B"/>
    <w:rsid w:val="009D5E4F"/>
    <w:rsid w:val="009D5FD8"/>
    <w:rsid w:val="009D6609"/>
    <w:rsid w:val="009D6FC2"/>
    <w:rsid w:val="009D77B2"/>
    <w:rsid w:val="009D7B6E"/>
    <w:rsid w:val="009D7BA8"/>
    <w:rsid w:val="009D7CEC"/>
    <w:rsid w:val="009E0230"/>
    <w:rsid w:val="009E023E"/>
    <w:rsid w:val="009E04C2"/>
    <w:rsid w:val="009E0557"/>
    <w:rsid w:val="009E1876"/>
    <w:rsid w:val="009E1B7C"/>
    <w:rsid w:val="009E1BCA"/>
    <w:rsid w:val="009E1C07"/>
    <w:rsid w:val="009E1D8C"/>
    <w:rsid w:val="009E2800"/>
    <w:rsid w:val="009E2C28"/>
    <w:rsid w:val="009E3523"/>
    <w:rsid w:val="009E47CA"/>
    <w:rsid w:val="009E4B2D"/>
    <w:rsid w:val="009E4DD9"/>
    <w:rsid w:val="009E4F12"/>
    <w:rsid w:val="009E520D"/>
    <w:rsid w:val="009E5449"/>
    <w:rsid w:val="009E561D"/>
    <w:rsid w:val="009E63D5"/>
    <w:rsid w:val="009E6749"/>
    <w:rsid w:val="009E67A4"/>
    <w:rsid w:val="009E6E3C"/>
    <w:rsid w:val="009E791E"/>
    <w:rsid w:val="009F0386"/>
    <w:rsid w:val="009F202D"/>
    <w:rsid w:val="009F3752"/>
    <w:rsid w:val="009F4725"/>
    <w:rsid w:val="009F485B"/>
    <w:rsid w:val="009F65B1"/>
    <w:rsid w:val="009F6C29"/>
    <w:rsid w:val="009F71F9"/>
    <w:rsid w:val="009F76C9"/>
    <w:rsid w:val="009F7AEB"/>
    <w:rsid w:val="00A013CB"/>
    <w:rsid w:val="00A0200E"/>
    <w:rsid w:val="00A0223D"/>
    <w:rsid w:val="00A022D0"/>
    <w:rsid w:val="00A03598"/>
    <w:rsid w:val="00A0441B"/>
    <w:rsid w:val="00A04908"/>
    <w:rsid w:val="00A04EB8"/>
    <w:rsid w:val="00A06B45"/>
    <w:rsid w:val="00A06E68"/>
    <w:rsid w:val="00A078DC"/>
    <w:rsid w:val="00A07DEC"/>
    <w:rsid w:val="00A07E77"/>
    <w:rsid w:val="00A10CBF"/>
    <w:rsid w:val="00A11EDC"/>
    <w:rsid w:val="00A12310"/>
    <w:rsid w:val="00A1332D"/>
    <w:rsid w:val="00A134BC"/>
    <w:rsid w:val="00A14AD1"/>
    <w:rsid w:val="00A14F49"/>
    <w:rsid w:val="00A15744"/>
    <w:rsid w:val="00A15EC8"/>
    <w:rsid w:val="00A16375"/>
    <w:rsid w:val="00A17291"/>
    <w:rsid w:val="00A20601"/>
    <w:rsid w:val="00A21313"/>
    <w:rsid w:val="00A21DBC"/>
    <w:rsid w:val="00A21EF3"/>
    <w:rsid w:val="00A22282"/>
    <w:rsid w:val="00A226AF"/>
    <w:rsid w:val="00A227D8"/>
    <w:rsid w:val="00A228D1"/>
    <w:rsid w:val="00A22FD3"/>
    <w:rsid w:val="00A2379A"/>
    <w:rsid w:val="00A249BE"/>
    <w:rsid w:val="00A24F49"/>
    <w:rsid w:val="00A26A9D"/>
    <w:rsid w:val="00A271AE"/>
    <w:rsid w:val="00A27E09"/>
    <w:rsid w:val="00A3065B"/>
    <w:rsid w:val="00A30AAB"/>
    <w:rsid w:val="00A30DB9"/>
    <w:rsid w:val="00A31D7C"/>
    <w:rsid w:val="00A32969"/>
    <w:rsid w:val="00A32CB9"/>
    <w:rsid w:val="00A32F3D"/>
    <w:rsid w:val="00A32FCA"/>
    <w:rsid w:val="00A33550"/>
    <w:rsid w:val="00A338EB"/>
    <w:rsid w:val="00A33B7D"/>
    <w:rsid w:val="00A3463C"/>
    <w:rsid w:val="00A356C2"/>
    <w:rsid w:val="00A357FD"/>
    <w:rsid w:val="00A35F28"/>
    <w:rsid w:val="00A35F3F"/>
    <w:rsid w:val="00A35FD3"/>
    <w:rsid w:val="00A36097"/>
    <w:rsid w:val="00A360A8"/>
    <w:rsid w:val="00A36688"/>
    <w:rsid w:val="00A37529"/>
    <w:rsid w:val="00A40157"/>
    <w:rsid w:val="00A40B29"/>
    <w:rsid w:val="00A40FA9"/>
    <w:rsid w:val="00A41213"/>
    <w:rsid w:val="00A41DC8"/>
    <w:rsid w:val="00A42B54"/>
    <w:rsid w:val="00A439E9"/>
    <w:rsid w:val="00A45267"/>
    <w:rsid w:val="00A46638"/>
    <w:rsid w:val="00A46E81"/>
    <w:rsid w:val="00A47971"/>
    <w:rsid w:val="00A47DBA"/>
    <w:rsid w:val="00A50458"/>
    <w:rsid w:val="00A50F04"/>
    <w:rsid w:val="00A511A4"/>
    <w:rsid w:val="00A51253"/>
    <w:rsid w:val="00A51872"/>
    <w:rsid w:val="00A519EA"/>
    <w:rsid w:val="00A52B54"/>
    <w:rsid w:val="00A52C5B"/>
    <w:rsid w:val="00A53514"/>
    <w:rsid w:val="00A548CB"/>
    <w:rsid w:val="00A5506E"/>
    <w:rsid w:val="00A558A6"/>
    <w:rsid w:val="00A55EC7"/>
    <w:rsid w:val="00A56FA5"/>
    <w:rsid w:val="00A57170"/>
    <w:rsid w:val="00A61490"/>
    <w:rsid w:val="00A61AAA"/>
    <w:rsid w:val="00A61C35"/>
    <w:rsid w:val="00A61CAC"/>
    <w:rsid w:val="00A61CB1"/>
    <w:rsid w:val="00A62CE2"/>
    <w:rsid w:val="00A63B04"/>
    <w:rsid w:val="00A6583A"/>
    <w:rsid w:val="00A65A09"/>
    <w:rsid w:val="00A6638B"/>
    <w:rsid w:val="00A669FD"/>
    <w:rsid w:val="00A66DB3"/>
    <w:rsid w:val="00A7028C"/>
    <w:rsid w:val="00A70564"/>
    <w:rsid w:val="00A709F7"/>
    <w:rsid w:val="00A70EC7"/>
    <w:rsid w:val="00A70F2E"/>
    <w:rsid w:val="00A718D5"/>
    <w:rsid w:val="00A71D39"/>
    <w:rsid w:val="00A72251"/>
    <w:rsid w:val="00A723D4"/>
    <w:rsid w:val="00A72560"/>
    <w:rsid w:val="00A73EC7"/>
    <w:rsid w:val="00A745E7"/>
    <w:rsid w:val="00A74AED"/>
    <w:rsid w:val="00A7544C"/>
    <w:rsid w:val="00A764EC"/>
    <w:rsid w:val="00A773AD"/>
    <w:rsid w:val="00A77CC3"/>
    <w:rsid w:val="00A77E38"/>
    <w:rsid w:val="00A803FD"/>
    <w:rsid w:val="00A80571"/>
    <w:rsid w:val="00A80B14"/>
    <w:rsid w:val="00A81061"/>
    <w:rsid w:val="00A8179D"/>
    <w:rsid w:val="00A8212F"/>
    <w:rsid w:val="00A823CA"/>
    <w:rsid w:val="00A8274B"/>
    <w:rsid w:val="00A82D3E"/>
    <w:rsid w:val="00A83FC5"/>
    <w:rsid w:val="00A871CC"/>
    <w:rsid w:val="00A90589"/>
    <w:rsid w:val="00A907EB"/>
    <w:rsid w:val="00A90FE6"/>
    <w:rsid w:val="00A91248"/>
    <w:rsid w:val="00A914EB"/>
    <w:rsid w:val="00A9194C"/>
    <w:rsid w:val="00A92EA3"/>
    <w:rsid w:val="00A93256"/>
    <w:rsid w:val="00A939C0"/>
    <w:rsid w:val="00A93C4F"/>
    <w:rsid w:val="00A94208"/>
    <w:rsid w:val="00A94EFF"/>
    <w:rsid w:val="00A970A4"/>
    <w:rsid w:val="00AA01ED"/>
    <w:rsid w:val="00AA0633"/>
    <w:rsid w:val="00AA0DCC"/>
    <w:rsid w:val="00AA1375"/>
    <w:rsid w:val="00AA1474"/>
    <w:rsid w:val="00AA1800"/>
    <w:rsid w:val="00AA32A8"/>
    <w:rsid w:val="00AA348C"/>
    <w:rsid w:val="00AA5A35"/>
    <w:rsid w:val="00AB0F20"/>
    <w:rsid w:val="00AB12F6"/>
    <w:rsid w:val="00AB1AB2"/>
    <w:rsid w:val="00AB21A2"/>
    <w:rsid w:val="00AB25C3"/>
    <w:rsid w:val="00AB2C0D"/>
    <w:rsid w:val="00AB2E1F"/>
    <w:rsid w:val="00AB2EA2"/>
    <w:rsid w:val="00AB34B6"/>
    <w:rsid w:val="00AB36B3"/>
    <w:rsid w:val="00AB3710"/>
    <w:rsid w:val="00AB3D24"/>
    <w:rsid w:val="00AB4057"/>
    <w:rsid w:val="00AB4690"/>
    <w:rsid w:val="00AB4803"/>
    <w:rsid w:val="00AB54BC"/>
    <w:rsid w:val="00AB55D0"/>
    <w:rsid w:val="00AB5C05"/>
    <w:rsid w:val="00AB65C7"/>
    <w:rsid w:val="00AB6C1A"/>
    <w:rsid w:val="00AB76B1"/>
    <w:rsid w:val="00AC1D81"/>
    <w:rsid w:val="00AC2318"/>
    <w:rsid w:val="00AC4909"/>
    <w:rsid w:val="00AC5760"/>
    <w:rsid w:val="00AC58A5"/>
    <w:rsid w:val="00AC61C9"/>
    <w:rsid w:val="00AC6261"/>
    <w:rsid w:val="00AC6713"/>
    <w:rsid w:val="00AC6A93"/>
    <w:rsid w:val="00AC7FB7"/>
    <w:rsid w:val="00AD0163"/>
    <w:rsid w:val="00AD08F6"/>
    <w:rsid w:val="00AD0BAB"/>
    <w:rsid w:val="00AD1057"/>
    <w:rsid w:val="00AD1180"/>
    <w:rsid w:val="00AD300C"/>
    <w:rsid w:val="00AD3421"/>
    <w:rsid w:val="00AD351B"/>
    <w:rsid w:val="00AD43B3"/>
    <w:rsid w:val="00AD4F6B"/>
    <w:rsid w:val="00AD5441"/>
    <w:rsid w:val="00AD5BCD"/>
    <w:rsid w:val="00AD5EB6"/>
    <w:rsid w:val="00AD717C"/>
    <w:rsid w:val="00AD7A28"/>
    <w:rsid w:val="00AE0615"/>
    <w:rsid w:val="00AE100E"/>
    <w:rsid w:val="00AE153D"/>
    <w:rsid w:val="00AE2B0E"/>
    <w:rsid w:val="00AE4411"/>
    <w:rsid w:val="00AE5367"/>
    <w:rsid w:val="00AE6338"/>
    <w:rsid w:val="00AF10A4"/>
    <w:rsid w:val="00AF143A"/>
    <w:rsid w:val="00AF18EA"/>
    <w:rsid w:val="00AF1A8B"/>
    <w:rsid w:val="00AF2078"/>
    <w:rsid w:val="00AF26F3"/>
    <w:rsid w:val="00AF3D9B"/>
    <w:rsid w:val="00AF3FE9"/>
    <w:rsid w:val="00AF44CD"/>
    <w:rsid w:val="00AF464B"/>
    <w:rsid w:val="00AF4904"/>
    <w:rsid w:val="00AF5003"/>
    <w:rsid w:val="00AF55C9"/>
    <w:rsid w:val="00AF5D2A"/>
    <w:rsid w:val="00AF6448"/>
    <w:rsid w:val="00AF69C9"/>
    <w:rsid w:val="00AF794D"/>
    <w:rsid w:val="00B00165"/>
    <w:rsid w:val="00B02586"/>
    <w:rsid w:val="00B02676"/>
    <w:rsid w:val="00B034C0"/>
    <w:rsid w:val="00B03684"/>
    <w:rsid w:val="00B04635"/>
    <w:rsid w:val="00B05688"/>
    <w:rsid w:val="00B05F99"/>
    <w:rsid w:val="00B06732"/>
    <w:rsid w:val="00B07253"/>
    <w:rsid w:val="00B074D1"/>
    <w:rsid w:val="00B07A55"/>
    <w:rsid w:val="00B07AE3"/>
    <w:rsid w:val="00B1018F"/>
    <w:rsid w:val="00B1047D"/>
    <w:rsid w:val="00B106A9"/>
    <w:rsid w:val="00B109B2"/>
    <w:rsid w:val="00B10DC2"/>
    <w:rsid w:val="00B113D0"/>
    <w:rsid w:val="00B115DA"/>
    <w:rsid w:val="00B11608"/>
    <w:rsid w:val="00B1214B"/>
    <w:rsid w:val="00B135F4"/>
    <w:rsid w:val="00B13635"/>
    <w:rsid w:val="00B13914"/>
    <w:rsid w:val="00B13A1A"/>
    <w:rsid w:val="00B13CCF"/>
    <w:rsid w:val="00B14908"/>
    <w:rsid w:val="00B14EB6"/>
    <w:rsid w:val="00B14F84"/>
    <w:rsid w:val="00B15394"/>
    <w:rsid w:val="00B17240"/>
    <w:rsid w:val="00B1759F"/>
    <w:rsid w:val="00B20087"/>
    <w:rsid w:val="00B20207"/>
    <w:rsid w:val="00B20DB1"/>
    <w:rsid w:val="00B21229"/>
    <w:rsid w:val="00B2130C"/>
    <w:rsid w:val="00B217EE"/>
    <w:rsid w:val="00B21C56"/>
    <w:rsid w:val="00B21DFE"/>
    <w:rsid w:val="00B2256D"/>
    <w:rsid w:val="00B23416"/>
    <w:rsid w:val="00B23616"/>
    <w:rsid w:val="00B23A5E"/>
    <w:rsid w:val="00B24024"/>
    <w:rsid w:val="00B2434F"/>
    <w:rsid w:val="00B24F5B"/>
    <w:rsid w:val="00B2515E"/>
    <w:rsid w:val="00B25C82"/>
    <w:rsid w:val="00B267A3"/>
    <w:rsid w:val="00B27ACD"/>
    <w:rsid w:val="00B27F18"/>
    <w:rsid w:val="00B27FCB"/>
    <w:rsid w:val="00B30027"/>
    <w:rsid w:val="00B30E7B"/>
    <w:rsid w:val="00B3157A"/>
    <w:rsid w:val="00B319F4"/>
    <w:rsid w:val="00B33142"/>
    <w:rsid w:val="00B335EF"/>
    <w:rsid w:val="00B338B1"/>
    <w:rsid w:val="00B33F39"/>
    <w:rsid w:val="00B3426D"/>
    <w:rsid w:val="00B344BC"/>
    <w:rsid w:val="00B3471F"/>
    <w:rsid w:val="00B34A73"/>
    <w:rsid w:val="00B35729"/>
    <w:rsid w:val="00B364A6"/>
    <w:rsid w:val="00B3711A"/>
    <w:rsid w:val="00B372A9"/>
    <w:rsid w:val="00B3766E"/>
    <w:rsid w:val="00B37F18"/>
    <w:rsid w:val="00B37FCD"/>
    <w:rsid w:val="00B4004C"/>
    <w:rsid w:val="00B40179"/>
    <w:rsid w:val="00B402BE"/>
    <w:rsid w:val="00B40F89"/>
    <w:rsid w:val="00B40FCD"/>
    <w:rsid w:val="00B4136E"/>
    <w:rsid w:val="00B41F3C"/>
    <w:rsid w:val="00B42090"/>
    <w:rsid w:val="00B4269F"/>
    <w:rsid w:val="00B43273"/>
    <w:rsid w:val="00B432B5"/>
    <w:rsid w:val="00B435EF"/>
    <w:rsid w:val="00B4551E"/>
    <w:rsid w:val="00B46E45"/>
    <w:rsid w:val="00B500BE"/>
    <w:rsid w:val="00B5133E"/>
    <w:rsid w:val="00B53530"/>
    <w:rsid w:val="00B53BBE"/>
    <w:rsid w:val="00B53C5D"/>
    <w:rsid w:val="00B54F13"/>
    <w:rsid w:val="00B5502C"/>
    <w:rsid w:val="00B5508E"/>
    <w:rsid w:val="00B550C9"/>
    <w:rsid w:val="00B55911"/>
    <w:rsid w:val="00B56CBD"/>
    <w:rsid w:val="00B570F0"/>
    <w:rsid w:val="00B6017E"/>
    <w:rsid w:val="00B607F3"/>
    <w:rsid w:val="00B60D35"/>
    <w:rsid w:val="00B616BC"/>
    <w:rsid w:val="00B62DE1"/>
    <w:rsid w:val="00B63998"/>
    <w:rsid w:val="00B63B2B"/>
    <w:rsid w:val="00B64C24"/>
    <w:rsid w:val="00B64D9C"/>
    <w:rsid w:val="00B65D2D"/>
    <w:rsid w:val="00B66474"/>
    <w:rsid w:val="00B6658A"/>
    <w:rsid w:val="00B66B68"/>
    <w:rsid w:val="00B66D68"/>
    <w:rsid w:val="00B6732A"/>
    <w:rsid w:val="00B67E44"/>
    <w:rsid w:val="00B70307"/>
    <w:rsid w:val="00B7088C"/>
    <w:rsid w:val="00B720EA"/>
    <w:rsid w:val="00B723FE"/>
    <w:rsid w:val="00B72AA6"/>
    <w:rsid w:val="00B74289"/>
    <w:rsid w:val="00B75776"/>
    <w:rsid w:val="00B75CE4"/>
    <w:rsid w:val="00B76D6D"/>
    <w:rsid w:val="00B7785F"/>
    <w:rsid w:val="00B8006F"/>
    <w:rsid w:val="00B8034A"/>
    <w:rsid w:val="00B807FE"/>
    <w:rsid w:val="00B82BE0"/>
    <w:rsid w:val="00B8359D"/>
    <w:rsid w:val="00B84813"/>
    <w:rsid w:val="00B84A18"/>
    <w:rsid w:val="00B87AEF"/>
    <w:rsid w:val="00B9193A"/>
    <w:rsid w:val="00B929E0"/>
    <w:rsid w:val="00B935E5"/>
    <w:rsid w:val="00B93D20"/>
    <w:rsid w:val="00B93E2B"/>
    <w:rsid w:val="00B953E4"/>
    <w:rsid w:val="00B95D86"/>
    <w:rsid w:val="00B9617F"/>
    <w:rsid w:val="00B96517"/>
    <w:rsid w:val="00B967FA"/>
    <w:rsid w:val="00B96823"/>
    <w:rsid w:val="00B96E05"/>
    <w:rsid w:val="00B9743D"/>
    <w:rsid w:val="00B97E56"/>
    <w:rsid w:val="00BA0930"/>
    <w:rsid w:val="00BA0D26"/>
    <w:rsid w:val="00BA21F8"/>
    <w:rsid w:val="00BA27CC"/>
    <w:rsid w:val="00BA2BE1"/>
    <w:rsid w:val="00BA2CEB"/>
    <w:rsid w:val="00BA32F8"/>
    <w:rsid w:val="00BA3DE9"/>
    <w:rsid w:val="00BA3F19"/>
    <w:rsid w:val="00BA46D5"/>
    <w:rsid w:val="00BA4ECE"/>
    <w:rsid w:val="00BA73FC"/>
    <w:rsid w:val="00BA7BB6"/>
    <w:rsid w:val="00BB0829"/>
    <w:rsid w:val="00BB1B9D"/>
    <w:rsid w:val="00BB2689"/>
    <w:rsid w:val="00BB2A38"/>
    <w:rsid w:val="00BB2B75"/>
    <w:rsid w:val="00BB2EB3"/>
    <w:rsid w:val="00BB2F88"/>
    <w:rsid w:val="00BB394F"/>
    <w:rsid w:val="00BB397E"/>
    <w:rsid w:val="00BB3CDF"/>
    <w:rsid w:val="00BB4A6C"/>
    <w:rsid w:val="00BB5402"/>
    <w:rsid w:val="00BB63DA"/>
    <w:rsid w:val="00BB7119"/>
    <w:rsid w:val="00BB7B05"/>
    <w:rsid w:val="00BC0A89"/>
    <w:rsid w:val="00BC10FC"/>
    <w:rsid w:val="00BC17D3"/>
    <w:rsid w:val="00BC1D5C"/>
    <w:rsid w:val="00BC25BA"/>
    <w:rsid w:val="00BC2ACE"/>
    <w:rsid w:val="00BC2F52"/>
    <w:rsid w:val="00BC304F"/>
    <w:rsid w:val="00BC32FD"/>
    <w:rsid w:val="00BC364B"/>
    <w:rsid w:val="00BC39FE"/>
    <w:rsid w:val="00BC3CEE"/>
    <w:rsid w:val="00BC5134"/>
    <w:rsid w:val="00BC6D03"/>
    <w:rsid w:val="00BC6FF1"/>
    <w:rsid w:val="00BC7102"/>
    <w:rsid w:val="00BC7108"/>
    <w:rsid w:val="00BC7317"/>
    <w:rsid w:val="00BD1A1B"/>
    <w:rsid w:val="00BD20DF"/>
    <w:rsid w:val="00BD3280"/>
    <w:rsid w:val="00BD3A9C"/>
    <w:rsid w:val="00BD4094"/>
    <w:rsid w:val="00BD4887"/>
    <w:rsid w:val="00BD4BAB"/>
    <w:rsid w:val="00BD539A"/>
    <w:rsid w:val="00BD56DC"/>
    <w:rsid w:val="00BD6888"/>
    <w:rsid w:val="00BD6EAA"/>
    <w:rsid w:val="00BE11A7"/>
    <w:rsid w:val="00BE3A1B"/>
    <w:rsid w:val="00BE3D9E"/>
    <w:rsid w:val="00BE41B3"/>
    <w:rsid w:val="00BE44BB"/>
    <w:rsid w:val="00BE4E6B"/>
    <w:rsid w:val="00BE4EAD"/>
    <w:rsid w:val="00BE5BC5"/>
    <w:rsid w:val="00BE624D"/>
    <w:rsid w:val="00BE6A62"/>
    <w:rsid w:val="00BE6CE5"/>
    <w:rsid w:val="00BE6FDC"/>
    <w:rsid w:val="00BE70AD"/>
    <w:rsid w:val="00BF0C56"/>
    <w:rsid w:val="00BF0DD3"/>
    <w:rsid w:val="00BF20B6"/>
    <w:rsid w:val="00BF23ED"/>
    <w:rsid w:val="00BF2B49"/>
    <w:rsid w:val="00BF33A5"/>
    <w:rsid w:val="00BF3722"/>
    <w:rsid w:val="00BF3AFA"/>
    <w:rsid w:val="00BF4ED3"/>
    <w:rsid w:val="00BF4EE1"/>
    <w:rsid w:val="00BF5C3D"/>
    <w:rsid w:val="00BF5DDD"/>
    <w:rsid w:val="00BF66EE"/>
    <w:rsid w:val="00BF6BE3"/>
    <w:rsid w:val="00BF75FE"/>
    <w:rsid w:val="00BF76E3"/>
    <w:rsid w:val="00BF7EEE"/>
    <w:rsid w:val="00C02973"/>
    <w:rsid w:val="00C02BFE"/>
    <w:rsid w:val="00C03282"/>
    <w:rsid w:val="00C049AE"/>
    <w:rsid w:val="00C04ADA"/>
    <w:rsid w:val="00C05377"/>
    <w:rsid w:val="00C056CB"/>
    <w:rsid w:val="00C059FE"/>
    <w:rsid w:val="00C05EAF"/>
    <w:rsid w:val="00C063D1"/>
    <w:rsid w:val="00C06BBA"/>
    <w:rsid w:val="00C06D97"/>
    <w:rsid w:val="00C07504"/>
    <w:rsid w:val="00C10526"/>
    <w:rsid w:val="00C10C70"/>
    <w:rsid w:val="00C113E3"/>
    <w:rsid w:val="00C11650"/>
    <w:rsid w:val="00C11AD9"/>
    <w:rsid w:val="00C11D26"/>
    <w:rsid w:val="00C12193"/>
    <w:rsid w:val="00C1233D"/>
    <w:rsid w:val="00C12A58"/>
    <w:rsid w:val="00C13ECC"/>
    <w:rsid w:val="00C1461C"/>
    <w:rsid w:val="00C14ED0"/>
    <w:rsid w:val="00C1556D"/>
    <w:rsid w:val="00C179C0"/>
    <w:rsid w:val="00C17FB0"/>
    <w:rsid w:val="00C20589"/>
    <w:rsid w:val="00C219C3"/>
    <w:rsid w:val="00C2273A"/>
    <w:rsid w:val="00C22B15"/>
    <w:rsid w:val="00C22D20"/>
    <w:rsid w:val="00C23866"/>
    <w:rsid w:val="00C24609"/>
    <w:rsid w:val="00C2465C"/>
    <w:rsid w:val="00C24718"/>
    <w:rsid w:val="00C24A16"/>
    <w:rsid w:val="00C24CCD"/>
    <w:rsid w:val="00C24E6A"/>
    <w:rsid w:val="00C2534D"/>
    <w:rsid w:val="00C257F4"/>
    <w:rsid w:val="00C25A61"/>
    <w:rsid w:val="00C25F82"/>
    <w:rsid w:val="00C26B31"/>
    <w:rsid w:val="00C26C7A"/>
    <w:rsid w:val="00C26DFB"/>
    <w:rsid w:val="00C26E08"/>
    <w:rsid w:val="00C26F57"/>
    <w:rsid w:val="00C3048E"/>
    <w:rsid w:val="00C309E1"/>
    <w:rsid w:val="00C315A3"/>
    <w:rsid w:val="00C33210"/>
    <w:rsid w:val="00C34272"/>
    <w:rsid w:val="00C34456"/>
    <w:rsid w:val="00C344CF"/>
    <w:rsid w:val="00C354DA"/>
    <w:rsid w:val="00C35664"/>
    <w:rsid w:val="00C36CB4"/>
    <w:rsid w:val="00C40A8A"/>
    <w:rsid w:val="00C40BDD"/>
    <w:rsid w:val="00C4164A"/>
    <w:rsid w:val="00C42249"/>
    <w:rsid w:val="00C4281B"/>
    <w:rsid w:val="00C42BEE"/>
    <w:rsid w:val="00C43071"/>
    <w:rsid w:val="00C43C11"/>
    <w:rsid w:val="00C44035"/>
    <w:rsid w:val="00C44EEF"/>
    <w:rsid w:val="00C4736D"/>
    <w:rsid w:val="00C47374"/>
    <w:rsid w:val="00C47614"/>
    <w:rsid w:val="00C5022F"/>
    <w:rsid w:val="00C50DC9"/>
    <w:rsid w:val="00C50FA7"/>
    <w:rsid w:val="00C52AD6"/>
    <w:rsid w:val="00C53552"/>
    <w:rsid w:val="00C53D66"/>
    <w:rsid w:val="00C53D79"/>
    <w:rsid w:val="00C5436E"/>
    <w:rsid w:val="00C54AFB"/>
    <w:rsid w:val="00C55C3F"/>
    <w:rsid w:val="00C5766C"/>
    <w:rsid w:val="00C60045"/>
    <w:rsid w:val="00C60ED5"/>
    <w:rsid w:val="00C62A0F"/>
    <w:rsid w:val="00C6329B"/>
    <w:rsid w:val="00C63C8A"/>
    <w:rsid w:val="00C648C0"/>
    <w:rsid w:val="00C64BCD"/>
    <w:rsid w:val="00C66233"/>
    <w:rsid w:val="00C676E4"/>
    <w:rsid w:val="00C679F8"/>
    <w:rsid w:val="00C7028A"/>
    <w:rsid w:val="00C70FBC"/>
    <w:rsid w:val="00C72846"/>
    <w:rsid w:val="00C73315"/>
    <w:rsid w:val="00C73E78"/>
    <w:rsid w:val="00C73EFB"/>
    <w:rsid w:val="00C740FC"/>
    <w:rsid w:val="00C749CE"/>
    <w:rsid w:val="00C74AAB"/>
    <w:rsid w:val="00C757AC"/>
    <w:rsid w:val="00C75958"/>
    <w:rsid w:val="00C761E1"/>
    <w:rsid w:val="00C763EB"/>
    <w:rsid w:val="00C76B1B"/>
    <w:rsid w:val="00C76F5D"/>
    <w:rsid w:val="00C77173"/>
    <w:rsid w:val="00C800AC"/>
    <w:rsid w:val="00C804C9"/>
    <w:rsid w:val="00C8065A"/>
    <w:rsid w:val="00C80882"/>
    <w:rsid w:val="00C80B06"/>
    <w:rsid w:val="00C80C6A"/>
    <w:rsid w:val="00C820B0"/>
    <w:rsid w:val="00C834EB"/>
    <w:rsid w:val="00C83F92"/>
    <w:rsid w:val="00C8427E"/>
    <w:rsid w:val="00C84BCC"/>
    <w:rsid w:val="00C8508C"/>
    <w:rsid w:val="00C8520F"/>
    <w:rsid w:val="00C86F36"/>
    <w:rsid w:val="00C87B94"/>
    <w:rsid w:val="00C87D93"/>
    <w:rsid w:val="00C90622"/>
    <w:rsid w:val="00C911A1"/>
    <w:rsid w:val="00C916AE"/>
    <w:rsid w:val="00C91AD2"/>
    <w:rsid w:val="00C91D0D"/>
    <w:rsid w:val="00C9203E"/>
    <w:rsid w:val="00C926B1"/>
    <w:rsid w:val="00C9311D"/>
    <w:rsid w:val="00C936C4"/>
    <w:rsid w:val="00C936CA"/>
    <w:rsid w:val="00C9475E"/>
    <w:rsid w:val="00C9489F"/>
    <w:rsid w:val="00C954C6"/>
    <w:rsid w:val="00C9670A"/>
    <w:rsid w:val="00C96B51"/>
    <w:rsid w:val="00C97449"/>
    <w:rsid w:val="00C97994"/>
    <w:rsid w:val="00C979C6"/>
    <w:rsid w:val="00C97DBF"/>
    <w:rsid w:val="00CA0B13"/>
    <w:rsid w:val="00CA0FEA"/>
    <w:rsid w:val="00CA1852"/>
    <w:rsid w:val="00CA52B4"/>
    <w:rsid w:val="00CA5441"/>
    <w:rsid w:val="00CA570B"/>
    <w:rsid w:val="00CA5B1F"/>
    <w:rsid w:val="00CA6187"/>
    <w:rsid w:val="00CB0675"/>
    <w:rsid w:val="00CB0B11"/>
    <w:rsid w:val="00CB0D3A"/>
    <w:rsid w:val="00CB0F6A"/>
    <w:rsid w:val="00CB2572"/>
    <w:rsid w:val="00CB2CA0"/>
    <w:rsid w:val="00CB2F05"/>
    <w:rsid w:val="00CB3154"/>
    <w:rsid w:val="00CB33E7"/>
    <w:rsid w:val="00CB3765"/>
    <w:rsid w:val="00CB3938"/>
    <w:rsid w:val="00CB4545"/>
    <w:rsid w:val="00CB5051"/>
    <w:rsid w:val="00CB5501"/>
    <w:rsid w:val="00CB5870"/>
    <w:rsid w:val="00CB6098"/>
    <w:rsid w:val="00CB6990"/>
    <w:rsid w:val="00CB69EA"/>
    <w:rsid w:val="00CB6B54"/>
    <w:rsid w:val="00CB75DF"/>
    <w:rsid w:val="00CC049E"/>
    <w:rsid w:val="00CC085A"/>
    <w:rsid w:val="00CC0957"/>
    <w:rsid w:val="00CC1696"/>
    <w:rsid w:val="00CC1ED0"/>
    <w:rsid w:val="00CC22EC"/>
    <w:rsid w:val="00CC2FAF"/>
    <w:rsid w:val="00CC41E1"/>
    <w:rsid w:val="00CC4CAC"/>
    <w:rsid w:val="00CC4DC3"/>
    <w:rsid w:val="00CC4F7F"/>
    <w:rsid w:val="00CC59EC"/>
    <w:rsid w:val="00CC5E6A"/>
    <w:rsid w:val="00CC661D"/>
    <w:rsid w:val="00CC6666"/>
    <w:rsid w:val="00CC696D"/>
    <w:rsid w:val="00CD08C4"/>
    <w:rsid w:val="00CD0A3F"/>
    <w:rsid w:val="00CD1C87"/>
    <w:rsid w:val="00CD23DD"/>
    <w:rsid w:val="00CD26B6"/>
    <w:rsid w:val="00CD28A3"/>
    <w:rsid w:val="00CD30E8"/>
    <w:rsid w:val="00CD3D30"/>
    <w:rsid w:val="00CD4183"/>
    <w:rsid w:val="00CD41EE"/>
    <w:rsid w:val="00CD426A"/>
    <w:rsid w:val="00CD48AA"/>
    <w:rsid w:val="00CD644C"/>
    <w:rsid w:val="00CD68E3"/>
    <w:rsid w:val="00CD7A55"/>
    <w:rsid w:val="00CD7C1B"/>
    <w:rsid w:val="00CD7E15"/>
    <w:rsid w:val="00CE00B4"/>
    <w:rsid w:val="00CE0881"/>
    <w:rsid w:val="00CE19C6"/>
    <w:rsid w:val="00CE2B97"/>
    <w:rsid w:val="00CE300B"/>
    <w:rsid w:val="00CE3179"/>
    <w:rsid w:val="00CE31B0"/>
    <w:rsid w:val="00CE356A"/>
    <w:rsid w:val="00CE3638"/>
    <w:rsid w:val="00CE38AC"/>
    <w:rsid w:val="00CE513F"/>
    <w:rsid w:val="00CE5335"/>
    <w:rsid w:val="00CE59CF"/>
    <w:rsid w:val="00CE5A0F"/>
    <w:rsid w:val="00CE5CE6"/>
    <w:rsid w:val="00CE5D76"/>
    <w:rsid w:val="00CE5EF8"/>
    <w:rsid w:val="00CE784C"/>
    <w:rsid w:val="00CF0988"/>
    <w:rsid w:val="00CF0F27"/>
    <w:rsid w:val="00CF170D"/>
    <w:rsid w:val="00CF2C7B"/>
    <w:rsid w:val="00CF2DBE"/>
    <w:rsid w:val="00CF35BD"/>
    <w:rsid w:val="00CF4A33"/>
    <w:rsid w:val="00CF601F"/>
    <w:rsid w:val="00CF6537"/>
    <w:rsid w:val="00CF72F3"/>
    <w:rsid w:val="00CF7755"/>
    <w:rsid w:val="00CF7F4F"/>
    <w:rsid w:val="00D011DD"/>
    <w:rsid w:val="00D025D5"/>
    <w:rsid w:val="00D02864"/>
    <w:rsid w:val="00D0307C"/>
    <w:rsid w:val="00D03153"/>
    <w:rsid w:val="00D036E1"/>
    <w:rsid w:val="00D044F8"/>
    <w:rsid w:val="00D046ED"/>
    <w:rsid w:val="00D05A72"/>
    <w:rsid w:val="00D06086"/>
    <w:rsid w:val="00D062DF"/>
    <w:rsid w:val="00D065C6"/>
    <w:rsid w:val="00D0662C"/>
    <w:rsid w:val="00D079FC"/>
    <w:rsid w:val="00D11281"/>
    <w:rsid w:val="00D116F8"/>
    <w:rsid w:val="00D11716"/>
    <w:rsid w:val="00D12A34"/>
    <w:rsid w:val="00D1390F"/>
    <w:rsid w:val="00D16079"/>
    <w:rsid w:val="00D16D56"/>
    <w:rsid w:val="00D16FEE"/>
    <w:rsid w:val="00D17FAB"/>
    <w:rsid w:val="00D203B0"/>
    <w:rsid w:val="00D20D37"/>
    <w:rsid w:val="00D21206"/>
    <w:rsid w:val="00D21894"/>
    <w:rsid w:val="00D22020"/>
    <w:rsid w:val="00D22CC5"/>
    <w:rsid w:val="00D2384D"/>
    <w:rsid w:val="00D24028"/>
    <w:rsid w:val="00D242AC"/>
    <w:rsid w:val="00D268D2"/>
    <w:rsid w:val="00D278FF"/>
    <w:rsid w:val="00D27DDE"/>
    <w:rsid w:val="00D30243"/>
    <w:rsid w:val="00D303F4"/>
    <w:rsid w:val="00D30D09"/>
    <w:rsid w:val="00D30DFE"/>
    <w:rsid w:val="00D3158D"/>
    <w:rsid w:val="00D31A35"/>
    <w:rsid w:val="00D321BF"/>
    <w:rsid w:val="00D32FC7"/>
    <w:rsid w:val="00D338AD"/>
    <w:rsid w:val="00D33A92"/>
    <w:rsid w:val="00D33BBD"/>
    <w:rsid w:val="00D33F13"/>
    <w:rsid w:val="00D346B6"/>
    <w:rsid w:val="00D356B7"/>
    <w:rsid w:val="00D358FF"/>
    <w:rsid w:val="00D3601F"/>
    <w:rsid w:val="00D367FF"/>
    <w:rsid w:val="00D37A61"/>
    <w:rsid w:val="00D40D92"/>
    <w:rsid w:val="00D41B8C"/>
    <w:rsid w:val="00D42046"/>
    <w:rsid w:val="00D421A1"/>
    <w:rsid w:val="00D423D5"/>
    <w:rsid w:val="00D42422"/>
    <w:rsid w:val="00D44101"/>
    <w:rsid w:val="00D44FC9"/>
    <w:rsid w:val="00D4562A"/>
    <w:rsid w:val="00D459F6"/>
    <w:rsid w:val="00D45E61"/>
    <w:rsid w:val="00D4761B"/>
    <w:rsid w:val="00D47D05"/>
    <w:rsid w:val="00D503E3"/>
    <w:rsid w:val="00D5060B"/>
    <w:rsid w:val="00D51EC6"/>
    <w:rsid w:val="00D52940"/>
    <w:rsid w:val="00D5385F"/>
    <w:rsid w:val="00D53F2F"/>
    <w:rsid w:val="00D54667"/>
    <w:rsid w:val="00D55551"/>
    <w:rsid w:val="00D56690"/>
    <w:rsid w:val="00D572C0"/>
    <w:rsid w:val="00D57C85"/>
    <w:rsid w:val="00D602F2"/>
    <w:rsid w:val="00D60B13"/>
    <w:rsid w:val="00D613C4"/>
    <w:rsid w:val="00D61B75"/>
    <w:rsid w:val="00D63368"/>
    <w:rsid w:val="00D639EA"/>
    <w:rsid w:val="00D640B2"/>
    <w:rsid w:val="00D65338"/>
    <w:rsid w:val="00D6553D"/>
    <w:rsid w:val="00D65F43"/>
    <w:rsid w:val="00D6637E"/>
    <w:rsid w:val="00D66440"/>
    <w:rsid w:val="00D67C58"/>
    <w:rsid w:val="00D7015C"/>
    <w:rsid w:val="00D704E2"/>
    <w:rsid w:val="00D70992"/>
    <w:rsid w:val="00D70ED1"/>
    <w:rsid w:val="00D71245"/>
    <w:rsid w:val="00D718B3"/>
    <w:rsid w:val="00D729AE"/>
    <w:rsid w:val="00D72AAC"/>
    <w:rsid w:val="00D746B5"/>
    <w:rsid w:val="00D75CCA"/>
    <w:rsid w:val="00D7636D"/>
    <w:rsid w:val="00D76762"/>
    <w:rsid w:val="00D76EFE"/>
    <w:rsid w:val="00D7768A"/>
    <w:rsid w:val="00D7771C"/>
    <w:rsid w:val="00D77888"/>
    <w:rsid w:val="00D77C85"/>
    <w:rsid w:val="00D77EEF"/>
    <w:rsid w:val="00D80CF6"/>
    <w:rsid w:val="00D80F6B"/>
    <w:rsid w:val="00D813F5"/>
    <w:rsid w:val="00D81685"/>
    <w:rsid w:val="00D82916"/>
    <w:rsid w:val="00D83282"/>
    <w:rsid w:val="00D838DC"/>
    <w:rsid w:val="00D846BF"/>
    <w:rsid w:val="00D84D02"/>
    <w:rsid w:val="00D85569"/>
    <w:rsid w:val="00D85E70"/>
    <w:rsid w:val="00D866C1"/>
    <w:rsid w:val="00D866E1"/>
    <w:rsid w:val="00D86C35"/>
    <w:rsid w:val="00D902BC"/>
    <w:rsid w:val="00D90332"/>
    <w:rsid w:val="00D909DD"/>
    <w:rsid w:val="00D90ABF"/>
    <w:rsid w:val="00D90FFE"/>
    <w:rsid w:val="00D914D8"/>
    <w:rsid w:val="00D92309"/>
    <w:rsid w:val="00D9321A"/>
    <w:rsid w:val="00D93EB0"/>
    <w:rsid w:val="00D9456C"/>
    <w:rsid w:val="00D94640"/>
    <w:rsid w:val="00D962FF"/>
    <w:rsid w:val="00D96B00"/>
    <w:rsid w:val="00D9722D"/>
    <w:rsid w:val="00D97AA8"/>
    <w:rsid w:val="00D97E4C"/>
    <w:rsid w:val="00DA0EFD"/>
    <w:rsid w:val="00DA0F10"/>
    <w:rsid w:val="00DA11B9"/>
    <w:rsid w:val="00DA1434"/>
    <w:rsid w:val="00DA1F7D"/>
    <w:rsid w:val="00DA2058"/>
    <w:rsid w:val="00DA21ED"/>
    <w:rsid w:val="00DA39D8"/>
    <w:rsid w:val="00DA503D"/>
    <w:rsid w:val="00DA50B3"/>
    <w:rsid w:val="00DA6281"/>
    <w:rsid w:val="00DB0FBC"/>
    <w:rsid w:val="00DB14AE"/>
    <w:rsid w:val="00DB22D2"/>
    <w:rsid w:val="00DB24FC"/>
    <w:rsid w:val="00DB28FA"/>
    <w:rsid w:val="00DB347C"/>
    <w:rsid w:val="00DB3632"/>
    <w:rsid w:val="00DB48E5"/>
    <w:rsid w:val="00DB539A"/>
    <w:rsid w:val="00DB6835"/>
    <w:rsid w:val="00DB6E90"/>
    <w:rsid w:val="00DB6EA8"/>
    <w:rsid w:val="00DB70A0"/>
    <w:rsid w:val="00DB7B3E"/>
    <w:rsid w:val="00DC136E"/>
    <w:rsid w:val="00DC1404"/>
    <w:rsid w:val="00DC2DE5"/>
    <w:rsid w:val="00DC3C86"/>
    <w:rsid w:val="00DC40FE"/>
    <w:rsid w:val="00DC41DB"/>
    <w:rsid w:val="00DC5ADA"/>
    <w:rsid w:val="00DC5B25"/>
    <w:rsid w:val="00DC5FE6"/>
    <w:rsid w:val="00DC7466"/>
    <w:rsid w:val="00DD0AA9"/>
    <w:rsid w:val="00DD1BD1"/>
    <w:rsid w:val="00DD20F1"/>
    <w:rsid w:val="00DD253A"/>
    <w:rsid w:val="00DD347F"/>
    <w:rsid w:val="00DD36E2"/>
    <w:rsid w:val="00DD3D0D"/>
    <w:rsid w:val="00DD3D2C"/>
    <w:rsid w:val="00DD4437"/>
    <w:rsid w:val="00DD4BF0"/>
    <w:rsid w:val="00DD5847"/>
    <w:rsid w:val="00DD5A97"/>
    <w:rsid w:val="00DD6736"/>
    <w:rsid w:val="00DD67BA"/>
    <w:rsid w:val="00DD6BF6"/>
    <w:rsid w:val="00DD7A6E"/>
    <w:rsid w:val="00DE12E1"/>
    <w:rsid w:val="00DE18F9"/>
    <w:rsid w:val="00DE3363"/>
    <w:rsid w:val="00DE3B69"/>
    <w:rsid w:val="00DE3EDE"/>
    <w:rsid w:val="00DE435D"/>
    <w:rsid w:val="00DE481C"/>
    <w:rsid w:val="00DE4A5B"/>
    <w:rsid w:val="00DE4BD2"/>
    <w:rsid w:val="00DE4F3E"/>
    <w:rsid w:val="00DE50FC"/>
    <w:rsid w:val="00DE5F48"/>
    <w:rsid w:val="00DE628F"/>
    <w:rsid w:val="00DE6A60"/>
    <w:rsid w:val="00DE6CBE"/>
    <w:rsid w:val="00DE6DDC"/>
    <w:rsid w:val="00DE72FC"/>
    <w:rsid w:val="00DE786F"/>
    <w:rsid w:val="00DF002E"/>
    <w:rsid w:val="00DF035D"/>
    <w:rsid w:val="00DF1039"/>
    <w:rsid w:val="00DF2960"/>
    <w:rsid w:val="00DF428D"/>
    <w:rsid w:val="00DF472A"/>
    <w:rsid w:val="00DF47F3"/>
    <w:rsid w:val="00DF4E66"/>
    <w:rsid w:val="00DF514C"/>
    <w:rsid w:val="00DF51D3"/>
    <w:rsid w:val="00DF5511"/>
    <w:rsid w:val="00DF6769"/>
    <w:rsid w:val="00DF6C9E"/>
    <w:rsid w:val="00DF7000"/>
    <w:rsid w:val="00DF722B"/>
    <w:rsid w:val="00DF72A3"/>
    <w:rsid w:val="00DF7F34"/>
    <w:rsid w:val="00E003D7"/>
    <w:rsid w:val="00E00584"/>
    <w:rsid w:val="00E013AF"/>
    <w:rsid w:val="00E01B21"/>
    <w:rsid w:val="00E047D1"/>
    <w:rsid w:val="00E0500F"/>
    <w:rsid w:val="00E055EA"/>
    <w:rsid w:val="00E05B2C"/>
    <w:rsid w:val="00E067CE"/>
    <w:rsid w:val="00E06A0F"/>
    <w:rsid w:val="00E0714B"/>
    <w:rsid w:val="00E071A5"/>
    <w:rsid w:val="00E077A7"/>
    <w:rsid w:val="00E07B50"/>
    <w:rsid w:val="00E07F82"/>
    <w:rsid w:val="00E100F9"/>
    <w:rsid w:val="00E10A32"/>
    <w:rsid w:val="00E10EBF"/>
    <w:rsid w:val="00E113A4"/>
    <w:rsid w:val="00E11A2C"/>
    <w:rsid w:val="00E12071"/>
    <w:rsid w:val="00E12AE0"/>
    <w:rsid w:val="00E12BBE"/>
    <w:rsid w:val="00E12DE2"/>
    <w:rsid w:val="00E135FB"/>
    <w:rsid w:val="00E149A1"/>
    <w:rsid w:val="00E15163"/>
    <w:rsid w:val="00E15183"/>
    <w:rsid w:val="00E153D9"/>
    <w:rsid w:val="00E15CAB"/>
    <w:rsid w:val="00E161DE"/>
    <w:rsid w:val="00E16AA2"/>
    <w:rsid w:val="00E17692"/>
    <w:rsid w:val="00E22D3D"/>
    <w:rsid w:val="00E23810"/>
    <w:rsid w:val="00E24924"/>
    <w:rsid w:val="00E24E3D"/>
    <w:rsid w:val="00E24EDE"/>
    <w:rsid w:val="00E254D1"/>
    <w:rsid w:val="00E256D3"/>
    <w:rsid w:val="00E25C1C"/>
    <w:rsid w:val="00E277F5"/>
    <w:rsid w:val="00E27A7E"/>
    <w:rsid w:val="00E301FE"/>
    <w:rsid w:val="00E30697"/>
    <w:rsid w:val="00E31DFB"/>
    <w:rsid w:val="00E324A9"/>
    <w:rsid w:val="00E32D1C"/>
    <w:rsid w:val="00E339B9"/>
    <w:rsid w:val="00E33DC6"/>
    <w:rsid w:val="00E34057"/>
    <w:rsid w:val="00E341D4"/>
    <w:rsid w:val="00E342A9"/>
    <w:rsid w:val="00E35220"/>
    <w:rsid w:val="00E35B98"/>
    <w:rsid w:val="00E36300"/>
    <w:rsid w:val="00E36E0F"/>
    <w:rsid w:val="00E37188"/>
    <w:rsid w:val="00E402D7"/>
    <w:rsid w:val="00E4049E"/>
    <w:rsid w:val="00E40DDE"/>
    <w:rsid w:val="00E41203"/>
    <w:rsid w:val="00E4299A"/>
    <w:rsid w:val="00E42C81"/>
    <w:rsid w:val="00E4323E"/>
    <w:rsid w:val="00E437A3"/>
    <w:rsid w:val="00E43DF1"/>
    <w:rsid w:val="00E44ECE"/>
    <w:rsid w:val="00E457B6"/>
    <w:rsid w:val="00E47105"/>
    <w:rsid w:val="00E47433"/>
    <w:rsid w:val="00E47449"/>
    <w:rsid w:val="00E47773"/>
    <w:rsid w:val="00E47DAF"/>
    <w:rsid w:val="00E50BBD"/>
    <w:rsid w:val="00E50FC0"/>
    <w:rsid w:val="00E5234C"/>
    <w:rsid w:val="00E52E9F"/>
    <w:rsid w:val="00E53191"/>
    <w:rsid w:val="00E53D1D"/>
    <w:rsid w:val="00E53F41"/>
    <w:rsid w:val="00E57C42"/>
    <w:rsid w:val="00E57ED5"/>
    <w:rsid w:val="00E60584"/>
    <w:rsid w:val="00E60600"/>
    <w:rsid w:val="00E6113E"/>
    <w:rsid w:val="00E61E48"/>
    <w:rsid w:val="00E6205F"/>
    <w:rsid w:val="00E62887"/>
    <w:rsid w:val="00E62CD2"/>
    <w:rsid w:val="00E62ECF"/>
    <w:rsid w:val="00E630E0"/>
    <w:rsid w:val="00E636E3"/>
    <w:rsid w:val="00E638DB"/>
    <w:rsid w:val="00E64752"/>
    <w:rsid w:val="00E656CE"/>
    <w:rsid w:val="00E656E9"/>
    <w:rsid w:val="00E6661F"/>
    <w:rsid w:val="00E66BF7"/>
    <w:rsid w:val="00E70445"/>
    <w:rsid w:val="00E7182B"/>
    <w:rsid w:val="00E71EA5"/>
    <w:rsid w:val="00E72C95"/>
    <w:rsid w:val="00E732DF"/>
    <w:rsid w:val="00E73457"/>
    <w:rsid w:val="00E73DED"/>
    <w:rsid w:val="00E75531"/>
    <w:rsid w:val="00E7559A"/>
    <w:rsid w:val="00E761D8"/>
    <w:rsid w:val="00E76440"/>
    <w:rsid w:val="00E764B2"/>
    <w:rsid w:val="00E76C22"/>
    <w:rsid w:val="00E772C8"/>
    <w:rsid w:val="00E774E1"/>
    <w:rsid w:val="00E776BC"/>
    <w:rsid w:val="00E845A0"/>
    <w:rsid w:val="00E84753"/>
    <w:rsid w:val="00E84874"/>
    <w:rsid w:val="00E852BB"/>
    <w:rsid w:val="00E85A65"/>
    <w:rsid w:val="00E85CF2"/>
    <w:rsid w:val="00E86BD7"/>
    <w:rsid w:val="00E871B6"/>
    <w:rsid w:val="00E8742F"/>
    <w:rsid w:val="00E8774A"/>
    <w:rsid w:val="00E87843"/>
    <w:rsid w:val="00E878C1"/>
    <w:rsid w:val="00E90B38"/>
    <w:rsid w:val="00E91291"/>
    <w:rsid w:val="00E91919"/>
    <w:rsid w:val="00E91D77"/>
    <w:rsid w:val="00E932C8"/>
    <w:rsid w:val="00E94152"/>
    <w:rsid w:val="00E9442C"/>
    <w:rsid w:val="00E94ABD"/>
    <w:rsid w:val="00E94D4A"/>
    <w:rsid w:val="00E959F3"/>
    <w:rsid w:val="00E962E0"/>
    <w:rsid w:val="00E96A85"/>
    <w:rsid w:val="00E96DA3"/>
    <w:rsid w:val="00E97A80"/>
    <w:rsid w:val="00E97C84"/>
    <w:rsid w:val="00E97EAA"/>
    <w:rsid w:val="00EA0747"/>
    <w:rsid w:val="00EA1560"/>
    <w:rsid w:val="00EA2168"/>
    <w:rsid w:val="00EA2A21"/>
    <w:rsid w:val="00EA33A0"/>
    <w:rsid w:val="00EA39BF"/>
    <w:rsid w:val="00EA42A1"/>
    <w:rsid w:val="00EA4470"/>
    <w:rsid w:val="00EA4705"/>
    <w:rsid w:val="00EA5660"/>
    <w:rsid w:val="00EA62DB"/>
    <w:rsid w:val="00EA689C"/>
    <w:rsid w:val="00EA7A64"/>
    <w:rsid w:val="00EA7EB7"/>
    <w:rsid w:val="00EB3A71"/>
    <w:rsid w:val="00EB3D5E"/>
    <w:rsid w:val="00EB3E8D"/>
    <w:rsid w:val="00EB444E"/>
    <w:rsid w:val="00EB4AEF"/>
    <w:rsid w:val="00EB4BC7"/>
    <w:rsid w:val="00EB6761"/>
    <w:rsid w:val="00EB75F4"/>
    <w:rsid w:val="00EC0C6B"/>
    <w:rsid w:val="00EC151D"/>
    <w:rsid w:val="00EC1688"/>
    <w:rsid w:val="00EC3CE0"/>
    <w:rsid w:val="00EC3EC1"/>
    <w:rsid w:val="00EC5AB6"/>
    <w:rsid w:val="00EC5CA0"/>
    <w:rsid w:val="00EC5CC3"/>
    <w:rsid w:val="00EC6F6D"/>
    <w:rsid w:val="00EC6FBC"/>
    <w:rsid w:val="00EC7BC4"/>
    <w:rsid w:val="00EC7F3B"/>
    <w:rsid w:val="00ED0B51"/>
    <w:rsid w:val="00ED299E"/>
    <w:rsid w:val="00ED2DAE"/>
    <w:rsid w:val="00ED3232"/>
    <w:rsid w:val="00ED3549"/>
    <w:rsid w:val="00ED367A"/>
    <w:rsid w:val="00ED3B85"/>
    <w:rsid w:val="00ED4865"/>
    <w:rsid w:val="00ED48C0"/>
    <w:rsid w:val="00ED4C3E"/>
    <w:rsid w:val="00ED559D"/>
    <w:rsid w:val="00ED59BD"/>
    <w:rsid w:val="00ED6292"/>
    <w:rsid w:val="00ED630F"/>
    <w:rsid w:val="00EE07A3"/>
    <w:rsid w:val="00EE120B"/>
    <w:rsid w:val="00EE15CD"/>
    <w:rsid w:val="00EE1846"/>
    <w:rsid w:val="00EE1A64"/>
    <w:rsid w:val="00EE1EB2"/>
    <w:rsid w:val="00EE2E13"/>
    <w:rsid w:val="00EE2E73"/>
    <w:rsid w:val="00EE34B5"/>
    <w:rsid w:val="00EE36FB"/>
    <w:rsid w:val="00EE3F6C"/>
    <w:rsid w:val="00EE423D"/>
    <w:rsid w:val="00EE51A4"/>
    <w:rsid w:val="00EE62B9"/>
    <w:rsid w:val="00EE74D8"/>
    <w:rsid w:val="00EE7D7E"/>
    <w:rsid w:val="00EE7F96"/>
    <w:rsid w:val="00EF0A62"/>
    <w:rsid w:val="00EF0E32"/>
    <w:rsid w:val="00EF0F1C"/>
    <w:rsid w:val="00EF27AE"/>
    <w:rsid w:val="00EF3A7F"/>
    <w:rsid w:val="00EF3EFD"/>
    <w:rsid w:val="00EF4E88"/>
    <w:rsid w:val="00EF5B15"/>
    <w:rsid w:val="00EF6084"/>
    <w:rsid w:val="00EF6A41"/>
    <w:rsid w:val="00F00714"/>
    <w:rsid w:val="00F01339"/>
    <w:rsid w:val="00F014C0"/>
    <w:rsid w:val="00F02158"/>
    <w:rsid w:val="00F024B1"/>
    <w:rsid w:val="00F02502"/>
    <w:rsid w:val="00F03AC3"/>
    <w:rsid w:val="00F03DD6"/>
    <w:rsid w:val="00F047B1"/>
    <w:rsid w:val="00F05741"/>
    <w:rsid w:val="00F06189"/>
    <w:rsid w:val="00F07904"/>
    <w:rsid w:val="00F07FB0"/>
    <w:rsid w:val="00F10396"/>
    <w:rsid w:val="00F10994"/>
    <w:rsid w:val="00F11623"/>
    <w:rsid w:val="00F1383F"/>
    <w:rsid w:val="00F147C6"/>
    <w:rsid w:val="00F15148"/>
    <w:rsid w:val="00F15829"/>
    <w:rsid w:val="00F1679D"/>
    <w:rsid w:val="00F16842"/>
    <w:rsid w:val="00F16C86"/>
    <w:rsid w:val="00F17282"/>
    <w:rsid w:val="00F17428"/>
    <w:rsid w:val="00F178FA"/>
    <w:rsid w:val="00F207A4"/>
    <w:rsid w:val="00F2090A"/>
    <w:rsid w:val="00F216A0"/>
    <w:rsid w:val="00F21990"/>
    <w:rsid w:val="00F21D67"/>
    <w:rsid w:val="00F223B9"/>
    <w:rsid w:val="00F23C18"/>
    <w:rsid w:val="00F247FD"/>
    <w:rsid w:val="00F2489D"/>
    <w:rsid w:val="00F249E8"/>
    <w:rsid w:val="00F24A1D"/>
    <w:rsid w:val="00F25655"/>
    <w:rsid w:val="00F25694"/>
    <w:rsid w:val="00F2575C"/>
    <w:rsid w:val="00F265D7"/>
    <w:rsid w:val="00F26709"/>
    <w:rsid w:val="00F26FDE"/>
    <w:rsid w:val="00F303CB"/>
    <w:rsid w:val="00F30EC0"/>
    <w:rsid w:val="00F315E7"/>
    <w:rsid w:val="00F31A48"/>
    <w:rsid w:val="00F31B61"/>
    <w:rsid w:val="00F31B82"/>
    <w:rsid w:val="00F32076"/>
    <w:rsid w:val="00F32313"/>
    <w:rsid w:val="00F327C4"/>
    <w:rsid w:val="00F32949"/>
    <w:rsid w:val="00F33297"/>
    <w:rsid w:val="00F33863"/>
    <w:rsid w:val="00F34872"/>
    <w:rsid w:val="00F34989"/>
    <w:rsid w:val="00F355E5"/>
    <w:rsid w:val="00F3627A"/>
    <w:rsid w:val="00F36293"/>
    <w:rsid w:val="00F365EE"/>
    <w:rsid w:val="00F36C1F"/>
    <w:rsid w:val="00F409AB"/>
    <w:rsid w:val="00F41505"/>
    <w:rsid w:val="00F41A68"/>
    <w:rsid w:val="00F41F22"/>
    <w:rsid w:val="00F4272D"/>
    <w:rsid w:val="00F428B8"/>
    <w:rsid w:val="00F42C57"/>
    <w:rsid w:val="00F42CB4"/>
    <w:rsid w:val="00F432AF"/>
    <w:rsid w:val="00F446C0"/>
    <w:rsid w:val="00F45487"/>
    <w:rsid w:val="00F455B5"/>
    <w:rsid w:val="00F456AC"/>
    <w:rsid w:val="00F45906"/>
    <w:rsid w:val="00F46133"/>
    <w:rsid w:val="00F4669A"/>
    <w:rsid w:val="00F46759"/>
    <w:rsid w:val="00F46CD4"/>
    <w:rsid w:val="00F477F3"/>
    <w:rsid w:val="00F47E55"/>
    <w:rsid w:val="00F50277"/>
    <w:rsid w:val="00F50A46"/>
    <w:rsid w:val="00F51731"/>
    <w:rsid w:val="00F51B90"/>
    <w:rsid w:val="00F523CA"/>
    <w:rsid w:val="00F53C91"/>
    <w:rsid w:val="00F543C8"/>
    <w:rsid w:val="00F55CC2"/>
    <w:rsid w:val="00F56981"/>
    <w:rsid w:val="00F576F5"/>
    <w:rsid w:val="00F57BBA"/>
    <w:rsid w:val="00F603DF"/>
    <w:rsid w:val="00F60DC0"/>
    <w:rsid w:val="00F62043"/>
    <w:rsid w:val="00F624EC"/>
    <w:rsid w:val="00F62865"/>
    <w:rsid w:val="00F645B8"/>
    <w:rsid w:val="00F64761"/>
    <w:rsid w:val="00F649FA"/>
    <w:rsid w:val="00F66EBA"/>
    <w:rsid w:val="00F67386"/>
    <w:rsid w:val="00F67425"/>
    <w:rsid w:val="00F70D36"/>
    <w:rsid w:val="00F71059"/>
    <w:rsid w:val="00F71D67"/>
    <w:rsid w:val="00F71EC0"/>
    <w:rsid w:val="00F7231C"/>
    <w:rsid w:val="00F72EFB"/>
    <w:rsid w:val="00F73D39"/>
    <w:rsid w:val="00F743C5"/>
    <w:rsid w:val="00F74420"/>
    <w:rsid w:val="00F7503A"/>
    <w:rsid w:val="00F75187"/>
    <w:rsid w:val="00F75889"/>
    <w:rsid w:val="00F75980"/>
    <w:rsid w:val="00F7608F"/>
    <w:rsid w:val="00F76324"/>
    <w:rsid w:val="00F7660B"/>
    <w:rsid w:val="00F768DA"/>
    <w:rsid w:val="00F7720E"/>
    <w:rsid w:val="00F77952"/>
    <w:rsid w:val="00F84018"/>
    <w:rsid w:val="00F84229"/>
    <w:rsid w:val="00F847C3"/>
    <w:rsid w:val="00F84CEB"/>
    <w:rsid w:val="00F84DCD"/>
    <w:rsid w:val="00F85569"/>
    <w:rsid w:val="00F85841"/>
    <w:rsid w:val="00F85BE2"/>
    <w:rsid w:val="00F85CDB"/>
    <w:rsid w:val="00F86566"/>
    <w:rsid w:val="00F869A3"/>
    <w:rsid w:val="00F87640"/>
    <w:rsid w:val="00F904D3"/>
    <w:rsid w:val="00F90A90"/>
    <w:rsid w:val="00F9119C"/>
    <w:rsid w:val="00F916EA"/>
    <w:rsid w:val="00F92154"/>
    <w:rsid w:val="00F925FB"/>
    <w:rsid w:val="00F92CB3"/>
    <w:rsid w:val="00F92FF6"/>
    <w:rsid w:val="00F9384E"/>
    <w:rsid w:val="00F93B81"/>
    <w:rsid w:val="00F93E83"/>
    <w:rsid w:val="00F94F2D"/>
    <w:rsid w:val="00F956DA"/>
    <w:rsid w:val="00F961D1"/>
    <w:rsid w:val="00F963EE"/>
    <w:rsid w:val="00F9684E"/>
    <w:rsid w:val="00F97853"/>
    <w:rsid w:val="00F97BD2"/>
    <w:rsid w:val="00FA03D9"/>
    <w:rsid w:val="00FA0753"/>
    <w:rsid w:val="00FA2E94"/>
    <w:rsid w:val="00FA3C58"/>
    <w:rsid w:val="00FA4261"/>
    <w:rsid w:val="00FA46A1"/>
    <w:rsid w:val="00FA54DA"/>
    <w:rsid w:val="00FA62C6"/>
    <w:rsid w:val="00FA6B92"/>
    <w:rsid w:val="00FA6F3D"/>
    <w:rsid w:val="00FA70A7"/>
    <w:rsid w:val="00FA7B69"/>
    <w:rsid w:val="00FA7DB2"/>
    <w:rsid w:val="00FA7FCB"/>
    <w:rsid w:val="00FB0B5C"/>
    <w:rsid w:val="00FB107D"/>
    <w:rsid w:val="00FB2CF1"/>
    <w:rsid w:val="00FB3B88"/>
    <w:rsid w:val="00FB3BAF"/>
    <w:rsid w:val="00FB490C"/>
    <w:rsid w:val="00FB5A28"/>
    <w:rsid w:val="00FB5D9A"/>
    <w:rsid w:val="00FB6052"/>
    <w:rsid w:val="00FB6545"/>
    <w:rsid w:val="00FB6F1E"/>
    <w:rsid w:val="00FB70EB"/>
    <w:rsid w:val="00FB7272"/>
    <w:rsid w:val="00FB728E"/>
    <w:rsid w:val="00FC0660"/>
    <w:rsid w:val="00FC06B0"/>
    <w:rsid w:val="00FC1E04"/>
    <w:rsid w:val="00FC4D89"/>
    <w:rsid w:val="00FC4DCD"/>
    <w:rsid w:val="00FC4E01"/>
    <w:rsid w:val="00FC5D66"/>
    <w:rsid w:val="00FC61D0"/>
    <w:rsid w:val="00FC6711"/>
    <w:rsid w:val="00FC683A"/>
    <w:rsid w:val="00FC6FDF"/>
    <w:rsid w:val="00FC733A"/>
    <w:rsid w:val="00FD004F"/>
    <w:rsid w:val="00FD0BB1"/>
    <w:rsid w:val="00FD2343"/>
    <w:rsid w:val="00FD23E0"/>
    <w:rsid w:val="00FD2793"/>
    <w:rsid w:val="00FD32FB"/>
    <w:rsid w:val="00FD39D3"/>
    <w:rsid w:val="00FD3A7A"/>
    <w:rsid w:val="00FD4A87"/>
    <w:rsid w:val="00FD5628"/>
    <w:rsid w:val="00FD5E8C"/>
    <w:rsid w:val="00FD66C0"/>
    <w:rsid w:val="00FD69DC"/>
    <w:rsid w:val="00FD762D"/>
    <w:rsid w:val="00FD7FE1"/>
    <w:rsid w:val="00FE0A9B"/>
    <w:rsid w:val="00FE0CC9"/>
    <w:rsid w:val="00FE16EE"/>
    <w:rsid w:val="00FE2974"/>
    <w:rsid w:val="00FE395D"/>
    <w:rsid w:val="00FE3B93"/>
    <w:rsid w:val="00FE3D5E"/>
    <w:rsid w:val="00FE468D"/>
    <w:rsid w:val="00FE4C32"/>
    <w:rsid w:val="00FE5454"/>
    <w:rsid w:val="00FE5456"/>
    <w:rsid w:val="00FE59C4"/>
    <w:rsid w:val="00FE60A4"/>
    <w:rsid w:val="00FE60F9"/>
    <w:rsid w:val="00FE6382"/>
    <w:rsid w:val="00FE6390"/>
    <w:rsid w:val="00FE740B"/>
    <w:rsid w:val="00FF0494"/>
    <w:rsid w:val="00FF050E"/>
    <w:rsid w:val="00FF0C04"/>
    <w:rsid w:val="00FF0F04"/>
    <w:rsid w:val="00FF154F"/>
    <w:rsid w:val="00FF1E8B"/>
    <w:rsid w:val="00FF2AE9"/>
    <w:rsid w:val="00FF2E58"/>
    <w:rsid w:val="00FF3655"/>
    <w:rsid w:val="00FF372A"/>
    <w:rsid w:val="00FF37AA"/>
    <w:rsid w:val="00FF38E4"/>
    <w:rsid w:val="00FF44D5"/>
    <w:rsid w:val="00FF464A"/>
    <w:rsid w:val="00FF493A"/>
    <w:rsid w:val="00FF5113"/>
    <w:rsid w:val="00FF583B"/>
    <w:rsid w:val="00FF5E8A"/>
    <w:rsid w:val="00FF63F5"/>
    <w:rsid w:val="00FF7413"/>
    <w:rsid w:val="00FF7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33F01D2-735E-4E52-807C-754D6CBD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41"/>
    <w:pPr>
      <w:spacing w:after="200" w:line="276" w:lineRule="auto"/>
    </w:pPr>
    <w:rPr>
      <w:sz w:val="22"/>
      <w:szCs w:val="22"/>
      <w:lang w:eastAsia="en-US"/>
    </w:rPr>
  </w:style>
  <w:style w:type="paragraph" w:styleId="Heading1">
    <w:name w:val="heading 1"/>
    <w:basedOn w:val="Normal"/>
    <w:next w:val="Normal"/>
    <w:link w:val="Heading1Char"/>
    <w:uiPriority w:val="9"/>
    <w:qFormat/>
    <w:rsid w:val="00DF6C9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1207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2073"/>
    <w:pPr>
      <w:keepNext/>
      <w:keepLines/>
      <w:spacing w:before="200" w:after="0" w:line="360" w:lineRule="auto"/>
      <w:outlineLvl w:val="2"/>
    </w:pPr>
    <w:rPr>
      <w:rFonts w:eastAsia="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1207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2073"/>
    <w:rPr>
      <w:rFonts w:eastAsia="Times New Roman" w:cs="Times New Roman"/>
      <w:b/>
      <w:bCs/>
      <w:color w:val="000000"/>
      <w:sz w:val="24"/>
    </w:rPr>
  </w:style>
  <w:style w:type="character" w:styleId="Strong">
    <w:name w:val="Strong"/>
    <w:qFormat/>
    <w:rsid w:val="00712073"/>
    <w:rPr>
      <w:b/>
      <w:bCs/>
    </w:rPr>
  </w:style>
  <w:style w:type="paragraph" w:styleId="ListParagraph">
    <w:name w:val="List Paragraph"/>
    <w:basedOn w:val="Normal"/>
    <w:uiPriority w:val="34"/>
    <w:qFormat/>
    <w:rsid w:val="00712073"/>
    <w:pPr>
      <w:ind w:left="720"/>
      <w:contextualSpacing/>
    </w:pPr>
  </w:style>
  <w:style w:type="paragraph" w:styleId="Quote">
    <w:name w:val="Quote"/>
    <w:basedOn w:val="Normal"/>
    <w:next w:val="Normal"/>
    <w:link w:val="QuoteChar"/>
    <w:uiPriority w:val="29"/>
    <w:qFormat/>
    <w:rsid w:val="00712073"/>
    <w:rPr>
      <w:i/>
      <w:iCs/>
      <w:color w:val="000000"/>
      <w:sz w:val="20"/>
      <w:szCs w:val="20"/>
    </w:rPr>
  </w:style>
  <w:style w:type="character" w:customStyle="1" w:styleId="QuoteChar">
    <w:name w:val="Quote Char"/>
    <w:link w:val="Quote"/>
    <w:uiPriority w:val="29"/>
    <w:rsid w:val="00712073"/>
    <w:rPr>
      <w:i/>
      <w:iCs/>
      <w:color w:val="000000"/>
    </w:rPr>
  </w:style>
  <w:style w:type="character" w:styleId="SubtleEmphasis">
    <w:name w:val="Subtle Emphasis"/>
    <w:uiPriority w:val="19"/>
    <w:qFormat/>
    <w:rsid w:val="00712073"/>
    <w:rPr>
      <w:i/>
      <w:iCs/>
      <w:color w:val="808080"/>
    </w:rPr>
  </w:style>
  <w:style w:type="paragraph" w:customStyle="1" w:styleId="AccessibleHeading3">
    <w:name w:val="Accessible Heading 3"/>
    <w:basedOn w:val="Normal"/>
    <w:qFormat/>
    <w:rsid w:val="00712073"/>
    <w:pPr>
      <w:spacing w:after="240" w:line="240" w:lineRule="auto"/>
    </w:pPr>
    <w:rPr>
      <w:rFonts w:eastAsia="Times New Roman"/>
      <w:b/>
      <w:sz w:val="24"/>
      <w:szCs w:val="20"/>
    </w:rPr>
  </w:style>
  <w:style w:type="paragraph" w:customStyle="1" w:styleId="AccessibleBody">
    <w:name w:val="Accessible Body"/>
    <w:basedOn w:val="Normal"/>
    <w:qFormat/>
    <w:rsid w:val="005835A6"/>
    <w:pPr>
      <w:spacing w:after="240"/>
    </w:pPr>
    <w:rPr>
      <w:rFonts w:eastAsia="Times New Roman"/>
      <w:sz w:val="24"/>
      <w:szCs w:val="20"/>
    </w:rPr>
  </w:style>
  <w:style w:type="paragraph" w:customStyle="1" w:styleId="AccessibleHeading2">
    <w:name w:val="Accessible Heading 2"/>
    <w:basedOn w:val="Heading2"/>
    <w:next w:val="AccessibleBody"/>
    <w:qFormat/>
    <w:rsid w:val="00712073"/>
    <w:pPr>
      <w:spacing w:before="0" w:after="240"/>
    </w:pPr>
    <w:rPr>
      <w:rFonts w:ascii="Calibri" w:hAnsi="Calibri" w:cs="Calibri"/>
      <w:color w:val="000000"/>
      <w:sz w:val="28"/>
    </w:rPr>
  </w:style>
  <w:style w:type="numbering" w:customStyle="1" w:styleId="PolicyNumbering-Accessible">
    <w:name w:val="Policy Numbering - Accessible"/>
    <w:uiPriority w:val="99"/>
    <w:rsid w:val="0062798C"/>
    <w:pPr>
      <w:numPr>
        <w:numId w:val="1"/>
      </w:numPr>
    </w:pPr>
  </w:style>
  <w:style w:type="paragraph" w:customStyle="1" w:styleId="Policy-BodyText">
    <w:name w:val="Policy - Body Text"/>
    <w:basedOn w:val="Normal"/>
    <w:qFormat/>
    <w:rsid w:val="0062798C"/>
    <w:pPr>
      <w:numPr>
        <w:ilvl w:val="1"/>
        <w:numId w:val="2"/>
      </w:numPr>
      <w:spacing w:after="0"/>
    </w:pPr>
    <w:rPr>
      <w:rFonts w:eastAsia="Times New Roman"/>
      <w:sz w:val="24"/>
      <w:szCs w:val="24"/>
    </w:rPr>
  </w:style>
  <w:style w:type="paragraph" w:customStyle="1" w:styleId="PolicyHeading1-Accessible">
    <w:name w:val="Policy Heading 1 - Accessible"/>
    <w:basedOn w:val="Normal"/>
    <w:qFormat/>
    <w:rsid w:val="007C5D06"/>
    <w:pPr>
      <w:spacing w:before="120" w:after="0" w:line="240" w:lineRule="auto"/>
    </w:pPr>
    <w:rPr>
      <w:rFonts w:asciiTheme="minorHAnsi" w:eastAsia="Times New Roman" w:hAnsiTheme="minorHAnsi"/>
      <w:b/>
      <w:sz w:val="96"/>
      <w:szCs w:val="28"/>
    </w:rPr>
  </w:style>
  <w:style w:type="paragraph" w:customStyle="1" w:styleId="PolicyHeading2-Accessible">
    <w:name w:val="Policy Heading 2 - Accessible"/>
    <w:basedOn w:val="PolicyHeading1-Accessible"/>
    <w:qFormat/>
    <w:rsid w:val="004470B7"/>
    <w:pPr>
      <w:numPr>
        <w:numId w:val="10"/>
      </w:numPr>
      <w:spacing w:before="240" w:after="120"/>
      <w:outlineLvl w:val="0"/>
    </w:pPr>
    <w:rPr>
      <w:rFonts w:ascii="Arial" w:hAnsi="Arial"/>
      <w:caps/>
      <w:color w:val="482D8C"/>
      <w:sz w:val="40"/>
    </w:rPr>
  </w:style>
  <w:style w:type="paragraph" w:styleId="Header">
    <w:name w:val="header"/>
    <w:basedOn w:val="Normal"/>
    <w:link w:val="HeaderChar"/>
    <w:uiPriority w:val="99"/>
    <w:unhideWhenUsed/>
    <w:rsid w:val="00A02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2D0"/>
  </w:style>
  <w:style w:type="paragraph" w:styleId="Footer">
    <w:name w:val="footer"/>
    <w:basedOn w:val="Normal"/>
    <w:link w:val="FooterChar"/>
    <w:unhideWhenUsed/>
    <w:rsid w:val="00A022D0"/>
    <w:pPr>
      <w:tabs>
        <w:tab w:val="center" w:pos="4513"/>
        <w:tab w:val="right" w:pos="9026"/>
      </w:tabs>
      <w:spacing w:after="0" w:line="240" w:lineRule="auto"/>
    </w:pPr>
  </w:style>
  <w:style w:type="character" w:customStyle="1" w:styleId="FooterChar">
    <w:name w:val="Footer Char"/>
    <w:basedOn w:val="DefaultParagraphFont"/>
    <w:link w:val="Footer"/>
    <w:rsid w:val="00A022D0"/>
  </w:style>
  <w:style w:type="paragraph" w:styleId="BalloonText">
    <w:name w:val="Balloon Text"/>
    <w:basedOn w:val="Normal"/>
    <w:link w:val="BalloonTextChar"/>
    <w:uiPriority w:val="99"/>
    <w:semiHidden/>
    <w:unhideWhenUsed/>
    <w:rsid w:val="00A022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22D0"/>
    <w:rPr>
      <w:rFonts w:ascii="Tahoma" w:hAnsi="Tahoma" w:cs="Tahoma"/>
      <w:sz w:val="16"/>
      <w:szCs w:val="16"/>
    </w:rPr>
  </w:style>
  <w:style w:type="character" w:customStyle="1" w:styleId="Heading1Char">
    <w:name w:val="Heading 1 Char"/>
    <w:link w:val="Heading1"/>
    <w:uiPriority w:val="9"/>
    <w:rsid w:val="00DF6C9E"/>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4470B7"/>
    <w:pPr>
      <w:keepLines/>
      <w:spacing w:before="480" w:after="0"/>
      <w:outlineLvl w:val="9"/>
    </w:pPr>
    <w:rPr>
      <w:rFonts w:ascii="Arial" w:hAnsi="Arial"/>
      <w:color w:val="482D8C"/>
      <w:kern w:val="0"/>
      <w:sz w:val="28"/>
      <w:szCs w:val="28"/>
      <w:lang w:val="en-US"/>
    </w:rPr>
  </w:style>
  <w:style w:type="paragraph" w:styleId="TOC2">
    <w:name w:val="toc 2"/>
    <w:basedOn w:val="Normal"/>
    <w:next w:val="Normal"/>
    <w:autoRedefine/>
    <w:uiPriority w:val="39"/>
    <w:unhideWhenUsed/>
    <w:qFormat/>
    <w:rsid w:val="005F7B7E"/>
    <w:pPr>
      <w:tabs>
        <w:tab w:val="left" w:pos="567"/>
        <w:tab w:val="right" w:pos="9072"/>
      </w:tabs>
      <w:spacing w:after="120" w:line="240" w:lineRule="auto"/>
    </w:pPr>
    <w:rPr>
      <w:rFonts w:eastAsia="Times New Roman"/>
      <w:b/>
      <w:sz w:val="24"/>
      <w:lang w:val="en-US"/>
    </w:rPr>
  </w:style>
  <w:style w:type="paragraph" w:styleId="TOC1">
    <w:name w:val="toc 1"/>
    <w:basedOn w:val="Normal"/>
    <w:next w:val="Normal"/>
    <w:autoRedefine/>
    <w:uiPriority w:val="39"/>
    <w:unhideWhenUsed/>
    <w:qFormat/>
    <w:rsid w:val="004814AA"/>
    <w:pPr>
      <w:tabs>
        <w:tab w:val="right" w:pos="9072"/>
      </w:tabs>
      <w:spacing w:after="100"/>
    </w:pPr>
    <w:rPr>
      <w:rFonts w:eastAsia="Times New Roman"/>
      <w:lang w:val="en-US"/>
    </w:rPr>
  </w:style>
  <w:style w:type="paragraph" w:styleId="TOC3">
    <w:name w:val="toc 3"/>
    <w:basedOn w:val="Normal"/>
    <w:next w:val="Normal"/>
    <w:autoRedefine/>
    <w:uiPriority w:val="39"/>
    <w:unhideWhenUsed/>
    <w:qFormat/>
    <w:rsid w:val="001C7DE8"/>
    <w:pPr>
      <w:tabs>
        <w:tab w:val="left" w:pos="1320"/>
        <w:tab w:val="right" w:leader="dot" w:pos="9072"/>
      </w:tabs>
      <w:spacing w:after="100" w:line="360" w:lineRule="auto"/>
      <w:ind w:left="567"/>
    </w:pPr>
    <w:rPr>
      <w:rFonts w:eastAsia="Times New Roman"/>
      <w:lang w:val="en-US"/>
    </w:rPr>
  </w:style>
  <w:style w:type="paragraph" w:customStyle="1" w:styleId="ColorfulList-Accent11">
    <w:name w:val="Colorful List - Accent 11"/>
    <w:basedOn w:val="Normal"/>
    <w:link w:val="ColorfulList-Accent1Char"/>
    <w:uiPriority w:val="34"/>
    <w:qFormat/>
    <w:rsid w:val="00B95D86"/>
    <w:pPr>
      <w:spacing w:after="0" w:line="240" w:lineRule="auto"/>
      <w:ind w:left="720"/>
      <w:contextualSpacing/>
    </w:pPr>
    <w:rPr>
      <w:rFonts w:ascii="Arial" w:eastAsia="Times New Roman" w:hAnsi="Arial"/>
      <w:sz w:val="24"/>
      <w:szCs w:val="20"/>
    </w:rPr>
  </w:style>
  <w:style w:type="paragraph" w:customStyle="1" w:styleId="Default">
    <w:name w:val="Default"/>
    <w:basedOn w:val="Normal"/>
    <w:rsid w:val="00B95D86"/>
    <w:pPr>
      <w:autoSpaceDE w:val="0"/>
      <w:autoSpaceDN w:val="0"/>
      <w:spacing w:after="0" w:line="240" w:lineRule="auto"/>
    </w:pPr>
    <w:rPr>
      <w:color w:val="000000"/>
      <w:sz w:val="24"/>
      <w:szCs w:val="24"/>
      <w:lang w:eastAsia="en-AU"/>
    </w:rPr>
  </w:style>
  <w:style w:type="character" w:customStyle="1" w:styleId="ColorfulList-Accent1Char">
    <w:name w:val="Colorful List - Accent 1 Char"/>
    <w:link w:val="ColorfulList-Accent11"/>
    <w:uiPriority w:val="34"/>
    <w:locked/>
    <w:rsid w:val="00B95D86"/>
    <w:rPr>
      <w:rFonts w:ascii="Arial" w:eastAsia="Times New Roman" w:hAnsi="Arial"/>
      <w:sz w:val="24"/>
      <w:lang w:eastAsia="en-US"/>
    </w:rPr>
  </w:style>
  <w:style w:type="character" w:styleId="Emphasis">
    <w:name w:val="Emphasis"/>
    <w:uiPriority w:val="20"/>
    <w:qFormat/>
    <w:rsid w:val="000D62F0"/>
    <w:rPr>
      <w:i/>
      <w:iCs/>
    </w:rPr>
  </w:style>
  <w:style w:type="paragraph" w:styleId="NormalWeb">
    <w:name w:val="Normal (Web)"/>
    <w:basedOn w:val="Normal"/>
    <w:uiPriority w:val="99"/>
    <w:semiHidden/>
    <w:unhideWhenUsed/>
    <w:rsid w:val="000D62F0"/>
    <w:pPr>
      <w:spacing w:before="150" w:after="168" w:line="240" w:lineRule="auto"/>
    </w:pPr>
    <w:rPr>
      <w:rFonts w:ascii="Times New Roman" w:eastAsia="Times New Roman" w:hAnsi="Times New Roman"/>
      <w:sz w:val="24"/>
      <w:szCs w:val="24"/>
      <w:lang w:eastAsia="en-AU"/>
    </w:rPr>
  </w:style>
  <w:style w:type="table" w:styleId="TableGrid">
    <w:name w:val="Table Grid"/>
    <w:basedOn w:val="TableNormal"/>
    <w:rsid w:val="00FE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E60F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uiPriority w:val="99"/>
    <w:unhideWhenUsed/>
    <w:rsid w:val="0032136F"/>
    <w:pPr>
      <w:spacing w:before="120" w:after="120" w:line="240" w:lineRule="auto"/>
      <w:ind w:left="283"/>
    </w:pPr>
    <w:rPr>
      <w:rFonts w:ascii="Arial" w:eastAsia="Times New Roman" w:hAnsi="Arial"/>
      <w:sz w:val="24"/>
      <w:szCs w:val="20"/>
    </w:rPr>
  </w:style>
  <w:style w:type="character" w:customStyle="1" w:styleId="BodyTextIndentChar">
    <w:name w:val="Body Text Indent Char"/>
    <w:link w:val="BodyTextIndent"/>
    <w:uiPriority w:val="99"/>
    <w:rsid w:val="0032136F"/>
    <w:rPr>
      <w:rFonts w:ascii="Arial" w:eastAsia="Times New Roman" w:hAnsi="Arial"/>
      <w:sz w:val="24"/>
      <w:lang w:eastAsia="en-US"/>
    </w:rPr>
  </w:style>
  <w:style w:type="paragraph" w:styleId="ListNumber">
    <w:name w:val="List Number"/>
    <w:basedOn w:val="Normal"/>
    <w:uiPriority w:val="99"/>
    <w:unhideWhenUsed/>
    <w:rsid w:val="00000E42"/>
    <w:pPr>
      <w:numPr>
        <w:numId w:val="3"/>
      </w:numPr>
      <w:spacing w:before="120" w:after="0" w:line="300" w:lineRule="atLeast"/>
      <w:jc w:val="both"/>
    </w:pPr>
    <w:rPr>
      <w:rFonts w:ascii="Times New Roman" w:hAnsi="Times New Roman"/>
      <w:sz w:val="24"/>
      <w:szCs w:val="24"/>
      <w:lang w:eastAsia="en-AU"/>
    </w:rPr>
  </w:style>
  <w:style w:type="paragraph" w:styleId="ListNumber2">
    <w:name w:val="List Number 2"/>
    <w:basedOn w:val="Normal"/>
    <w:uiPriority w:val="99"/>
    <w:unhideWhenUsed/>
    <w:rsid w:val="00000E42"/>
    <w:pPr>
      <w:numPr>
        <w:ilvl w:val="1"/>
        <w:numId w:val="3"/>
      </w:numPr>
      <w:spacing w:before="120" w:after="0" w:line="300" w:lineRule="atLeast"/>
      <w:jc w:val="both"/>
    </w:pPr>
    <w:rPr>
      <w:rFonts w:ascii="Times New Roman" w:hAnsi="Times New Roman"/>
      <w:sz w:val="24"/>
      <w:szCs w:val="24"/>
      <w:lang w:eastAsia="en-AU"/>
    </w:rPr>
  </w:style>
  <w:style w:type="paragraph" w:styleId="ListNumber3">
    <w:name w:val="List Number 3"/>
    <w:basedOn w:val="Normal"/>
    <w:uiPriority w:val="99"/>
    <w:semiHidden/>
    <w:unhideWhenUsed/>
    <w:rsid w:val="00000E42"/>
    <w:pPr>
      <w:numPr>
        <w:ilvl w:val="2"/>
        <w:numId w:val="3"/>
      </w:numPr>
      <w:spacing w:before="120" w:after="0" w:line="300" w:lineRule="atLeast"/>
      <w:jc w:val="both"/>
    </w:pPr>
    <w:rPr>
      <w:rFonts w:ascii="Times New Roman" w:hAnsi="Times New Roman"/>
      <w:sz w:val="24"/>
      <w:szCs w:val="24"/>
      <w:lang w:eastAsia="en-AU"/>
    </w:rPr>
  </w:style>
  <w:style w:type="paragraph" w:customStyle="1" w:styleId="TableHeading">
    <w:name w:val="Table Heading"/>
    <w:basedOn w:val="Normal"/>
    <w:rsid w:val="00541AE4"/>
    <w:pPr>
      <w:keepNext/>
      <w:keepLines/>
      <w:spacing w:before="60" w:after="60" w:line="240" w:lineRule="auto"/>
    </w:pPr>
    <w:rPr>
      <w:rFonts w:eastAsia="Times New Roman" w:cs="Calibri"/>
      <w:b/>
      <w:sz w:val="20"/>
      <w:lang w:eastAsia="en-AU"/>
    </w:rPr>
  </w:style>
  <w:style w:type="paragraph" w:customStyle="1" w:styleId="TableText">
    <w:name w:val="Table Text"/>
    <w:basedOn w:val="Normal"/>
    <w:qFormat/>
    <w:rsid w:val="00541AE4"/>
    <w:pPr>
      <w:keepLines/>
      <w:spacing w:before="60" w:after="60" w:line="240" w:lineRule="auto"/>
    </w:pPr>
    <w:rPr>
      <w:rFonts w:eastAsia="Times New Roman" w:cs="Calibri"/>
      <w:sz w:val="20"/>
      <w:lang w:eastAsia="en-AU"/>
    </w:rPr>
  </w:style>
  <w:style w:type="character" w:customStyle="1" w:styleId="InstructionText">
    <w:name w:val="Instruction Text"/>
    <w:qFormat/>
    <w:rsid w:val="00541AE4"/>
    <w:rPr>
      <w:i/>
      <w:color w:val="0070C0"/>
    </w:rPr>
  </w:style>
  <w:style w:type="character" w:styleId="CommentReference">
    <w:name w:val="annotation reference"/>
    <w:semiHidden/>
    <w:unhideWhenUsed/>
    <w:rsid w:val="00327F47"/>
    <w:rPr>
      <w:sz w:val="16"/>
      <w:szCs w:val="16"/>
    </w:rPr>
  </w:style>
  <w:style w:type="paragraph" w:styleId="CommentText">
    <w:name w:val="annotation text"/>
    <w:basedOn w:val="Normal"/>
    <w:link w:val="CommentTextChar"/>
    <w:unhideWhenUsed/>
    <w:rsid w:val="00327F47"/>
    <w:rPr>
      <w:sz w:val="20"/>
      <w:szCs w:val="20"/>
    </w:rPr>
  </w:style>
  <w:style w:type="character" w:customStyle="1" w:styleId="CommentTextChar">
    <w:name w:val="Comment Text Char"/>
    <w:link w:val="CommentText"/>
    <w:rsid w:val="00327F47"/>
    <w:rPr>
      <w:lang w:eastAsia="en-US"/>
    </w:rPr>
  </w:style>
  <w:style w:type="paragraph" w:styleId="CommentSubject">
    <w:name w:val="annotation subject"/>
    <w:basedOn w:val="CommentText"/>
    <w:next w:val="CommentText"/>
    <w:link w:val="CommentSubjectChar"/>
    <w:uiPriority w:val="99"/>
    <w:semiHidden/>
    <w:unhideWhenUsed/>
    <w:rsid w:val="00327F47"/>
    <w:rPr>
      <w:b/>
      <w:bCs/>
    </w:rPr>
  </w:style>
  <w:style w:type="character" w:customStyle="1" w:styleId="CommentSubjectChar">
    <w:name w:val="Comment Subject Char"/>
    <w:link w:val="CommentSubject"/>
    <w:uiPriority w:val="99"/>
    <w:semiHidden/>
    <w:rsid w:val="00327F47"/>
    <w:rPr>
      <w:b/>
      <w:bCs/>
      <w:lang w:eastAsia="en-US"/>
    </w:rPr>
  </w:style>
  <w:style w:type="character" w:styleId="Hyperlink">
    <w:name w:val="Hyperlink"/>
    <w:uiPriority w:val="99"/>
    <w:unhideWhenUsed/>
    <w:rsid w:val="005973C6"/>
    <w:rPr>
      <w:color w:val="0000FF"/>
      <w:u w:val="single"/>
    </w:rPr>
  </w:style>
  <w:style w:type="paragraph" w:styleId="Revision">
    <w:name w:val="Revision"/>
    <w:hidden/>
    <w:uiPriority w:val="99"/>
    <w:semiHidden/>
    <w:rsid w:val="00F97853"/>
    <w:rPr>
      <w:sz w:val="22"/>
      <w:szCs w:val="22"/>
      <w:lang w:eastAsia="en-US"/>
    </w:rPr>
  </w:style>
  <w:style w:type="paragraph" w:styleId="TableofFigures">
    <w:name w:val="table of figures"/>
    <w:aliases w:val="Fig"/>
    <w:basedOn w:val="Normal"/>
    <w:next w:val="Normal"/>
    <w:uiPriority w:val="99"/>
    <w:semiHidden/>
    <w:unhideWhenUsed/>
    <w:rsid w:val="00A36097"/>
    <w:pPr>
      <w:spacing w:after="0"/>
    </w:pPr>
    <w:rPr>
      <w:sz w:val="18"/>
    </w:rPr>
  </w:style>
  <w:style w:type="paragraph" w:customStyle="1" w:styleId="PolicyHeading3-Accessible">
    <w:name w:val="Policy Heading 3 - Accessible"/>
    <w:basedOn w:val="Policy-BodyText"/>
    <w:autoRedefine/>
    <w:qFormat/>
    <w:rsid w:val="00781F60"/>
    <w:pPr>
      <w:spacing w:before="360" w:after="20"/>
      <w:ind w:left="-6"/>
      <w:outlineLvl w:val="1"/>
    </w:pPr>
    <w:rPr>
      <w:rFonts w:ascii="Arial" w:hAnsi="Arial"/>
      <w:caps/>
      <w:color w:val="00AEEF"/>
      <w:sz w:val="28"/>
    </w:rPr>
  </w:style>
  <w:style w:type="paragraph" w:customStyle="1" w:styleId="PolicyHeading4-Accessible">
    <w:name w:val="Policy Heading 4 - Accessible"/>
    <w:basedOn w:val="PolicyHeading3-Accessible"/>
    <w:autoRedefine/>
    <w:qFormat/>
    <w:rsid w:val="00D7636D"/>
    <w:pPr>
      <w:numPr>
        <w:ilvl w:val="2"/>
      </w:numPr>
      <w:outlineLvl w:val="2"/>
    </w:pPr>
    <w:rPr>
      <w:sz w:val="24"/>
    </w:rPr>
  </w:style>
  <w:style w:type="character" w:styleId="LineNumber">
    <w:name w:val="line number"/>
    <w:basedOn w:val="DefaultParagraphFont"/>
    <w:uiPriority w:val="99"/>
    <w:semiHidden/>
    <w:unhideWhenUsed/>
    <w:rsid w:val="003C1E41"/>
  </w:style>
  <w:style w:type="character" w:styleId="FollowedHyperlink">
    <w:name w:val="FollowedHyperlink"/>
    <w:basedOn w:val="DefaultParagraphFont"/>
    <w:uiPriority w:val="99"/>
    <w:semiHidden/>
    <w:unhideWhenUsed/>
    <w:rsid w:val="004005CE"/>
    <w:rPr>
      <w:color w:val="800080" w:themeColor="followedHyperlink"/>
      <w:u w:val="single"/>
    </w:rPr>
  </w:style>
  <w:style w:type="paragraph" w:styleId="FootnoteText">
    <w:name w:val="footnote text"/>
    <w:basedOn w:val="Normal"/>
    <w:link w:val="FootnoteTextChar"/>
    <w:uiPriority w:val="99"/>
    <w:semiHidden/>
    <w:unhideWhenUsed/>
    <w:rsid w:val="00AF18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8EA"/>
    <w:rPr>
      <w:lang w:eastAsia="en-US"/>
    </w:rPr>
  </w:style>
  <w:style w:type="character" w:styleId="FootnoteReference">
    <w:name w:val="footnote reference"/>
    <w:basedOn w:val="DefaultParagraphFont"/>
    <w:uiPriority w:val="99"/>
    <w:semiHidden/>
    <w:unhideWhenUsed/>
    <w:rsid w:val="00AF18EA"/>
    <w:rPr>
      <w:vertAlign w:val="superscript"/>
    </w:rPr>
  </w:style>
  <w:style w:type="paragraph" w:styleId="EndnoteText">
    <w:name w:val="endnote text"/>
    <w:basedOn w:val="Normal"/>
    <w:link w:val="EndnoteTextChar"/>
    <w:uiPriority w:val="99"/>
    <w:semiHidden/>
    <w:unhideWhenUsed/>
    <w:rsid w:val="003A79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792B"/>
    <w:rPr>
      <w:lang w:eastAsia="en-US"/>
    </w:rPr>
  </w:style>
  <w:style w:type="character" w:styleId="EndnoteReference">
    <w:name w:val="endnote reference"/>
    <w:basedOn w:val="DefaultParagraphFont"/>
    <w:uiPriority w:val="99"/>
    <w:semiHidden/>
    <w:unhideWhenUsed/>
    <w:rsid w:val="003A792B"/>
    <w:rPr>
      <w:vertAlign w:val="superscript"/>
    </w:rPr>
  </w:style>
  <w:style w:type="table" w:customStyle="1" w:styleId="DEEWRTable">
    <w:name w:val="DEEWR Table"/>
    <w:basedOn w:val="TableNormal"/>
    <w:uiPriority w:val="99"/>
    <w:rsid w:val="00444FD4"/>
    <w:rPr>
      <w:rFonts w:asciiTheme="minorHAnsi" w:eastAsiaTheme="minorEastAsia" w:hAnsiTheme="minorHAnsi" w:cstheme="minorBidi"/>
      <w:color w:val="000000" w:themeColor="text1"/>
      <w:szCs w:val="22"/>
      <w:lang w:eastAsia="en-US"/>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EEECE1" w:themeColor="background2"/>
        <w:sz w:val="20"/>
      </w:rPr>
      <w:tblPr/>
      <w:tcPr>
        <w:shd w:val="clear" w:color="auto" w:fill="522761"/>
      </w:tcPr>
    </w:tblStylePr>
    <w:tblStylePr w:type="firstCol">
      <w:pPr>
        <w:jc w:val="left"/>
      </w:pPr>
      <w:rPr>
        <w:b/>
      </w:rPr>
    </w:tblStylePr>
  </w:style>
  <w:style w:type="paragraph" w:customStyle="1" w:styleId="Source">
    <w:name w:val="Source"/>
    <w:basedOn w:val="Normal"/>
    <w:qFormat/>
    <w:rsid w:val="00B67E44"/>
    <w:rPr>
      <w:rFonts w:asciiTheme="minorHAnsi" w:eastAsiaTheme="minorEastAsia" w:hAnsiTheme="minorHAnsi" w:cstheme="minorHAnsi"/>
      <w:b/>
      <w:sz w:val="20"/>
      <w:szCs w:val="20"/>
    </w:rPr>
  </w:style>
  <w:style w:type="table" w:styleId="MediumShading1-Accent2">
    <w:name w:val="Medium Shading 1 Accent 2"/>
    <w:basedOn w:val="TableNormal"/>
    <w:uiPriority w:val="63"/>
    <w:rsid w:val="007A3E0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A3E0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F7908"/>
    <w:pPr>
      <w:spacing w:before="120" w:after="120"/>
    </w:pPr>
    <w:rPr>
      <w:rFonts w:ascii="Arial" w:hAnsi="Arial"/>
    </w:rPr>
    <w:tblPr>
      <w:tblStyleRowBandSize w:val="1"/>
      <w:tblStyleColBandSize w:val="1"/>
    </w:tblPr>
    <w:tblStylePr w:type="firstRow">
      <w:pPr>
        <w:wordWrap/>
        <w:spacing w:beforeLines="0" w:beforeAutospacing="0" w:afterLines="0" w:afterAutospacing="0" w:line="240" w:lineRule="auto"/>
      </w:pPr>
      <w:rPr>
        <w:rFonts w:ascii="Arial" w:hAnsi="Arial"/>
        <w:b/>
        <w:bCs/>
        <w:color w:val="FFFFFF" w:themeColor="background1"/>
      </w:rPr>
      <w:tblPr/>
      <w:tcPr>
        <w:shd w:val="clear" w:color="auto" w:fill="482D8C"/>
      </w:tcPr>
    </w:tblStylePr>
    <w:tblStylePr w:type="lastRow">
      <w:pPr>
        <w:spacing w:before="0" w:after="0" w:line="240" w:lineRule="auto"/>
      </w:pPr>
      <w:rPr>
        <w:rFonts w:ascii="Arial" w:hAnsi="Arial"/>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nil"/>
          <w:insideV w:val="single" w:sz="2" w:space="0" w:color="FFFFFF" w:themeColor="background1"/>
          <w:tl2br w:val="nil"/>
          <w:tr2bl w:val="nil"/>
        </w:tcBorders>
        <w:shd w:val="clear" w:color="auto" w:fill="D9D9D9" w:themeFill="background1" w:themeFillShade="D9"/>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E0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4713">
      <w:bodyDiv w:val="1"/>
      <w:marLeft w:val="0"/>
      <w:marRight w:val="0"/>
      <w:marTop w:val="0"/>
      <w:marBottom w:val="0"/>
      <w:divBdr>
        <w:top w:val="none" w:sz="0" w:space="0" w:color="auto"/>
        <w:left w:val="none" w:sz="0" w:space="0" w:color="auto"/>
        <w:bottom w:val="none" w:sz="0" w:space="0" w:color="auto"/>
        <w:right w:val="none" w:sz="0" w:space="0" w:color="auto"/>
      </w:divBdr>
    </w:div>
    <w:div w:id="274795212">
      <w:bodyDiv w:val="1"/>
      <w:marLeft w:val="0"/>
      <w:marRight w:val="0"/>
      <w:marTop w:val="0"/>
      <w:marBottom w:val="0"/>
      <w:divBdr>
        <w:top w:val="none" w:sz="0" w:space="0" w:color="auto"/>
        <w:left w:val="none" w:sz="0" w:space="0" w:color="auto"/>
        <w:bottom w:val="none" w:sz="0" w:space="0" w:color="auto"/>
        <w:right w:val="none" w:sz="0" w:space="0" w:color="auto"/>
      </w:divBdr>
    </w:div>
    <w:div w:id="446391395">
      <w:bodyDiv w:val="1"/>
      <w:marLeft w:val="0"/>
      <w:marRight w:val="0"/>
      <w:marTop w:val="0"/>
      <w:marBottom w:val="0"/>
      <w:divBdr>
        <w:top w:val="none" w:sz="0" w:space="0" w:color="auto"/>
        <w:left w:val="none" w:sz="0" w:space="0" w:color="auto"/>
        <w:bottom w:val="none" w:sz="0" w:space="0" w:color="auto"/>
        <w:right w:val="none" w:sz="0" w:space="0" w:color="auto"/>
      </w:divBdr>
    </w:div>
    <w:div w:id="508183169">
      <w:bodyDiv w:val="1"/>
      <w:marLeft w:val="0"/>
      <w:marRight w:val="0"/>
      <w:marTop w:val="0"/>
      <w:marBottom w:val="0"/>
      <w:divBdr>
        <w:top w:val="none" w:sz="0" w:space="0" w:color="auto"/>
        <w:left w:val="none" w:sz="0" w:space="0" w:color="auto"/>
        <w:bottom w:val="none" w:sz="0" w:space="0" w:color="auto"/>
        <w:right w:val="none" w:sz="0" w:space="0" w:color="auto"/>
      </w:divBdr>
    </w:div>
    <w:div w:id="534392328">
      <w:bodyDiv w:val="1"/>
      <w:marLeft w:val="0"/>
      <w:marRight w:val="0"/>
      <w:marTop w:val="0"/>
      <w:marBottom w:val="0"/>
      <w:divBdr>
        <w:top w:val="none" w:sz="0" w:space="0" w:color="auto"/>
        <w:left w:val="none" w:sz="0" w:space="0" w:color="auto"/>
        <w:bottom w:val="none" w:sz="0" w:space="0" w:color="auto"/>
        <w:right w:val="none" w:sz="0" w:space="0" w:color="auto"/>
      </w:divBdr>
    </w:div>
    <w:div w:id="570506405">
      <w:bodyDiv w:val="1"/>
      <w:marLeft w:val="0"/>
      <w:marRight w:val="0"/>
      <w:marTop w:val="0"/>
      <w:marBottom w:val="0"/>
      <w:divBdr>
        <w:top w:val="none" w:sz="0" w:space="0" w:color="auto"/>
        <w:left w:val="none" w:sz="0" w:space="0" w:color="auto"/>
        <w:bottom w:val="none" w:sz="0" w:space="0" w:color="auto"/>
        <w:right w:val="none" w:sz="0" w:space="0" w:color="auto"/>
      </w:divBdr>
      <w:divsChild>
        <w:div w:id="1403599220">
          <w:marLeft w:val="0"/>
          <w:marRight w:val="0"/>
          <w:marTop w:val="0"/>
          <w:marBottom w:val="0"/>
          <w:divBdr>
            <w:top w:val="none" w:sz="0" w:space="0" w:color="auto"/>
            <w:left w:val="none" w:sz="0" w:space="0" w:color="auto"/>
            <w:bottom w:val="none" w:sz="0" w:space="0" w:color="auto"/>
            <w:right w:val="none" w:sz="0" w:space="0" w:color="auto"/>
          </w:divBdr>
          <w:divsChild>
            <w:div w:id="1592742393">
              <w:marLeft w:val="0"/>
              <w:marRight w:val="0"/>
              <w:marTop w:val="0"/>
              <w:marBottom w:val="0"/>
              <w:divBdr>
                <w:top w:val="none" w:sz="0" w:space="0" w:color="auto"/>
                <w:left w:val="none" w:sz="0" w:space="0" w:color="auto"/>
                <w:bottom w:val="none" w:sz="0" w:space="0" w:color="auto"/>
                <w:right w:val="none" w:sz="0" w:space="0" w:color="auto"/>
              </w:divBdr>
              <w:divsChild>
                <w:div w:id="1423835772">
                  <w:marLeft w:val="0"/>
                  <w:marRight w:val="0"/>
                  <w:marTop w:val="0"/>
                  <w:marBottom w:val="188"/>
                  <w:divBdr>
                    <w:top w:val="single" w:sz="2" w:space="0" w:color="143351"/>
                    <w:left w:val="single" w:sz="2" w:space="0" w:color="143351"/>
                    <w:bottom w:val="single" w:sz="2" w:space="0" w:color="143351"/>
                    <w:right w:val="single" w:sz="2" w:space="0" w:color="143351"/>
                  </w:divBdr>
                  <w:divsChild>
                    <w:div w:id="1976914068">
                      <w:marLeft w:val="0"/>
                      <w:marRight w:val="0"/>
                      <w:marTop w:val="0"/>
                      <w:marBottom w:val="0"/>
                      <w:divBdr>
                        <w:top w:val="none" w:sz="0" w:space="0" w:color="auto"/>
                        <w:left w:val="none" w:sz="0" w:space="0" w:color="auto"/>
                        <w:bottom w:val="none" w:sz="0" w:space="0" w:color="auto"/>
                        <w:right w:val="none" w:sz="0" w:space="0" w:color="auto"/>
                      </w:divBdr>
                      <w:divsChild>
                        <w:div w:id="764426927">
                          <w:marLeft w:val="0"/>
                          <w:marRight w:val="0"/>
                          <w:marTop w:val="0"/>
                          <w:marBottom w:val="0"/>
                          <w:divBdr>
                            <w:top w:val="none" w:sz="0" w:space="0" w:color="auto"/>
                            <w:left w:val="none" w:sz="0" w:space="0" w:color="auto"/>
                            <w:bottom w:val="none" w:sz="0" w:space="0" w:color="auto"/>
                            <w:right w:val="none" w:sz="0" w:space="0" w:color="auto"/>
                          </w:divBdr>
                          <w:divsChild>
                            <w:div w:id="1048185631">
                              <w:marLeft w:val="0"/>
                              <w:marRight w:val="0"/>
                              <w:marTop w:val="0"/>
                              <w:marBottom w:val="0"/>
                              <w:divBdr>
                                <w:top w:val="none" w:sz="0" w:space="0" w:color="auto"/>
                                <w:left w:val="none" w:sz="0" w:space="0" w:color="auto"/>
                                <w:bottom w:val="none" w:sz="0" w:space="0" w:color="auto"/>
                                <w:right w:val="none" w:sz="0" w:space="0" w:color="auto"/>
                              </w:divBdr>
                              <w:divsChild>
                                <w:div w:id="4704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62871">
      <w:bodyDiv w:val="1"/>
      <w:marLeft w:val="0"/>
      <w:marRight w:val="0"/>
      <w:marTop w:val="0"/>
      <w:marBottom w:val="0"/>
      <w:divBdr>
        <w:top w:val="none" w:sz="0" w:space="0" w:color="auto"/>
        <w:left w:val="none" w:sz="0" w:space="0" w:color="auto"/>
        <w:bottom w:val="none" w:sz="0" w:space="0" w:color="auto"/>
        <w:right w:val="none" w:sz="0" w:space="0" w:color="auto"/>
      </w:divBdr>
    </w:div>
    <w:div w:id="857544452">
      <w:bodyDiv w:val="1"/>
      <w:marLeft w:val="0"/>
      <w:marRight w:val="0"/>
      <w:marTop w:val="0"/>
      <w:marBottom w:val="0"/>
      <w:divBdr>
        <w:top w:val="none" w:sz="0" w:space="0" w:color="auto"/>
        <w:left w:val="none" w:sz="0" w:space="0" w:color="auto"/>
        <w:bottom w:val="none" w:sz="0" w:space="0" w:color="auto"/>
        <w:right w:val="none" w:sz="0" w:space="0" w:color="auto"/>
      </w:divBdr>
    </w:div>
    <w:div w:id="958418654">
      <w:bodyDiv w:val="1"/>
      <w:marLeft w:val="0"/>
      <w:marRight w:val="0"/>
      <w:marTop w:val="0"/>
      <w:marBottom w:val="0"/>
      <w:divBdr>
        <w:top w:val="none" w:sz="0" w:space="0" w:color="auto"/>
        <w:left w:val="none" w:sz="0" w:space="0" w:color="auto"/>
        <w:bottom w:val="none" w:sz="0" w:space="0" w:color="auto"/>
        <w:right w:val="none" w:sz="0" w:space="0" w:color="auto"/>
      </w:divBdr>
    </w:div>
    <w:div w:id="1212154220">
      <w:bodyDiv w:val="1"/>
      <w:marLeft w:val="0"/>
      <w:marRight w:val="0"/>
      <w:marTop w:val="0"/>
      <w:marBottom w:val="0"/>
      <w:divBdr>
        <w:top w:val="none" w:sz="0" w:space="0" w:color="auto"/>
        <w:left w:val="none" w:sz="0" w:space="0" w:color="auto"/>
        <w:bottom w:val="none" w:sz="0" w:space="0" w:color="auto"/>
        <w:right w:val="none" w:sz="0" w:space="0" w:color="auto"/>
      </w:divBdr>
      <w:divsChild>
        <w:div w:id="1681615418">
          <w:marLeft w:val="0"/>
          <w:marRight w:val="0"/>
          <w:marTop w:val="0"/>
          <w:marBottom w:val="0"/>
          <w:divBdr>
            <w:top w:val="none" w:sz="0" w:space="0" w:color="auto"/>
            <w:left w:val="none" w:sz="0" w:space="0" w:color="auto"/>
            <w:bottom w:val="none" w:sz="0" w:space="0" w:color="auto"/>
            <w:right w:val="none" w:sz="0" w:space="0" w:color="auto"/>
          </w:divBdr>
          <w:divsChild>
            <w:div w:id="1093011763">
              <w:marLeft w:val="0"/>
              <w:marRight w:val="0"/>
              <w:marTop w:val="0"/>
              <w:marBottom w:val="0"/>
              <w:divBdr>
                <w:top w:val="none" w:sz="0" w:space="0" w:color="auto"/>
                <w:left w:val="none" w:sz="0" w:space="0" w:color="auto"/>
                <w:bottom w:val="none" w:sz="0" w:space="0" w:color="auto"/>
                <w:right w:val="none" w:sz="0" w:space="0" w:color="auto"/>
              </w:divBdr>
              <w:divsChild>
                <w:div w:id="1552764335">
                  <w:marLeft w:val="0"/>
                  <w:marRight w:val="0"/>
                  <w:marTop w:val="0"/>
                  <w:marBottom w:val="0"/>
                  <w:divBdr>
                    <w:top w:val="none" w:sz="0" w:space="0" w:color="auto"/>
                    <w:left w:val="none" w:sz="0" w:space="0" w:color="auto"/>
                    <w:bottom w:val="none" w:sz="0" w:space="0" w:color="auto"/>
                    <w:right w:val="none" w:sz="0" w:space="0" w:color="auto"/>
                  </w:divBdr>
                  <w:divsChild>
                    <w:div w:id="329724610">
                      <w:marLeft w:val="0"/>
                      <w:marRight w:val="0"/>
                      <w:marTop w:val="0"/>
                      <w:marBottom w:val="0"/>
                      <w:divBdr>
                        <w:top w:val="none" w:sz="0" w:space="0" w:color="auto"/>
                        <w:left w:val="none" w:sz="0" w:space="0" w:color="auto"/>
                        <w:bottom w:val="none" w:sz="0" w:space="0" w:color="auto"/>
                        <w:right w:val="none" w:sz="0" w:space="0" w:color="auto"/>
                      </w:divBdr>
                      <w:divsChild>
                        <w:div w:id="694504030">
                          <w:marLeft w:val="0"/>
                          <w:marRight w:val="0"/>
                          <w:marTop w:val="0"/>
                          <w:marBottom w:val="0"/>
                          <w:divBdr>
                            <w:top w:val="none" w:sz="0" w:space="0" w:color="auto"/>
                            <w:left w:val="none" w:sz="0" w:space="0" w:color="auto"/>
                            <w:bottom w:val="none" w:sz="0" w:space="0" w:color="auto"/>
                            <w:right w:val="none" w:sz="0" w:space="0" w:color="auto"/>
                          </w:divBdr>
                          <w:divsChild>
                            <w:div w:id="528181426">
                              <w:marLeft w:val="0"/>
                              <w:marRight w:val="0"/>
                              <w:marTop w:val="0"/>
                              <w:marBottom w:val="0"/>
                              <w:divBdr>
                                <w:top w:val="none" w:sz="0" w:space="0" w:color="auto"/>
                                <w:left w:val="none" w:sz="0" w:space="0" w:color="auto"/>
                                <w:bottom w:val="none" w:sz="0" w:space="0" w:color="auto"/>
                                <w:right w:val="none" w:sz="0" w:space="0" w:color="auto"/>
                              </w:divBdr>
                              <w:divsChild>
                                <w:div w:id="13099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6037">
      <w:bodyDiv w:val="1"/>
      <w:marLeft w:val="0"/>
      <w:marRight w:val="0"/>
      <w:marTop w:val="0"/>
      <w:marBottom w:val="0"/>
      <w:divBdr>
        <w:top w:val="none" w:sz="0" w:space="0" w:color="auto"/>
        <w:left w:val="none" w:sz="0" w:space="0" w:color="auto"/>
        <w:bottom w:val="none" w:sz="0" w:space="0" w:color="auto"/>
        <w:right w:val="none" w:sz="0" w:space="0" w:color="auto"/>
      </w:divBdr>
    </w:div>
    <w:div w:id="1292177033">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370640830">
      <w:bodyDiv w:val="1"/>
      <w:marLeft w:val="0"/>
      <w:marRight w:val="0"/>
      <w:marTop w:val="0"/>
      <w:marBottom w:val="0"/>
      <w:divBdr>
        <w:top w:val="none" w:sz="0" w:space="0" w:color="auto"/>
        <w:left w:val="none" w:sz="0" w:space="0" w:color="auto"/>
        <w:bottom w:val="none" w:sz="0" w:space="0" w:color="auto"/>
        <w:right w:val="none" w:sz="0" w:space="0" w:color="auto"/>
      </w:divBdr>
    </w:div>
    <w:div w:id="1443183029">
      <w:bodyDiv w:val="1"/>
      <w:marLeft w:val="0"/>
      <w:marRight w:val="0"/>
      <w:marTop w:val="0"/>
      <w:marBottom w:val="0"/>
      <w:divBdr>
        <w:top w:val="none" w:sz="0" w:space="0" w:color="auto"/>
        <w:left w:val="none" w:sz="0" w:space="0" w:color="auto"/>
        <w:bottom w:val="none" w:sz="0" w:space="0" w:color="auto"/>
        <w:right w:val="none" w:sz="0" w:space="0" w:color="auto"/>
      </w:divBdr>
    </w:div>
    <w:div w:id="1451245704">
      <w:bodyDiv w:val="1"/>
      <w:marLeft w:val="0"/>
      <w:marRight w:val="0"/>
      <w:marTop w:val="0"/>
      <w:marBottom w:val="0"/>
      <w:divBdr>
        <w:top w:val="none" w:sz="0" w:space="0" w:color="auto"/>
        <w:left w:val="none" w:sz="0" w:space="0" w:color="auto"/>
        <w:bottom w:val="none" w:sz="0" w:space="0" w:color="auto"/>
        <w:right w:val="none" w:sz="0" w:space="0" w:color="auto"/>
      </w:divBdr>
    </w:div>
    <w:div w:id="1477146347">
      <w:bodyDiv w:val="1"/>
      <w:marLeft w:val="0"/>
      <w:marRight w:val="0"/>
      <w:marTop w:val="0"/>
      <w:marBottom w:val="0"/>
      <w:divBdr>
        <w:top w:val="none" w:sz="0" w:space="0" w:color="auto"/>
        <w:left w:val="none" w:sz="0" w:space="0" w:color="auto"/>
        <w:bottom w:val="none" w:sz="0" w:space="0" w:color="auto"/>
        <w:right w:val="none" w:sz="0" w:space="0" w:color="auto"/>
      </w:divBdr>
    </w:div>
    <w:div w:id="1489200867">
      <w:bodyDiv w:val="1"/>
      <w:marLeft w:val="0"/>
      <w:marRight w:val="0"/>
      <w:marTop w:val="0"/>
      <w:marBottom w:val="0"/>
      <w:divBdr>
        <w:top w:val="none" w:sz="0" w:space="0" w:color="auto"/>
        <w:left w:val="none" w:sz="0" w:space="0" w:color="auto"/>
        <w:bottom w:val="none" w:sz="0" w:space="0" w:color="auto"/>
        <w:right w:val="none" w:sz="0" w:space="0" w:color="auto"/>
      </w:divBdr>
    </w:div>
    <w:div w:id="1559509463">
      <w:bodyDiv w:val="1"/>
      <w:marLeft w:val="0"/>
      <w:marRight w:val="0"/>
      <w:marTop w:val="0"/>
      <w:marBottom w:val="0"/>
      <w:divBdr>
        <w:top w:val="none" w:sz="0" w:space="0" w:color="auto"/>
        <w:left w:val="none" w:sz="0" w:space="0" w:color="auto"/>
        <w:bottom w:val="none" w:sz="0" w:space="0" w:color="auto"/>
        <w:right w:val="none" w:sz="0" w:space="0" w:color="auto"/>
      </w:divBdr>
    </w:div>
    <w:div w:id="1616062469">
      <w:bodyDiv w:val="1"/>
      <w:marLeft w:val="0"/>
      <w:marRight w:val="0"/>
      <w:marTop w:val="0"/>
      <w:marBottom w:val="0"/>
      <w:divBdr>
        <w:top w:val="none" w:sz="0" w:space="0" w:color="auto"/>
        <w:left w:val="none" w:sz="0" w:space="0" w:color="auto"/>
        <w:bottom w:val="none" w:sz="0" w:space="0" w:color="auto"/>
        <w:right w:val="none" w:sz="0" w:space="0" w:color="auto"/>
      </w:divBdr>
    </w:div>
    <w:div w:id="1660188058">
      <w:bodyDiv w:val="1"/>
      <w:marLeft w:val="0"/>
      <w:marRight w:val="0"/>
      <w:marTop w:val="0"/>
      <w:marBottom w:val="0"/>
      <w:divBdr>
        <w:top w:val="none" w:sz="0" w:space="0" w:color="auto"/>
        <w:left w:val="none" w:sz="0" w:space="0" w:color="auto"/>
        <w:bottom w:val="none" w:sz="0" w:space="0" w:color="auto"/>
        <w:right w:val="none" w:sz="0" w:space="0" w:color="auto"/>
      </w:divBdr>
    </w:div>
    <w:div w:id="1699160535">
      <w:bodyDiv w:val="1"/>
      <w:marLeft w:val="0"/>
      <w:marRight w:val="0"/>
      <w:marTop w:val="0"/>
      <w:marBottom w:val="0"/>
      <w:divBdr>
        <w:top w:val="none" w:sz="0" w:space="0" w:color="auto"/>
        <w:left w:val="none" w:sz="0" w:space="0" w:color="auto"/>
        <w:bottom w:val="none" w:sz="0" w:space="0" w:color="auto"/>
        <w:right w:val="none" w:sz="0" w:space="0" w:color="auto"/>
      </w:divBdr>
    </w:div>
    <w:div w:id="1701084939">
      <w:bodyDiv w:val="1"/>
      <w:marLeft w:val="0"/>
      <w:marRight w:val="0"/>
      <w:marTop w:val="0"/>
      <w:marBottom w:val="0"/>
      <w:divBdr>
        <w:top w:val="none" w:sz="0" w:space="0" w:color="auto"/>
        <w:left w:val="none" w:sz="0" w:space="0" w:color="auto"/>
        <w:bottom w:val="none" w:sz="0" w:space="0" w:color="auto"/>
        <w:right w:val="none" w:sz="0" w:space="0" w:color="auto"/>
      </w:divBdr>
      <w:divsChild>
        <w:div w:id="430666472">
          <w:marLeft w:val="0"/>
          <w:marRight w:val="0"/>
          <w:marTop w:val="0"/>
          <w:marBottom w:val="0"/>
          <w:divBdr>
            <w:top w:val="none" w:sz="0" w:space="0" w:color="auto"/>
            <w:left w:val="none" w:sz="0" w:space="0" w:color="auto"/>
            <w:bottom w:val="none" w:sz="0" w:space="0" w:color="auto"/>
            <w:right w:val="none" w:sz="0" w:space="0" w:color="auto"/>
          </w:divBdr>
          <w:divsChild>
            <w:div w:id="495850965">
              <w:marLeft w:val="0"/>
              <w:marRight w:val="0"/>
              <w:marTop w:val="0"/>
              <w:marBottom w:val="0"/>
              <w:divBdr>
                <w:top w:val="none" w:sz="0" w:space="0" w:color="auto"/>
                <w:left w:val="none" w:sz="0" w:space="0" w:color="auto"/>
                <w:bottom w:val="none" w:sz="0" w:space="0" w:color="auto"/>
                <w:right w:val="none" w:sz="0" w:space="0" w:color="auto"/>
              </w:divBdr>
              <w:divsChild>
                <w:div w:id="52507922">
                  <w:marLeft w:val="-75"/>
                  <w:marRight w:val="-75"/>
                  <w:marTop w:val="0"/>
                  <w:marBottom w:val="0"/>
                  <w:divBdr>
                    <w:top w:val="none" w:sz="0" w:space="0" w:color="auto"/>
                    <w:left w:val="none" w:sz="0" w:space="0" w:color="auto"/>
                    <w:bottom w:val="none" w:sz="0" w:space="0" w:color="auto"/>
                    <w:right w:val="none" w:sz="0" w:space="0" w:color="auto"/>
                  </w:divBdr>
                  <w:divsChild>
                    <w:div w:id="1398897142">
                      <w:marLeft w:val="0"/>
                      <w:marRight w:val="0"/>
                      <w:marTop w:val="0"/>
                      <w:marBottom w:val="0"/>
                      <w:divBdr>
                        <w:top w:val="none" w:sz="0" w:space="0" w:color="auto"/>
                        <w:left w:val="none" w:sz="0" w:space="0" w:color="auto"/>
                        <w:bottom w:val="none" w:sz="0" w:space="0" w:color="auto"/>
                        <w:right w:val="none" w:sz="0" w:space="0" w:color="auto"/>
                      </w:divBdr>
                      <w:divsChild>
                        <w:div w:id="1321694155">
                          <w:marLeft w:val="-75"/>
                          <w:marRight w:val="-75"/>
                          <w:marTop w:val="0"/>
                          <w:marBottom w:val="0"/>
                          <w:divBdr>
                            <w:top w:val="none" w:sz="0" w:space="0" w:color="auto"/>
                            <w:left w:val="none" w:sz="0" w:space="0" w:color="auto"/>
                            <w:bottom w:val="none" w:sz="0" w:space="0" w:color="auto"/>
                            <w:right w:val="none" w:sz="0" w:space="0" w:color="auto"/>
                          </w:divBdr>
                          <w:divsChild>
                            <w:div w:id="1045325766">
                              <w:marLeft w:val="0"/>
                              <w:marRight w:val="0"/>
                              <w:marTop w:val="0"/>
                              <w:marBottom w:val="0"/>
                              <w:divBdr>
                                <w:top w:val="none" w:sz="0" w:space="0" w:color="auto"/>
                                <w:left w:val="none" w:sz="0" w:space="0" w:color="auto"/>
                                <w:bottom w:val="none" w:sz="0" w:space="0" w:color="auto"/>
                                <w:right w:val="none" w:sz="0" w:space="0" w:color="auto"/>
                              </w:divBdr>
                              <w:divsChild>
                                <w:div w:id="9825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47600">
      <w:bodyDiv w:val="1"/>
      <w:marLeft w:val="0"/>
      <w:marRight w:val="0"/>
      <w:marTop w:val="0"/>
      <w:marBottom w:val="0"/>
      <w:divBdr>
        <w:top w:val="none" w:sz="0" w:space="0" w:color="auto"/>
        <w:left w:val="none" w:sz="0" w:space="0" w:color="auto"/>
        <w:bottom w:val="none" w:sz="0" w:space="0" w:color="auto"/>
        <w:right w:val="none" w:sz="0" w:space="0" w:color="auto"/>
      </w:divBdr>
    </w:div>
    <w:div w:id="2028019959">
      <w:bodyDiv w:val="1"/>
      <w:marLeft w:val="0"/>
      <w:marRight w:val="0"/>
      <w:marTop w:val="0"/>
      <w:marBottom w:val="0"/>
      <w:divBdr>
        <w:top w:val="none" w:sz="0" w:space="0" w:color="auto"/>
        <w:left w:val="none" w:sz="0" w:space="0" w:color="auto"/>
        <w:bottom w:val="none" w:sz="0" w:space="0" w:color="auto"/>
        <w:right w:val="none" w:sz="0" w:space="0" w:color="auto"/>
      </w:divBdr>
    </w:div>
    <w:div w:id="2029603364">
      <w:bodyDiv w:val="1"/>
      <w:marLeft w:val="0"/>
      <w:marRight w:val="0"/>
      <w:marTop w:val="0"/>
      <w:marBottom w:val="0"/>
      <w:divBdr>
        <w:top w:val="none" w:sz="0" w:space="0" w:color="auto"/>
        <w:left w:val="none" w:sz="0" w:space="0" w:color="auto"/>
        <w:bottom w:val="none" w:sz="0" w:space="0" w:color="auto"/>
        <w:right w:val="none" w:sz="0" w:space="0" w:color="auto"/>
      </w:divBdr>
    </w:div>
    <w:div w:id="20995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chart" Target="charts/chart4.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cid:image001.png@01D31024.E057BDB0" TargetMode="External"/><Relationship Id="rId34"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cid:image002.jpg@01D1E286.9B4D1430" TargetMode="External"/><Relationship Id="rId25" Type="http://schemas.openxmlformats.org/officeDocument/2006/relationships/chart" Target="charts/chart3.xml"/><Relationship Id="rId33" Type="http://schemas.openxmlformats.org/officeDocument/2006/relationships/chart" Target="charts/chart9.xml"/><Relationship Id="rId38"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image" Target="cid:image001.png@01D1BCEB.F9D865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chart" Target="charts/chart2.xml"/><Relationship Id="rId28" Type="http://schemas.openxmlformats.org/officeDocument/2006/relationships/image" Target="media/image9.png"/><Relationship Id="rId36" Type="http://schemas.openxmlformats.org/officeDocument/2006/relationships/chart" Target="charts/chart12.xml"/><Relationship Id="rId10" Type="http://schemas.openxmlformats.org/officeDocument/2006/relationships/image" Target="media/image2.emf"/><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6.xml"/><Relationship Id="rId35"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bert%20Gotts\AppData\Local\Microsoft\Windows\Temporary%20Internet%20Files\Content.Outlook\XPIZ5FLT\ECE%20analy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obert%20Gotts\AppData\Local\Microsoft\Windows\Temporary%20Internet%20Files\Content.Outlook\XPIZ5FLT\ChildLDC_salary_analysis_v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obert%20Gotts\AppData\Local\Microsoft\Windows\Temporary%20Internet%20Files\Content.Outlook\XPIZ5FLT\ChildLDC_salary_analysis_v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obert%20gotts\AppData\Local\Microsoft\Windows\Temporary%20Internet%20Files\Content.Outlook\2LLGC4LX\Long%20Day%20Care%20Centres%20Analysis%20-%20Charts%20-%20201608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obert%20gotts\AppData\Local\Microsoft\Windows\Temporary%20Internet%20Files\Content.Outlook\2LLGC4LX\Annual_model_v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obert%20gotts\AppData\Local\Microsoft\Windows\Temporary%20Internet%20Files\Content.Outlook\2LLGC4LX\Long%20Day%20Care%20Centres%20Analysis%20-%20Charts%20-%20201608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ct.gov.au\treasury\dt\ERD\Reviews\ECEC\ECE%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obert%20Gotts\AppData\Local\Microsoft\Windows\Temporary%20Internet%20Files\Content.Outlook\XPIZ5FLT\ChildLDC_salary_analysis_v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obert%20Gotts\AppData\Local\Microsoft\Windows\Temporary%20Internet%20Files\Content.Outlook\XPIZ5FLT\ChildLDC_salary_analysis_v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ct.gov.au\education\decs\Planning%20&amp;%20Analytics\06%20SPECIAL%20PROJECTS\01%20-%20Review%20of%20Early%20Childhood%20Education%202016-03605\05%20-%20Data\Piazza\ChildLDC_salary_analysis_v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ct.gov.au\education\decs\Measurement%20Monitoring%20&amp;%20Reporting\NEW%20STRUCTURE\06%20SPECIAL%20PROJECTS\01%20-%20Review%20of%20Early%20Childhood%20Education%202016-03605\05%20-%20Data\ChildLDC_employment_analysis_v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ct.gov.au\education\decs\Planning%20&amp;%20Analytics\06%20SPECIAL%20PROJECTS\01%20-%20Review%20of%20Early%20Childhood%20Education%202016-03605\05%20-%20Data\Salary%20analysis%20-%20includes%20rati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ct.gov.au\education\decs\Planning%20&amp;%20Analytics\06%20SPECIAL%20PROJECTS\01%20-%20Review%20of%20Early%20Childhood%20Education%202016-03605\05%20-%20Data\Salary%20analysis%20-%20includes%20rati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obert%20Gotts\AppData\Local\Microsoft\Windows\Temporary%20Internet%20Files\Content.Outlook\XPIZ5FLT\ChildLDC_salary_analysis_v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AU"/>
              <a:t>Australian Capital Territory</a:t>
            </a:r>
          </a:p>
        </c:rich>
      </c:tx>
      <c:overlay val="0"/>
    </c:title>
    <c:autoTitleDeleted val="0"/>
    <c:plotArea>
      <c:layout/>
      <c:barChart>
        <c:barDir val="col"/>
        <c:grouping val="clustered"/>
        <c:varyColors val="0"/>
        <c:ser>
          <c:idx val="0"/>
          <c:order val="0"/>
          <c:tx>
            <c:strRef>
              <c:f>Sheet1!$F$97</c:f>
              <c:strCache>
                <c:ptCount val="1"/>
                <c:pt idx="0">
                  <c:v>Before Subsidy</c:v>
                </c:pt>
              </c:strCache>
            </c:strRef>
          </c:tx>
          <c:spPr>
            <a:solidFill>
              <a:srgbClr val="482D8C"/>
            </a:solidFill>
          </c:spPr>
          <c:invertIfNegative val="0"/>
          <c:cat>
            <c:strRef>
              <c:f>Sheet1!$A$98:$A$106</c:f>
              <c:strCache>
                <c:ptCount val="9"/>
                <c:pt idx="0">
                  <c:v>P10</c:v>
                </c:pt>
                <c:pt idx="1">
                  <c:v>P20</c:v>
                </c:pt>
                <c:pt idx="2">
                  <c:v>P30</c:v>
                </c:pt>
                <c:pt idx="3">
                  <c:v>P40</c:v>
                </c:pt>
                <c:pt idx="4">
                  <c:v>P50</c:v>
                </c:pt>
                <c:pt idx="5">
                  <c:v>P60</c:v>
                </c:pt>
                <c:pt idx="6">
                  <c:v>P70</c:v>
                </c:pt>
                <c:pt idx="7">
                  <c:v>P80</c:v>
                </c:pt>
                <c:pt idx="8">
                  <c:v>P90</c:v>
                </c:pt>
              </c:strCache>
            </c:strRef>
          </c:cat>
          <c:val>
            <c:numRef>
              <c:f>Sheet1!$F$98:$F$106</c:f>
              <c:numCache>
                <c:formatCode>0.0%</c:formatCode>
                <c:ptCount val="9"/>
                <c:pt idx="0">
                  <c:v>0.96330275229358886</c:v>
                </c:pt>
                <c:pt idx="1">
                  <c:v>0.74786324786324787</c:v>
                </c:pt>
                <c:pt idx="2">
                  <c:v>0.62203791469194314</c:v>
                </c:pt>
                <c:pt idx="3">
                  <c:v>0.53407934893184128</c:v>
                </c:pt>
                <c:pt idx="4">
                  <c:v>0.47127468581688103</c:v>
                </c:pt>
                <c:pt idx="5">
                  <c:v>0.42168674698795777</c:v>
                </c:pt>
                <c:pt idx="6">
                  <c:v>0.37102473498233596</c:v>
                </c:pt>
                <c:pt idx="7">
                  <c:v>0.31702898550725567</c:v>
                </c:pt>
                <c:pt idx="8">
                  <c:v>0.26289434151226848</c:v>
                </c:pt>
              </c:numCache>
            </c:numRef>
          </c:val>
          <c:extLst xmlns:c16r2="http://schemas.microsoft.com/office/drawing/2015/06/chart">
            <c:ext xmlns:c16="http://schemas.microsoft.com/office/drawing/2014/chart" uri="{C3380CC4-5D6E-409C-BE32-E72D297353CC}">
              <c16:uniqueId val="{00000000-DDA7-4EC7-852C-FB964B6DAC10}"/>
            </c:ext>
          </c:extLst>
        </c:ser>
        <c:ser>
          <c:idx val="1"/>
          <c:order val="1"/>
          <c:tx>
            <c:strRef>
              <c:f>Sheet1!$G$97</c:f>
              <c:strCache>
                <c:ptCount val="1"/>
                <c:pt idx="0">
                  <c:v>After Subsidy</c:v>
                </c:pt>
              </c:strCache>
            </c:strRef>
          </c:tx>
          <c:spPr>
            <a:solidFill>
              <a:srgbClr val="00AEEF"/>
            </a:solidFill>
          </c:spPr>
          <c:invertIfNegative val="0"/>
          <c:cat>
            <c:strRef>
              <c:f>Sheet1!$A$98:$A$106</c:f>
              <c:strCache>
                <c:ptCount val="9"/>
                <c:pt idx="0">
                  <c:v>P10</c:v>
                </c:pt>
                <c:pt idx="1">
                  <c:v>P20</c:v>
                </c:pt>
                <c:pt idx="2">
                  <c:v>P30</c:v>
                </c:pt>
                <c:pt idx="3">
                  <c:v>P40</c:v>
                </c:pt>
                <c:pt idx="4">
                  <c:v>P50</c:v>
                </c:pt>
                <c:pt idx="5">
                  <c:v>P60</c:v>
                </c:pt>
                <c:pt idx="6">
                  <c:v>P70</c:v>
                </c:pt>
                <c:pt idx="7">
                  <c:v>P80</c:v>
                </c:pt>
                <c:pt idx="8">
                  <c:v>P90</c:v>
                </c:pt>
              </c:strCache>
            </c:strRef>
          </c:cat>
          <c:val>
            <c:numRef>
              <c:f>Sheet1!$G$98:$G$106</c:f>
              <c:numCache>
                <c:formatCode>0.0%</c:formatCode>
                <c:ptCount val="9"/>
                <c:pt idx="0">
                  <c:v>0.31609174311926996</c:v>
                </c:pt>
                <c:pt idx="1">
                  <c:v>0.27064102564102221</c:v>
                </c:pt>
                <c:pt idx="2">
                  <c:v>0.2736255924170618</c:v>
                </c:pt>
                <c:pt idx="3">
                  <c:v>0.27625635808748727</c:v>
                </c:pt>
                <c:pt idx="4">
                  <c:v>0.27706463195691505</c:v>
                </c:pt>
                <c:pt idx="5">
                  <c:v>0.28371887550201247</c:v>
                </c:pt>
                <c:pt idx="6">
                  <c:v>0.26909540636042401</c:v>
                </c:pt>
                <c:pt idx="7">
                  <c:v>0.22993357487922897</c:v>
                </c:pt>
                <c:pt idx="8">
                  <c:v>0.19067100650976471</c:v>
                </c:pt>
              </c:numCache>
            </c:numRef>
          </c:val>
          <c:extLst xmlns:c16r2="http://schemas.microsoft.com/office/drawing/2015/06/chart">
            <c:ext xmlns:c16="http://schemas.microsoft.com/office/drawing/2014/chart" uri="{C3380CC4-5D6E-409C-BE32-E72D297353CC}">
              <c16:uniqueId val="{00000001-DDA7-4EC7-852C-FB964B6DAC10}"/>
            </c:ext>
          </c:extLst>
        </c:ser>
        <c:dLbls>
          <c:showLegendKey val="0"/>
          <c:showVal val="0"/>
          <c:showCatName val="0"/>
          <c:showSerName val="0"/>
          <c:showPercent val="0"/>
          <c:showBubbleSize val="0"/>
        </c:dLbls>
        <c:gapWidth val="150"/>
        <c:axId val="563630528"/>
        <c:axId val="563630136"/>
      </c:barChart>
      <c:catAx>
        <c:axId val="563630528"/>
        <c:scaling>
          <c:orientation val="minMax"/>
        </c:scaling>
        <c:delete val="0"/>
        <c:axPos val="b"/>
        <c:title>
          <c:tx>
            <c:rich>
              <a:bodyPr/>
              <a:lstStyle/>
              <a:p>
                <a:pPr>
                  <a:defRPr/>
                </a:pPr>
                <a:r>
                  <a:rPr lang="en-US"/>
                  <a:t>ACT Income Deciles</a:t>
                </a:r>
              </a:p>
            </c:rich>
          </c:tx>
          <c:overlay val="0"/>
        </c:title>
        <c:numFmt formatCode="General" sourceLinked="0"/>
        <c:majorTickMark val="out"/>
        <c:minorTickMark val="none"/>
        <c:tickLblPos val="nextTo"/>
        <c:crossAx val="563630136"/>
        <c:crosses val="autoZero"/>
        <c:auto val="1"/>
        <c:lblAlgn val="ctr"/>
        <c:lblOffset val="100"/>
        <c:noMultiLvlLbl val="0"/>
      </c:catAx>
      <c:valAx>
        <c:axId val="563630136"/>
        <c:scaling>
          <c:orientation val="minMax"/>
          <c:max val="1"/>
        </c:scaling>
        <c:delete val="0"/>
        <c:axPos val="l"/>
        <c:majorGridlines/>
        <c:title>
          <c:tx>
            <c:rich>
              <a:bodyPr rot="-5400000" vert="horz"/>
              <a:lstStyle/>
              <a:p>
                <a:pPr>
                  <a:defRPr/>
                </a:pPr>
                <a:r>
                  <a:rPr lang="en-AU"/>
                  <a:t>Percentage of Disposable Income</a:t>
                </a:r>
              </a:p>
            </c:rich>
          </c:tx>
          <c:overlay val="0"/>
        </c:title>
        <c:numFmt formatCode="0.0%" sourceLinked="1"/>
        <c:majorTickMark val="out"/>
        <c:minorTickMark val="none"/>
        <c:tickLblPos val="nextTo"/>
        <c:crossAx val="563630528"/>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82D8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industry_ave!$G$43:$G$46</c:f>
              <c:strCache>
                <c:ptCount val="4"/>
                <c:pt idx="0">
                  <c:v>18-30</c:v>
                </c:pt>
                <c:pt idx="1">
                  <c:v>31-45</c:v>
                </c:pt>
                <c:pt idx="2">
                  <c:v>46-60</c:v>
                </c:pt>
                <c:pt idx="3">
                  <c:v>60 and above</c:v>
                </c:pt>
              </c:strCache>
            </c:strRef>
          </c:cat>
          <c:val>
            <c:numRef>
              <c:f>industry_ave!$H$43:$H$46</c:f>
              <c:numCache>
                <c:formatCode>"$"#,##0</c:formatCode>
                <c:ptCount val="4"/>
                <c:pt idx="0">
                  <c:v>44162.25653747558</c:v>
                </c:pt>
                <c:pt idx="1">
                  <c:v>50584.940893489213</c:v>
                </c:pt>
                <c:pt idx="2">
                  <c:v>52950.74213900193</c:v>
                </c:pt>
                <c:pt idx="3">
                  <c:v>51965.948898120754</c:v>
                </c:pt>
              </c:numCache>
            </c:numRef>
          </c:val>
          <c:extLst xmlns:c16r2="http://schemas.microsoft.com/office/drawing/2015/06/chart">
            <c:ext xmlns:c16="http://schemas.microsoft.com/office/drawing/2014/chart" uri="{C3380CC4-5D6E-409C-BE32-E72D297353CC}">
              <c16:uniqueId val="{00000000-B270-492D-BDFD-D60415972BD5}"/>
            </c:ext>
          </c:extLst>
        </c:ser>
        <c:dLbls>
          <c:showLegendKey val="0"/>
          <c:showVal val="0"/>
          <c:showCatName val="0"/>
          <c:showSerName val="0"/>
          <c:showPercent val="0"/>
          <c:showBubbleSize val="0"/>
        </c:dLbls>
        <c:gapWidth val="150"/>
        <c:axId val="567430856"/>
        <c:axId val="567431248"/>
      </c:barChart>
      <c:catAx>
        <c:axId val="567430856"/>
        <c:scaling>
          <c:orientation val="minMax"/>
        </c:scaling>
        <c:delete val="0"/>
        <c:axPos val="b"/>
        <c:numFmt formatCode="General" sourceLinked="0"/>
        <c:majorTickMark val="out"/>
        <c:minorTickMark val="none"/>
        <c:tickLblPos val="nextTo"/>
        <c:crossAx val="567431248"/>
        <c:crosses val="autoZero"/>
        <c:auto val="1"/>
        <c:lblAlgn val="ctr"/>
        <c:lblOffset val="100"/>
        <c:noMultiLvlLbl val="0"/>
      </c:catAx>
      <c:valAx>
        <c:axId val="567431248"/>
        <c:scaling>
          <c:orientation val="minMax"/>
          <c:max val="60000"/>
          <c:min val="0"/>
        </c:scaling>
        <c:delete val="0"/>
        <c:axPos val="l"/>
        <c:numFmt formatCode="&quot;$&quot;#,##0" sourceLinked="1"/>
        <c:majorTickMark val="out"/>
        <c:minorTickMark val="none"/>
        <c:tickLblPos val="nextTo"/>
        <c:crossAx val="567430856"/>
        <c:crosses val="autoZero"/>
        <c:crossBetween val="between"/>
      </c:valAx>
    </c:plotArea>
    <c:plotVisOnly val="1"/>
    <c:dispBlanksAs val="gap"/>
    <c:showDLblsOverMax val="0"/>
  </c:chart>
  <c:spPr>
    <a:ln>
      <a:noFill/>
    </a:ln>
  </c:spPr>
  <c:txPr>
    <a:bodyPr/>
    <a:lstStyle/>
    <a:p>
      <a:pPr>
        <a:defRPr sz="900">
          <a:latin typeface="Century Gothic" panose="020B0502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82D8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salary_by_time!$E$21:$E$26</c:f>
              <c:strCache>
                <c:ptCount val="6"/>
                <c:pt idx="0">
                  <c:v>Equal or less than 1 years</c:v>
                </c:pt>
                <c:pt idx="1">
                  <c:v>Equal or less than 2 years</c:v>
                </c:pt>
                <c:pt idx="2">
                  <c:v>Equal or less than 3 years</c:v>
                </c:pt>
                <c:pt idx="3">
                  <c:v>Equal or less than 4 years</c:v>
                </c:pt>
                <c:pt idx="4">
                  <c:v>Equal or less than 5 years</c:v>
                </c:pt>
                <c:pt idx="5">
                  <c:v>More than 5 years</c:v>
                </c:pt>
              </c:strCache>
            </c:strRef>
          </c:cat>
          <c:val>
            <c:numRef>
              <c:f>salary_by_time!$F$21:$F$26</c:f>
              <c:numCache>
                <c:formatCode>"$"#,##0</c:formatCode>
                <c:ptCount val="6"/>
                <c:pt idx="0">
                  <c:v>48181.295131376035</c:v>
                </c:pt>
                <c:pt idx="1">
                  <c:v>49045.649823986372</c:v>
                </c:pt>
                <c:pt idx="2">
                  <c:v>48257.935627858991</c:v>
                </c:pt>
                <c:pt idx="3">
                  <c:v>45460.399787420538</c:v>
                </c:pt>
                <c:pt idx="4">
                  <c:v>49597.875107973276</c:v>
                </c:pt>
                <c:pt idx="5">
                  <c:v>50506.072076215001</c:v>
                </c:pt>
              </c:numCache>
            </c:numRef>
          </c:val>
          <c:extLst xmlns:c16r2="http://schemas.microsoft.com/office/drawing/2015/06/chart">
            <c:ext xmlns:c16="http://schemas.microsoft.com/office/drawing/2014/chart" uri="{C3380CC4-5D6E-409C-BE32-E72D297353CC}">
              <c16:uniqueId val="{00000000-B4F5-4F46-A599-AF04C10CEA53}"/>
            </c:ext>
          </c:extLst>
        </c:ser>
        <c:dLbls>
          <c:showLegendKey val="0"/>
          <c:showVal val="0"/>
          <c:showCatName val="0"/>
          <c:showSerName val="0"/>
          <c:showPercent val="0"/>
          <c:showBubbleSize val="0"/>
        </c:dLbls>
        <c:gapWidth val="150"/>
        <c:axId val="567432032"/>
        <c:axId val="567432424"/>
      </c:barChart>
      <c:catAx>
        <c:axId val="567432032"/>
        <c:scaling>
          <c:orientation val="minMax"/>
        </c:scaling>
        <c:delete val="0"/>
        <c:axPos val="b"/>
        <c:numFmt formatCode="General" sourceLinked="0"/>
        <c:majorTickMark val="out"/>
        <c:minorTickMark val="none"/>
        <c:tickLblPos val="nextTo"/>
        <c:crossAx val="567432424"/>
        <c:crosses val="autoZero"/>
        <c:auto val="1"/>
        <c:lblAlgn val="ctr"/>
        <c:lblOffset val="100"/>
        <c:noMultiLvlLbl val="0"/>
      </c:catAx>
      <c:valAx>
        <c:axId val="567432424"/>
        <c:scaling>
          <c:orientation val="minMax"/>
          <c:max val="60000"/>
          <c:min val="0"/>
        </c:scaling>
        <c:delete val="0"/>
        <c:axPos val="l"/>
        <c:numFmt formatCode="&quot;$&quot;#,##0" sourceLinked="1"/>
        <c:majorTickMark val="out"/>
        <c:minorTickMark val="none"/>
        <c:tickLblPos val="nextTo"/>
        <c:crossAx val="567432032"/>
        <c:crosses val="autoZero"/>
        <c:crossBetween val="between"/>
      </c:valAx>
    </c:plotArea>
    <c:plotVisOnly val="1"/>
    <c:dispBlanksAs val="gap"/>
    <c:showDLblsOverMax val="0"/>
  </c:chart>
  <c:spPr>
    <a:ln>
      <a:noFill/>
    </a:ln>
  </c:spPr>
  <c:txPr>
    <a:bodyPr/>
    <a:lstStyle/>
    <a:p>
      <a:pPr>
        <a:defRPr sz="900">
          <a:latin typeface="Century Gothic" panose="020B050202020202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EMPLOYEE STATUS CHANGE BY YEAR</a:t>
            </a:r>
          </a:p>
        </c:rich>
      </c:tx>
      <c:overlay val="0"/>
    </c:title>
    <c:autoTitleDeleted val="0"/>
    <c:plotArea>
      <c:layout/>
      <c:barChart>
        <c:barDir val="col"/>
        <c:grouping val="clustered"/>
        <c:varyColors val="0"/>
        <c:ser>
          <c:idx val="1"/>
          <c:order val="0"/>
          <c:tx>
            <c:v>Full-time</c:v>
          </c:tx>
          <c:spPr>
            <a:solidFill>
              <a:srgbClr val="482D8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a:prstDash val="sysDash"/>
              </a:ln>
            </c:spPr>
            <c:trendlineType val="linear"/>
            <c:forward val="0.5"/>
            <c:backward val="0.5"/>
            <c:dispRSqr val="0"/>
            <c:dispEq val="0"/>
          </c:trendline>
          <c:cat>
            <c:numRef>
              <c:f>'Employee status change by yr'!$A$2:$A$7</c:f>
              <c:numCache>
                <c:formatCode>General</c:formatCode>
                <c:ptCount val="6"/>
                <c:pt idx="0">
                  <c:v>2010</c:v>
                </c:pt>
                <c:pt idx="1">
                  <c:v>2011</c:v>
                </c:pt>
                <c:pt idx="2">
                  <c:v>2012</c:v>
                </c:pt>
                <c:pt idx="3">
                  <c:v>2013</c:v>
                </c:pt>
                <c:pt idx="4">
                  <c:v>2014</c:v>
                </c:pt>
                <c:pt idx="5">
                  <c:v>2015</c:v>
                </c:pt>
              </c:numCache>
            </c:numRef>
          </c:cat>
          <c:val>
            <c:numRef>
              <c:f>'Employee status change by yr'!$B$2:$B$7</c:f>
              <c:numCache>
                <c:formatCode>0%</c:formatCode>
                <c:ptCount val="6"/>
                <c:pt idx="0">
                  <c:v>0.43000000000000038</c:v>
                </c:pt>
                <c:pt idx="1">
                  <c:v>0.37000000000000038</c:v>
                </c:pt>
                <c:pt idx="2">
                  <c:v>0.32000000000000162</c:v>
                </c:pt>
                <c:pt idx="3">
                  <c:v>0.31000000000000144</c:v>
                </c:pt>
                <c:pt idx="4">
                  <c:v>0.30000000000000032</c:v>
                </c:pt>
                <c:pt idx="5">
                  <c:v>0.29000000000000031</c:v>
                </c:pt>
              </c:numCache>
            </c:numRef>
          </c:val>
          <c:extLst xmlns:c16r2="http://schemas.microsoft.com/office/drawing/2015/06/chart">
            <c:ext xmlns:c16="http://schemas.microsoft.com/office/drawing/2014/chart" uri="{C3380CC4-5D6E-409C-BE32-E72D297353CC}">
              <c16:uniqueId val="{00000001-4E7A-4561-A121-F5485B83FDEC}"/>
            </c:ext>
          </c:extLst>
        </c:ser>
        <c:ser>
          <c:idx val="2"/>
          <c:order val="1"/>
          <c:tx>
            <c:v>Part-time</c:v>
          </c:tx>
          <c:spPr>
            <a:solidFill>
              <a:srgbClr val="00AEE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a:prstDash val="sysDot"/>
              </a:ln>
            </c:spPr>
            <c:trendlineType val="linear"/>
            <c:forward val="0.5"/>
            <c:backward val="0.5"/>
            <c:dispRSqr val="0"/>
            <c:dispEq val="0"/>
          </c:trendline>
          <c:cat>
            <c:numRef>
              <c:f>'Employee status change by yr'!$A$2:$A$7</c:f>
              <c:numCache>
                <c:formatCode>General</c:formatCode>
                <c:ptCount val="6"/>
                <c:pt idx="0">
                  <c:v>2010</c:v>
                </c:pt>
                <c:pt idx="1">
                  <c:v>2011</c:v>
                </c:pt>
                <c:pt idx="2">
                  <c:v>2012</c:v>
                </c:pt>
                <c:pt idx="3">
                  <c:v>2013</c:v>
                </c:pt>
                <c:pt idx="4">
                  <c:v>2014</c:v>
                </c:pt>
                <c:pt idx="5">
                  <c:v>2015</c:v>
                </c:pt>
              </c:numCache>
            </c:numRef>
          </c:cat>
          <c:val>
            <c:numRef>
              <c:f>'Employee status change by yr'!$C$2:$C$7</c:f>
              <c:numCache>
                <c:formatCode>0%</c:formatCode>
                <c:ptCount val="6"/>
                <c:pt idx="0">
                  <c:v>0.56999999999999995</c:v>
                </c:pt>
                <c:pt idx="1">
                  <c:v>0.63000000000000322</c:v>
                </c:pt>
                <c:pt idx="2">
                  <c:v>0.68</c:v>
                </c:pt>
                <c:pt idx="3">
                  <c:v>0.69000000000000061</c:v>
                </c:pt>
                <c:pt idx="4">
                  <c:v>0.70000000000000062</c:v>
                </c:pt>
                <c:pt idx="5">
                  <c:v>0.71000000000000063</c:v>
                </c:pt>
              </c:numCache>
            </c:numRef>
          </c:val>
          <c:extLst xmlns:c16r2="http://schemas.microsoft.com/office/drawing/2015/06/chart">
            <c:ext xmlns:c16="http://schemas.microsoft.com/office/drawing/2014/chart" uri="{C3380CC4-5D6E-409C-BE32-E72D297353CC}">
              <c16:uniqueId val="{00000003-4E7A-4561-A121-F5485B83FDEC}"/>
            </c:ext>
          </c:extLst>
        </c:ser>
        <c:dLbls>
          <c:showLegendKey val="0"/>
          <c:showVal val="0"/>
          <c:showCatName val="0"/>
          <c:showSerName val="0"/>
          <c:showPercent val="0"/>
          <c:showBubbleSize val="0"/>
        </c:dLbls>
        <c:gapWidth val="150"/>
        <c:axId val="567434384"/>
        <c:axId val="638602104"/>
      </c:barChart>
      <c:catAx>
        <c:axId val="567434384"/>
        <c:scaling>
          <c:orientation val="minMax"/>
        </c:scaling>
        <c:delete val="0"/>
        <c:axPos val="b"/>
        <c:numFmt formatCode="General" sourceLinked="1"/>
        <c:majorTickMark val="out"/>
        <c:minorTickMark val="none"/>
        <c:tickLblPos val="nextTo"/>
        <c:crossAx val="638602104"/>
        <c:crossesAt val="0"/>
        <c:auto val="1"/>
        <c:lblAlgn val="ctr"/>
        <c:lblOffset val="100"/>
        <c:noMultiLvlLbl val="0"/>
      </c:catAx>
      <c:valAx>
        <c:axId val="638602104"/>
        <c:scaling>
          <c:orientation val="minMax"/>
          <c:max val="1"/>
          <c:min val="0"/>
        </c:scaling>
        <c:delete val="0"/>
        <c:axPos val="l"/>
        <c:majorGridlines/>
        <c:numFmt formatCode="0%" sourceLinked="1"/>
        <c:majorTickMark val="out"/>
        <c:minorTickMark val="none"/>
        <c:tickLblPos val="nextTo"/>
        <c:crossAx val="567434384"/>
        <c:crosses val="autoZero"/>
        <c:crossBetween val="between"/>
      </c:valAx>
      <c:spPr>
        <a:noFill/>
        <a:ln w="25400">
          <a:noFill/>
        </a:ln>
      </c:spPr>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manualLayout>
          <c:layoutTarget val="inner"/>
          <c:xMode val="edge"/>
          <c:yMode val="edge"/>
          <c:x val="7.9754724322212714E-2"/>
          <c:y val="3.1021493463328251E-2"/>
          <c:w val="0.89587124509945892"/>
          <c:h val="0.90250387768668294"/>
        </c:manualLayout>
      </c:layout>
      <c:barChart>
        <c:barDir val="col"/>
        <c:grouping val="clustered"/>
        <c:varyColors val="0"/>
        <c:ser>
          <c:idx val="0"/>
          <c:order val="0"/>
          <c:spPr>
            <a:solidFill>
              <a:srgbClr val="482D8C"/>
            </a:solidFill>
          </c:spPr>
          <c:invertIfNegative val="0"/>
          <c:val>
            <c:numRef>
              <c:f>status_change!$B$2:$B$62</c:f>
              <c:numCache>
                <c:formatCode>0%</c:formatCode>
                <c:ptCount val="61"/>
                <c:pt idx="0">
                  <c:v>-0.82051282051282048</c:v>
                </c:pt>
                <c:pt idx="1">
                  <c:v>-0.81578947368421972</c:v>
                </c:pt>
                <c:pt idx="2">
                  <c:v>-0.521839080459777</c:v>
                </c:pt>
                <c:pt idx="3">
                  <c:v>-0.35000000000000031</c:v>
                </c:pt>
                <c:pt idx="4">
                  <c:v>-0.33333333333333337</c:v>
                </c:pt>
                <c:pt idx="5">
                  <c:v>-0.31501831501831845</c:v>
                </c:pt>
                <c:pt idx="6">
                  <c:v>-0.23484848484848792</c:v>
                </c:pt>
                <c:pt idx="7">
                  <c:v>-0.22917078962992282</c:v>
                </c:pt>
                <c:pt idx="8">
                  <c:v>-0.2142857142857143</c:v>
                </c:pt>
                <c:pt idx="9">
                  <c:v>-0.20394191776043527</c:v>
                </c:pt>
                <c:pt idx="10">
                  <c:v>-0.19492753623188408</c:v>
                </c:pt>
                <c:pt idx="11">
                  <c:v>-0.19259915875829994</c:v>
                </c:pt>
                <c:pt idx="12">
                  <c:v>-0.18947368421052641</c:v>
                </c:pt>
                <c:pt idx="13">
                  <c:v>-0.18181818181818427</c:v>
                </c:pt>
                <c:pt idx="14">
                  <c:v>-0.17326513213981451</c:v>
                </c:pt>
                <c:pt idx="15">
                  <c:v>-0.16883116883116894</c:v>
                </c:pt>
                <c:pt idx="16">
                  <c:v>-0.1604184829991312</c:v>
                </c:pt>
                <c:pt idx="17">
                  <c:v>-0.15843023255814295</c:v>
                </c:pt>
                <c:pt idx="18">
                  <c:v>-0.14814814814814894</c:v>
                </c:pt>
                <c:pt idx="19">
                  <c:v>-0.14567307692307488</c:v>
                </c:pt>
                <c:pt idx="20">
                  <c:v>-0.13978494623655913</c:v>
                </c:pt>
                <c:pt idx="21">
                  <c:v>-0.1388888888888889</c:v>
                </c:pt>
                <c:pt idx="22">
                  <c:v>-0.12095238095238092</c:v>
                </c:pt>
                <c:pt idx="23">
                  <c:v>-0.10345997286295794</c:v>
                </c:pt>
                <c:pt idx="24">
                  <c:v>-0.1</c:v>
                </c:pt>
                <c:pt idx="25">
                  <c:v>-9.7402597402597199E-2</c:v>
                </c:pt>
                <c:pt idx="26">
                  <c:v>-9.7373737373736419E-2</c:v>
                </c:pt>
                <c:pt idx="27">
                  <c:v>-9.5233284844565017E-2</c:v>
                </c:pt>
                <c:pt idx="28">
                  <c:v>-9.0909090909091064E-2</c:v>
                </c:pt>
                <c:pt idx="29">
                  <c:v>-8.3491461100570263E-2</c:v>
                </c:pt>
                <c:pt idx="30">
                  <c:v>-8.3135767346295256E-2</c:v>
                </c:pt>
                <c:pt idx="31">
                  <c:v>-7.9761904761904784E-2</c:v>
                </c:pt>
                <c:pt idx="32">
                  <c:v>-6.2015503875968991E-2</c:v>
                </c:pt>
                <c:pt idx="33">
                  <c:v>-6.0864146240132963E-2</c:v>
                </c:pt>
                <c:pt idx="34">
                  <c:v>-5.3488372093023283E-2</c:v>
                </c:pt>
                <c:pt idx="35">
                  <c:v>-4.7619047619047623E-2</c:v>
                </c:pt>
                <c:pt idx="36">
                  <c:v>-4.7619047619047623E-2</c:v>
                </c:pt>
                <c:pt idx="37">
                  <c:v>-4.0816326530612533E-2</c:v>
                </c:pt>
                <c:pt idx="38">
                  <c:v>-1.6666666666666701E-2</c:v>
                </c:pt>
                <c:pt idx="39">
                  <c:v>-1.5652173913043469E-2</c:v>
                </c:pt>
                <c:pt idx="40">
                  <c:v>-7.9365079365079413E-3</c:v>
                </c:pt>
                <c:pt idx="41">
                  <c:v>-1.4367816091954144E-3</c:v>
                </c:pt>
                <c:pt idx="42">
                  <c:v>0</c:v>
                </c:pt>
                <c:pt idx="43">
                  <c:v>0</c:v>
                </c:pt>
                <c:pt idx="44">
                  <c:v>1.9607843137256081E-3</c:v>
                </c:pt>
                <c:pt idx="45">
                  <c:v>3.246753246753322E-3</c:v>
                </c:pt>
                <c:pt idx="46">
                  <c:v>3.8118857352806277E-3</c:v>
                </c:pt>
                <c:pt idx="47">
                  <c:v>5.2910052910052404E-3</c:v>
                </c:pt>
                <c:pt idx="48">
                  <c:v>1.0000000000000021E-2</c:v>
                </c:pt>
                <c:pt idx="49">
                  <c:v>2.0833333333333412E-2</c:v>
                </c:pt>
                <c:pt idx="50">
                  <c:v>4.5756967110219232E-2</c:v>
                </c:pt>
                <c:pt idx="51">
                  <c:v>5.7971014492753548E-2</c:v>
                </c:pt>
                <c:pt idx="52">
                  <c:v>6.6666666666666707E-2</c:v>
                </c:pt>
                <c:pt idx="53">
                  <c:v>8.0246913580247006E-2</c:v>
                </c:pt>
                <c:pt idx="54">
                  <c:v>0.15873015873015894</c:v>
                </c:pt>
                <c:pt idx="55">
                  <c:v>0.2105263157894755</c:v>
                </c:pt>
              </c:numCache>
            </c:numRef>
          </c:val>
          <c:extLst xmlns:c16r2="http://schemas.microsoft.com/office/drawing/2015/06/chart">
            <c:ext xmlns:c16="http://schemas.microsoft.com/office/drawing/2014/chart" uri="{C3380CC4-5D6E-409C-BE32-E72D297353CC}">
              <c16:uniqueId val="{00000000-0C07-4D1D-88E3-FA4F551CFAEA}"/>
            </c:ext>
          </c:extLst>
        </c:ser>
        <c:dLbls>
          <c:showLegendKey val="0"/>
          <c:showVal val="0"/>
          <c:showCatName val="0"/>
          <c:showSerName val="0"/>
          <c:showPercent val="0"/>
          <c:showBubbleSize val="0"/>
        </c:dLbls>
        <c:gapWidth val="150"/>
        <c:axId val="567433992"/>
        <c:axId val="638602496"/>
      </c:barChart>
      <c:catAx>
        <c:axId val="567433992"/>
        <c:scaling>
          <c:orientation val="minMax"/>
        </c:scaling>
        <c:delete val="1"/>
        <c:axPos val="b"/>
        <c:majorTickMark val="out"/>
        <c:minorTickMark val="none"/>
        <c:tickLblPos val="none"/>
        <c:crossAx val="638602496"/>
        <c:crosses val="autoZero"/>
        <c:auto val="1"/>
        <c:lblAlgn val="ctr"/>
        <c:lblOffset val="100"/>
        <c:noMultiLvlLbl val="0"/>
      </c:catAx>
      <c:valAx>
        <c:axId val="638602496"/>
        <c:scaling>
          <c:orientation val="minMax"/>
          <c:max val="1"/>
          <c:min val="-1"/>
        </c:scaling>
        <c:delete val="0"/>
        <c:axPos val="l"/>
        <c:numFmt formatCode="0%" sourceLinked="1"/>
        <c:majorTickMark val="out"/>
        <c:minorTickMark val="none"/>
        <c:tickLblPos val="nextTo"/>
        <c:txPr>
          <a:bodyPr/>
          <a:lstStyle/>
          <a:p>
            <a:pPr>
              <a:defRPr sz="850" baseline="0"/>
            </a:pPr>
            <a:endParaRPr lang="en-US"/>
          </a:p>
        </c:txPr>
        <c:crossAx val="56743399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362067253717988E-2"/>
          <c:y val="0.18168405654663294"/>
          <c:w val="0.74313096732473671"/>
          <c:h val="0.72939357870963806"/>
        </c:manualLayout>
      </c:layout>
      <c:lineChart>
        <c:grouping val="standard"/>
        <c:varyColors val="0"/>
        <c:ser>
          <c:idx val="0"/>
          <c:order val="0"/>
          <c:tx>
            <c:v>The average income of part-time employees had fallen substantially.</c:v>
          </c:tx>
          <c:spPr>
            <a:ln>
              <a:solidFill>
                <a:srgbClr val="482D8C"/>
              </a:solidFill>
            </a:ln>
          </c:spPr>
          <c:marker>
            <c:spPr>
              <a:ln>
                <a:solidFill>
                  <a:srgbClr val="482D8C"/>
                </a:solidFill>
              </a:ln>
            </c:spPr>
          </c:marker>
          <c:dLbls>
            <c:dLbl>
              <c:idx val="0"/>
              <c:layout>
                <c:manualLayout>
                  <c:x val="-3.4086831718693991E-2"/>
                  <c:y val="-2.39120038259206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204-42C6-87EA-F63CB1B13085}"/>
                </c:ext>
                <c:ext xmlns:c15="http://schemas.microsoft.com/office/drawing/2012/chart" uri="{CE6537A1-D6FC-4f65-9D91-7224C49458BB}"/>
              </c:extLst>
            </c:dLbl>
            <c:dLbl>
              <c:idx val="1"/>
              <c:layout>
                <c:manualLayout>
                  <c:x val="-2.511661284535344E-2"/>
                  <c:y val="-2.52337539586604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204-42C6-87EA-F63CB1B13085}"/>
                </c:ext>
                <c:ext xmlns:c15="http://schemas.microsoft.com/office/drawing/2012/chart" uri="{CE6537A1-D6FC-4f65-9D91-7224C49458BB}"/>
              </c:extLst>
            </c:dLbl>
            <c:dLbl>
              <c:idx val="2"/>
              <c:layout>
                <c:manualLayout>
                  <c:x val="-2.9341515303052141E-2"/>
                  <c:y val="-3.4492971377143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204-42C6-87EA-F63CB1B13085}"/>
                </c:ext>
                <c:ext xmlns:c15="http://schemas.microsoft.com/office/drawing/2012/chart" uri="{CE6537A1-D6FC-4f65-9D91-7224C49458BB}"/>
              </c:extLst>
            </c:dLbl>
            <c:dLbl>
              <c:idx val="3"/>
              <c:layout>
                <c:manualLayout>
                  <c:x val="-3.7674919268030412E-2"/>
                  <c:y val="-2.65558806583897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204-42C6-87EA-F63CB1B13085}"/>
                </c:ext>
                <c:ext xmlns:c15="http://schemas.microsoft.com/office/drawing/2012/chart" uri="{CE6537A1-D6FC-4f65-9D91-7224C49458BB}"/>
              </c:extLst>
            </c:dLbl>
            <c:dLbl>
              <c:idx val="4"/>
              <c:layout>
                <c:manualLayout>
                  <c:x val="-4.3057050592034449E-2"/>
                  <c:y val="-2.7319558512861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204-42C6-87EA-F63CB1B13085}"/>
                </c:ext>
                <c:ext xmlns:c15="http://schemas.microsoft.com/office/drawing/2012/chart" uri="{CE6537A1-D6FC-4f65-9D91-7224C49458BB}"/>
              </c:extLst>
            </c:dLbl>
            <c:dLbl>
              <c:idx val="5"/>
              <c:layout>
                <c:manualLayout>
                  <c:x val="-4.1263006817366422E-2"/>
                  <c:y val="-2.86945928745994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204-42C6-87EA-F63CB1B13085}"/>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a:prstDash val="sysDot"/>
              </a:ln>
            </c:spPr>
            <c:trendlineType val="linear"/>
            <c:dispRSqr val="0"/>
            <c:dispEq val="0"/>
          </c:trendline>
          <c:cat>
            <c:numRef>
              <c:f>'Sal changes of new regd pt emp'!$C$2:$C$7</c:f>
              <c:numCache>
                <c:formatCode>General</c:formatCode>
                <c:ptCount val="6"/>
                <c:pt idx="0">
                  <c:v>2010</c:v>
                </c:pt>
                <c:pt idx="1">
                  <c:v>2011</c:v>
                </c:pt>
                <c:pt idx="2">
                  <c:v>2012</c:v>
                </c:pt>
                <c:pt idx="3">
                  <c:v>2013</c:v>
                </c:pt>
                <c:pt idx="4">
                  <c:v>2014</c:v>
                </c:pt>
                <c:pt idx="5">
                  <c:v>2015</c:v>
                </c:pt>
              </c:numCache>
            </c:numRef>
          </c:cat>
          <c:val>
            <c:numRef>
              <c:f>'Sal changes of new regd pt emp'!$B$2:$B$7</c:f>
              <c:numCache>
                <c:formatCode>"$"#,##0</c:formatCode>
                <c:ptCount val="6"/>
                <c:pt idx="0">
                  <c:v>360</c:v>
                </c:pt>
                <c:pt idx="1">
                  <c:v>314</c:v>
                </c:pt>
                <c:pt idx="2">
                  <c:v>296</c:v>
                </c:pt>
                <c:pt idx="3">
                  <c:v>286</c:v>
                </c:pt>
                <c:pt idx="4">
                  <c:v>293</c:v>
                </c:pt>
                <c:pt idx="5">
                  <c:v>291</c:v>
                </c:pt>
              </c:numCache>
            </c:numRef>
          </c:val>
          <c:smooth val="0"/>
          <c:extLst xmlns:c16r2="http://schemas.microsoft.com/office/drawing/2015/06/chart">
            <c:ext xmlns:c16="http://schemas.microsoft.com/office/drawing/2014/chart" uri="{C3380CC4-5D6E-409C-BE32-E72D297353CC}">
              <c16:uniqueId val="{00000007-8204-42C6-87EA-F63CB1B13085}"/>
            </c:ext>
          </c:extLst>
        </c:ser>
        <c:dLbls>
          <c:showLegendKey val="0"/>
          <c:showVal val="0"/>
          <c:showCatName val="0"/>
          <c:showSerName val="0"/>
          <c:showPercent val="0"/>
          <c:showBubbleSize val="0"/>
        </c:dLbls>
        <c:marker val="1"/>
        <c:smooth val="0"/>
        <c:axId val="638603672"/>
        <c:axId val="638604064"/>
      </c:lineChart>
      <c:catAx>
        <c:axId val="638603672"/>
        <c:scaling>
          <c:orientation val="minMax"/>
        </c:scaling>
        <c:delete val="0"/>
        <c:axPos val="b"/>
        <c:numFmt formatCode="General" sourceLinked="1"/>
        <c:majorTickMark val="out"/>
        <c:minorTickMark val="none"/>
        <c:tickLblPos val="nextTo"/>
        <c:crossAx val="638604064"/>
        <c:crosses val="autoZero"/>
        <c:auto val="1"/>
        <c:lblAlgn val="ctr"/>
        <c:lblOffset val="100"/>
        <c:noMultiLvlLbl val="0"/>
      </c:catAx>
      <c:valAx>
        <c:axId val="638604064"/>
        <c:scaling>
          <c:orientation val="minMax"/>
          <c:max val="400"/>
          <c:min val="200"/>
        </c:scaling>
        <c:delete val="0"/>
        <c:axPos val="l"/>
        <c:numFmt formatCode="&quot;$&quot;#,##0" sourceLinked="1"/>
        <c:majorTickMark val="out"/>
        <c:minorTickMark val="none"/>
        <c:tickLblPos val="nextTo"/>
        <c:crossAx val="638603672"/>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AU" sz="1100"/>
              <a:t>Australia</a:t>
            </a:r>
          </a:p>
        </c:rich>
      </c:tx>
      <c:overlay val="1"/>
    </c:title>
    <c:autoTitleDeleted val="0"/>
    <c:plotArea>
      <c:layout>
        <c:manualLayout>
          <c:layoutTarget val="inner"/>
          <c:xMode val="edge"/>
          <c:yMode val="edge"/>
          <c:x val="0.17318430230467766"/>
          <c:y val="0.13945838168924829"/>
          <c:w val="0.79626020206378723"/>
          <c:h val="0.51481130737036251"/>
        </c:manualLayout>
      </c:layout>
      <c:barChart>
        <c:barDir val="col"/>
        <c:grouping val="clustered"/>
        <c:varyColors val="0"/>
        <c:ser>
          <c:idx val="0"/>
          <c:order val="0"/>
          <c:tx>
            <c:strRef>
              <c:f>Sheet1!$F$97</c:f>
              <c:strCache>
                <c:ptCount val="1"/>
                <c:pt idx="0">
                  <c:v>Before Subsidy</c:v>
                </c:pt>
              </c:strCache>
            </c:strRef>
          </c:tx>
          <c:spPr>
            <a:solidFill>
              <a:srgbClr val="482D8C"/>
            </a:solidFill>
          </c:spPr>
          <c:invertIfNegative val="0"/>
          <c:cat>
            <c:strRef>
              <c:f>Sheet1!$A$108:$A$116</c:f>
              <c:strCache>
                <c:ptCount val="9"/>
                <c:pt idx="0">
                  <c:v>P10</c:v>
                </c:pt>
                <c:pt idx="1">
                  <c:v>P20</c:v>
                </c:pt>
                <c:pt idx="2">
                  <c:v>P30</c:v>
                </c:pt>
                <c:pt idx="3">
                  <c:v>P40</c:v>
                </c:pt>
                <c:pt idx="4">
                  <c:v>P50</c:v>
                </c:pt>
                <c:pt idx="5">
                  <c:v>P60</c:v>
                </c:pt>
                <c:pt idx="6">
                  <c:v>P70</c:v>
                </c:pt>
                <c:pt idx="7">
                  <c:v>P80</c:v>
                </c:pt>
                <c:pt idx="8">
                  <c:v>P90</c:v>
                </c:pt>
              </c:strCache>
            </c:strRef>
          </c:cat>
          <c:val>
            <c:numRef>
              <c:f>Sheet1!$F$108:$F$116</c:f>
              <c:numCache>
                <c:formatCode>0.0%</c:formatCode>
                <c:ptCount val="9"/>
                <c:pt idx="0">
                  <c:v>0.96987951807229322</c:v>
                </c:pt>
                <c:pt idx="1">
                  <c:v>0.78767123287671714</c:v>
                </c:pt>
                <c:pt idx="2">
                  <c:v>0.65767973856209982</c:v>
                </c:pt>
                <c:pt idx="3">
                  <c:v>0.55288461538461564</c:v>
                </c:pt>
                <c:pt idx="4">
                  <c:v>0.4768957345971564</c:v>
                </c:pt>
                <c:pt idx="5">
                  <c:v>0.41927083333333331</c:v>
                </c:pt>
                <c:pt idx="6">
                  <c:v>0.36163522012578614</c:v>
                </c:pt>
                <c:pt idx="7">
                  <c:v>0.30772171253822628</c:v>
                </c:pt>
                <c:pt idx="8">
                  <c:v>0.2384478672985782</c:v>
                </c:pt>
              </c:numCache>
            </c:numRef>
          </c:val>
          <c:extLst xmlns:c16r2="http://schemas.microsoft.com/office/drawing/2015/06/chart">
            <c:ext xmlns:c16="http://schemas.microsoft.com/office/drawing/2014/chart" uri="{C3380CC4-5D6E-409C-BE32-E72D297353CC}">
              <c16:uniqueId val="{00000000-4A21-485A-9581-ED3C7C68C1D6}"/>
            </c:ext>
          </c:extLst>
        </c:ser>
        <c:ser>
          <c:idx val="1"/>
          <c:order val="1"/>
          <c:tx>
            <c:strRef>
              <c:f>Sheet1!$G$97</c:f>
              <c:strCache>
                <c:ptCount val="1"/>
                <c:pt idx="0">
                  <c:v>After Subsidy</c:v>
                </c:pt>
              </c:strCache>
            </c:strRef>
          </c:tx>
          <c:spPr>
            <a:solidFill>
              <a:srgbClr val="00AEEF"/>
            </a:solidFill>
          </c:spPr>
          <c:invertIfNegative val="0"/>
          <c:cat>
            <c:strRef>
              <c:f>Sheet1!$A$108:$A$116</c:f>
              <c:strCache>
                <c:ptCount val="9"/>
                <c:pt idx="0">
                  <c:v>P10</c:v>
                </c:pt>
                <c:pt idx="1">
                  <c:v>P20</c:v>
                </c:pt>
                <c:pt idx="2">
                  <c:v>P30</c:v>
                </c:pt>
                <c:pt idx="3">
                  <c:v>P40</c:v>
                </c:pt>
                <c:pt idx="4">
                  <c:v>P50</c:v>
                </c:pt>
                <c:pt idx="5">
                  <c:v>P60</c:v>
                </c:pt>
                <c:pt idx="6">
                  <c:v>P70</c:v>
                </c:pt>
                <c:pt idx="7">
                  <c:v>P80</c:v>
                </c:pt>
                <c:pt idx="8">
                  <c:v>P90</c:v>
                </c:pt>
              </c:strCache>
            </c:strRef>
          </c:cat>
          <c:val>
            <c:numRef>
              <c:f>Sheet1!$G$108:$G$116</c:f>
              <c:numCache>
                <c:formatCode>0.0%</c:formatCode>
                <c:ptCount val="9"/>
                <c:pt idx="0">
                  <c:v>0.23373493975903711</c:v>
                </c:pt>
                <c:pt idx="1">
                  <c:v>0.18982387475538159</c:v>
                </c:pt>
                <c:pt idx="2">
                  <c:v>0.16406862745098033</c:v>
                </c:pt>
                <c:pt idx="3">
                  <c:v>0.15811813186813395</c:v>
                </c:pt>
                <c:pt idx="4">
                  <c:v>0.15681279620853084</c:v>
                </c:pt>
                <c:pt idx="5">
                  <c:v>0.1653854166666667</c:v>
                </c:pt>
                <c:pt idx="6">
                  <c:v>0.18246181491464511</c:v>
                </c:pt>
                <c:pt idx="7">
                  <c:v>0.19745412844036744</c:v>
                </c:pt>
                <c:pt idx="8">
                  <c:v>0.15300355450237124</c:v>
                </c:pt>
              </c:numCache>
            </c:numRef>
          </c:val>
          <c:extLst xmlns:c16r2="http://schemas.microsoft.com/office/drawing/2015/06/chart">
            <c:ext xmlns:c16="http://schemas.microsoft.com/office/drawing/2014/chart" uri="{C3380CC4-5D6E-409C-BE32-E72D297353CC}">
              <c16:uniqueId val="{00000001-4A21-485A-9581-ED3C7C68C1D6}"/>
            </c:ext>
          </c:extLst>
        </c:ser>
        <c:dLbls>
          <c:showLegendKey val="0"/>
          <c:showVal val="0"/>
          <c:showCatName val="0"/>
          <c:showSerName val="0"/>
          <c:showPercent val="0"/>
          <c:showBubbleSize val="0"/>
        </c:dLbls>
        <c:gapWidth val="150"/>
        <c:axId val="563631312"/>
        <c:axId val="564960040"/>
      </c:barChart>
      <c:catAx>
        <c:axId val="563631312"/>
        <c:scaling>
          <c:orientation val="minMax"/>
        </c:scaling>
        <c:delete val="0"/>
        <c:axPos val="b"/>
        <c:title>
          <c:tx>
            <c:rich>
              <a:bodyPr/>
              <a:lstStyle/>
              <a:p>
                <a:pPr>
                  <a:defRPr/>
                </a:pPr>
                <a:r>
                  <a:rPr lang="en-US"/>
                  <a:t>National Income Deciles</a:t>
                </a:r>
              </a:p>
            </c:rich>
          </c:tx>
          <c:overlay val="0"/>
        </c:title>
        <c:numFmt formatCode="General" sourceLinked="0"/>
        <c:majorTickMark val="out"/>
        <c:minorTickMark val="none"/>
        <c:tickLblPos val="nextTo"/>
        <c:crossAx val="564960040"/>
        <c:crosses val="autoZero"/>
        <c:auto val="1"/>
        <c:lblAlgn val="ctr"/>
        <c:lblOffset val="100"/>
        <c:noMultiLvlLbl val="0"/>
      </c:catAx>
      <c:valAx>
        <c:axId val="564960040"/>
        <c:scaling>
          <c:orientation val="minMax"/>
          <c:max val="1"/>
        </c:scaling>
        <c:delete val="0"/>
        <c:axPos val="l"/>
        <c:majorGridlines/>
        <c:title>
          <c:tx>
            <c:rich>
              <a:bodyPr rot="-5400000" vert="horz"/>
              <a:lstStyle/>
              <a:p>
                <a:pPr>
                  <a:defRPr/>
                </a:pPr>
                <a:r>
                  <a:rPr lang="en-AU"/>
                  <a:t>Percentage of Disposable Income</a:t>
                </a:r>
              </a:p>
            </c:rich>
          </c:tx>
          <c:layout>
            <c:manualLayout>
              <c:xMode val="edge"/>
              <c:yMode val="edge"/>
              <c:x val="3.4061230359903646E-2"/>
              <c:y val="0.12594488188976538"/>
            </c:manualLayout>
          </c:layout>
          <c:overlay val="0"/>
        </c:title>
        <c:numFmt formatCode="0.0%" sourceLinked="1"/>
        <c:majorTickMark val="out"/>
        <c:minorTickMark val="none"/>
        <c:tickLblPos val="nextTo"/>
        <c:crossAx val="563631312"/>
        <c:crosses val="autoZero"/>
        <c:crossBetween val="between"/>
        <c:majorUnit val="0.2"/>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82D8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awards!$H$2:$H$7</c:f>
              <c:strCache>
                <c:ptCount val="6"/>
                <c:pt idx="0">
                  <c:v>Director</c:v>
                </c:pt>
                <c:pt idx="1">
                  <c:v>Level 6.3-6.1</c:v>
                </c:pt>
                <c:pt idx="2">
                  <c:v>Level 5</c:v>
                </c:pt>
                <c:pt idx="3">
                  <c:v>Level 4</c:v>
                </c:pt>
                <c:pt idx="4">
                  <c:v>Level 3</c:v>
                </c:pt>
                <c:pt idx="5">
                  <c:v>Level 2-1</c:v>
                </c:pt>
              </c:strCache>
            </c:strRef>
          </c:cat>
          <c:val>
            <c:numRef>
              <c:f>awards!$I$2:$I$7</c:f>
              <c:numCache>
                <c:formatCode>General</c:formatCode>
                <c:ptCount val="6"/>
                <c:pt idx="0">
                  <c:v>574</c:v>
                </c:pt>
                <c:pt idx="1">
                  <c:v>75</c:v>
                </c:pt>
                <c:pt idx="2">
                  <c:v>502</c:v>
                </c:pt>
                <c:pt idx="3">
                  <c:v>773</c:v>
                </c:pt>
                <c:pt idx="4">
                  <c:v>524</c:v>
                </c:pt>
                <c:pt idx="5">
                  <c:v>779</c:v>
                </c:pt>
              </c:numCache>
            </c:numRef>
          </c:val>
          <c:extLst xmlns:c16r2="http://schemas.microsoft.com/office/drawing/2015/06/chart">
            <c:ext xmlns:c16="http://schemas.microsoft.com/office/drawing/2014/chart" uri="{C3380CC4-5D6E-409C-BE32-E72D297353CC}">
              <c16:uniqueId val="{00000000-D142-46CA-B218-D4DDD79392CB}"/>
            </c:ext>
          </c:extLst>
        </c:ser>
        <c:dLbls>
          <c:showLegendKey val="0"/>
          <c:showVal val="0"/>
          <c:showCatName val="0"/>
          <c:showSerName val="0"/>
          <c:showPercent val="0"/>
          <c:showBubbleSize val="0"/>
        </c:dLbls>
        <c:gapWidth val="150"/>
        <c:axId val="169642104"/>
        <c:axId val="567302048"/>
      </c:barChart>
      <c:catAx>
        <c:axId val="169642104"/>
        <c:scaling>
          <c:orientation val="minMax"/>
        </c:scaling>
        <c:delete val="0"/>
        <c:axPos val="b"/>
        <c:numFmt formatCode="General" sourceLinked="0"/>
        <c:majorTickMark val="out"/>
        <c:minorTickMark val="none"/>
        <c:tickLblPos val="nextTo"/>
        <c:crossAx val="567302048"/>
        <c:crosses val="autoZero"/>
        <c:auto val="1"/>
        <c:lblAlgn val="ctr"/>
        <c:lblOffset val="100"/>
        <c:noMultiLvlLbl val="0"/>
      </c:catAx>
      <c:valAx>
        <c:axId val="567302048"/>
        <c:scaling>
          <c:orientation val="minMax"/>
          <c:max val="1000"/>
        </c:scaling>
        <c:delete val="0"/>
        <c:axPos val="l"/>
        <c:numFmt formatCode="General" sourceLinked="1"/>
        <c:majorTickMark val="out"/>
        <c:minorTickMark val="none"/>
        <c:tickLblPos val="nextTo"/>
        <c:crossAx val="169642104"/>
        <c:crosses val="autoZero"/>
        <c:crossBetween val="between"/>
      </c:valAx>
    </c:plotArea>
    <c:plotVisOnly val="1"/>
    <c:dispBlanksAs val="gap"/>
    <c:showDLblsOverMax val="0"/>
  </c:chart>
  <c:spPr>
    <a:ln>
      <a:noFill/>
    </a:ln>
  </c:spPr>
  <c:txPr>
    <a:bodyPr/>
    <a:lstStyle/>
    <a:p>
      <a:pPr>
        <a:defRPr sz="900">
          <a:latin typeface="+mn-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82D8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awards!$H$16:$H$21</c:f>
              <c:strCache>
                <c:ptCount val="6"/>
                <c:pt idx="0">
                  <c:v>Director</c:v>
                </c:pt>
                <c:pt idx="1">
                  <c:v>Level 6.3-6.1</c:v>
                </c:pt>
                <c:pt idx="2">
                  <c:v>Level 5</c:v>
                </c:pt>
                <c:pt idx="3">
                  <c:v>Level 4</c:v>
                </c:pt>
                <c:pt idx="4">
                  <c:v>Level 3</c:v>
                </c:pt>
                <c:pt idx="5">
                  <c:v>Level 2-1</c:v>
                </c:pt>
              </c:strCache>
            </c:strRef>
          </c:cat>
          <c:val>
            <c:numRef>
              <c:f>awards!$I$16:$I$21</c:f>
              <c:numCache>
                <c:formatCode>0%</c:formatCode>
                <c:ptCount val="6"/>
                <c:pt idx="0">
                  <c:v>0.17787418655097859</c:v>
                </c:pt>
                <c:pt idx="1">
                  <c:v>2.3241400681747796E-2</c:v>
                </c:pt>
                <c:pt idx="2">
                  <c:v>0.15556244189650395</c:v>
                </c:pt>
                <c:pt idx="3">
                  <c:v>0.23954136969321371</c:v>
                </c:pt>
                <c:pt idx="4">
                  <c:v>0.16237991942981087</c:v>
                </c:pt>
                <c:pt idx="5">
                  <c:v>0.24140068174775575</c:v>
                </c:pt>
              </c:numCache>
            </c:numRef>
          </c:val>
          <c:extLst xmlns:c16r2="http://schemas.microsoft.com/office/drawing/2015/06/chart">
            <c:ext xmlns:c16="http://schemas.microsoft.com/office/drawing/2014/chart" uri="{C3380CC4-5D6E-409C-BE32-E72D297353CC}">
              <c16:uniqueId val="{00000000-2EBD-4E1F-9FFA-8A61E19DD8AC}"/>
            </c:ext>
          </c:extLst>
        </c:ser>
        <c:dLbls>
          <c:showLegendKey val="0"/>
          <c:showVal val="0"/>
          <c:showCatName val="0"/>
          <c:showSerName val="0"/>
          <c:showPercent val="0"/>
          <c:showBubbleSize val="0"/>
        </c:dLbls>
        <c:gapWidth val="150"/>
        <c:axId val="567302832"/>
        <c:axId val="567303224"/>
      </c:barChart>
      <c:catAx>
        <c:axId val="567302832"/>
        <c:scaling>
          <c:orientation val="minMax"/>
        </c:scaling>
        <c:delete val="0"/>
        <c:axPos val="b"/>
        <c:numFmt formatCode="General" sourceLinked="0"/>
        <c:majorTickMark val="out"/>
        <c:minorTickMark val="none"/>
        <c:tickLblPos val="nextTo"/>
        <c:crossAx val="567303224"/>
        <c:crosses val="autoZero"/>
        <c:auto val="1"/>
        <c:lblAlgn val="ctr"/>
        <c:lblOffset val="100"/>
        <c:noMultiLvlLbl val="0"/>
      </c:catAx>
      <c:valAx>
        <c:axId val="567303224"/>
        <c:scaling>
          <c:orientation val="minMax"/>
          <c:max val="1"/>
        </c:scaling>
        <c:delete val="0"/>
        <c:axPos val="l"/>
        <c:numFmt formatCode="0%" sourceLinked="1"/>
        <c:majorTickMark val="out"/>
        <c:minorTickMark val="none"/>
        <c:tickLblPos val="nextTo"/>
        <c:crossAx val="567302832"/>
        <c:crosses val="autoZero"/>
        <c:crossBetween val="between"/>
      </c:valAx>
    </c:plotArea>
    <c:plotVisOnly val="1"/>
    <c:dispBlanksAs val="gap"/>
    <c:showDLblsOverMax val="0"/>
  </c:chart>
  <c:spPr>
    <a:ln>
      <a:noFill/>
    </a:ln>
  </c:spPr>
  <c:txPr>
    <a:bodyPr/>
    <a:lstStyle/>
    <a:p>
      <a:pPr>
        <a:defRPr sz="900">
          <a:latin typeface="+mn-l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82D8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sector_type!$B$22:$B$25</c:f>
              <c:strCache>
                <c:ptCount val="4"/>
                <c:pt idx="0">
                  <c:v>Independent</c:v>
                </c:pt>
                <c:pt idx="1">
                  <c:v>For-Profit</c:v>
                </c:pt>
                <c:pt idx="2">
                  <c:v>Community Service</c:v>
                </c:pt>
                <c:pt idx="3">
                  <c:v>Non-Government Preschool</c:v>
                </c:pt>
              </c:strCache>
            </c:strRef>
          </c:cat>
          <c:val>
            <c:numRef>
              <c:f>sector_type!$C$22:$C$25</c:f>
              <c:numCache>
                <c:formatCode>"$"#,##0</c:formatCode>
                <c:ptCount val="4"/>
                <c:pt idx="0">
                  <c:v>47294.570425920072</c:v>
                </c:pt>
                <c:pt idx="1">
                  <c:v>44500.774931701184</c:v>
                </c:pt>
                <c:pt idx="2">
                  <c:v>50964.621590522984</c:v>
                </c:pt>
                <c:pt idx="3">
                  <c:v>45651.585143084005</c:v>
                </c:pt>
              </c:numCache>
            </c:numRef>
          </c:val>
          <c:extLst xmlns:c16r2="http://schemas.microsoft.com/office/drawing/2015/06/chart">
            <c:ext xmlns:c16="http://schemas.microsoft.com/office/drawing/2014/chart" uri="{C3380CC4-5D6E-409C-BE32-E72D297353CC}">
              <c16:uniqueId val="{00000000-1DF8-441A-8041-2A7C069AF192}"/>
            </c:ext>
          </c:extLst>
        </c:ser>
        <c:dLbls>
          <c:showLegendKey val="0"/>
          <c:showVal val="0"/>
          <c:showCatName val="0"/>
          <c:showSerName val="0"/>
          <c:showPercent val="0"/>
          <c:showBubbleSize val="0"/>
        </c:dLbls>
        <c:gapWidth val="150"/>
        <c:axId val="567304792"/>
        <c:axId val="567305184"/>
      </c:barChart>
      <c:catAx>
        <c:axId val="567304792"/>
        <c:scaling>
          <c:orientation val="minMax"/>
        </c:scaling>
        <c:delete val="0"/>
        <c:axPos val="b"/>
        <c:numFmt formatCode="General" sourceLinked="0"/>
        <c:majorTickMark val="out"/>
        <c:minorTickMark val="none"/>
        <c:tickLblPos val="nextTo"/>
        <c:txPr>
          <a:bodyPr/>
          <a:lstStyle/>
          <a:p>
            <a:pPr>
              <a:defRPr sz="800"/>
            </a:pPr>
            <a:endParaRPr lang="en-US"/>
          </a:p>
        </c:txPr>
        <c:crossAx val="567305184"/>
        <c:crosses val="autoZero"/>
        <c:auto val="1"/>
        <c:lblAlgn val="ctr"/>
        <c:lblOffset val="100"/>
        <c:noMultiLvlLbl val="0"/>
      </c:catAx>
      <c:valAx>
        <c:axId val="567305184"/>
        <c:scaling>
          <c:orientation val="minMax"/>
          <c:max val="60000"/>
          <c:min val="0"/>
        </c:scaling>
        <c:delete val="0"/>
        <c:axPos val="l"/>
        <c:numFmt formatCode="&quot;$&quot;#,##0" sourceLinked="1"/>
        <c:majorTickMark val="out"/>
        <c:minorTickMark val="none"/>
        <c:tickLblPos val="nextTo"/>
        <c:crossAx val="567304792"/>
        <c:crosses val="autoZero"/>
        <c:crossBetween val="between"/>
      </c:valAx>
    </c:plotArea>
    <c:plotVisOnly val="1"/>
    <c:dispBlanksAs val="gap"/>
    <c:showDLblsOverMax val="0"/>
  </c:chart>
  <c:spPr>
    <a:ln>
      <a:noFill/>
    </a:ln>
  </c:spPr>
  <c:txPr>
    <a:bodyPr/>
    <a:lstStyle/>
    <a:p>
      <a:pPr>
        <a:defRPr sz="900">
          <a:latin typeface="Century Gothic" panose="020B0502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82D8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9050">
                <a:solidFill>
                  <a:schemeClr val="accent2"/>
                </a:solidFill>
                <a:prstDash val="sysDot"/>
              </a:ln>
            </c:spPr>
            <c:trendlineType val="linear"/>
            <c:dispRSqr val="0"/>
            <c:dispEq val="0"/>
          </c:trendline>
          <c:cat>
            <c:numRef>
              <c:f>employer_growth!$K$5:$K$10</c:f>
              <c:numCache>
                <c:formatCode>General</c:formatCode>
                <c:ptCount val="6"/>
                <c:pt idx="0">
                  <c:v>2010</c:v>
                </c:pt>
                <c:pt idx="1">
                  <c:v>2011</c:v>
                </c:pt>
                <c:pt idx="2">
                  <c:v>2012</c:v>
                </c:pt>
                <c:pt idx="3">
                  <c:v>2013</c:v>
                </c:pt>
                <c:pt idx="4">
                  <c:v>2014</c:v>
                </c:pt>
                <c:pt idx="5">
                  <c:v>2015</c:v>
                </c:pt>
              </c:numCache>
            </c:numRef>
          </c:cat>
          <c:val>
            <c:numRef>
              <c:f>employer_growth!$L$5:$L$10</c:f>
              <c:numCache>
                <c:formatCode>General</c:formatCode>
                <c:ptCount val="6"/>
                <c:pt idx="0">
                  <c:v>2475</c:v>
                </c:pt>
                <c:pt idx="1">
                  <c:v>3973</c:v>
                </c:pt>
                <c:pt idx="2">
                  <c:v>5440</c:v>
                </c:pt>
                <c:pt idx="3">
                  <c:v>6609</c:v>
                </c:pt>
                <c:pt idx="4">
                  <c:v>7887</c:v>
                </c:pt>
                <c:pt idx="5">
                  <c:v>8734</c:v>
                </c:pt>
              </c:numCache>
            </c:numRef>
          </c:val>
          <c:extLst xmlns:c16r2="http://schemas.microsoft.com/office/drawing/2015/06/chart">
            <c:ext xmlns:c16="http://schemas.microsoft.com/office/drawing/2014/chart" uri="{C3380CC4-5D6E-409C-BE32-E72D297353CC}">
              <c16:uniqueId val="{00000001-5940-46E2-B157-AD78B0F7E0D4}"/>
            </c:ext>
          </c:extLst>
        </c:ser>
        <c:dLbls>
          <c:showLegendKey val="0"/>
          <c:showVal val="0"/>
          <c:showCatName val="0"/>
          <c:showSerName val="0"/>
          <c:showPercent val="0"/>
          <c:showBubbleSize val="0"/>
        </c:dLbls>
        <c:gapWidth val="150"/>
        <c:axId val="567305576"/>
        <c:axId val="566917240"/>
      </c:barChart>
      <c:catAx>
        <c:axId val="567305576"/>
        <c:scaling>
          <c:orientation val="minMax"/>
        </c:scaling>
        <c:delete val="0"/>
        <c:axPos val="b"/>
        <c:numFmt formatCode="General" sourceLinked="1"/>
        <c:majorTickMark val="out"/>
        <c:minorTickMark val="none"/>
        <c:tickLblPos val="nextTo"/>
        <c:crossAx val="566917240"/>
        <c:crosses val="autoZero"/>
        <c:auto val="1"/>
        <c:lblAlgn val="ctr"/>
        <c:lblOffset val="100"/>
        <c:noMultiLvlLbl val="0"/>
      </c:catAx>
      <c:valAx>
        <c:axId val="566917240"/>
        <c:scaling>
          <c:orientation val="minMax"/>
        </c:scaling>
        <c:delete val="0"/>
        <c:axPos val="l"/>
        <c:numFmt formatCode="General" sourceLinked="1"/>
        <c:majorTickMark val="out"/>
        <c:minorTickMark val="none"/>
        <c:tickLblPos val="nextTo"/>
        <c:crossAx val="567305576"/>
        <c:crosses val="autoZero"/>
        <c:crossBetween val="between"/>
      </c:valAx>
    </c:plotArea>
    <c:plotVisOnly val="1"/>
    <c:dispBlanksAs val="gap"/>
    <c:showDLblsOverMax val="0"/>
  </c:chart>
  <c:spPr>
    <a:ln>
      <a:noFill/>
    </a:ln>
  </c:spPr>
  <c:txPr>
    <a:bodyPr/>
    <a:lstStyle/>
    <a:p>
      <a:pPr>
        <a:defRPr>
          <a:latin typeface="Century Gothic" panose="020B0502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82D8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industry_ave!$C$3</c:f>
              <c:strCache>
                <c:ptCount val="1"/>
                <c:pt idx="0">
                  <c:v>Weekly Average</c:v>
                </c:pt>
              </c:strCache>
            </c:strRef>
          </c:cat>
          <c:val>
            <c:numRef>
              <c:f>industry_ave!$C$4</c:f>
              <c:numCache>
                <c:formatCode>"$"#,##0</c:formatCode>
                <c:ptCount val="1"/>
                <c:pt idx="0">
                  <c:v>933.85710287174436</c:v>
                </c:pt>
              </c:numCache>
            </c:numRef>
          </c:val>
          <c:extLst xmlns:c16r2="http://schemas.microsoft.com/office/drawing/2015/06/chart">
            <c:ext xmlns:c16="http://schemas.microsoft.com/office/drawing/2014/chart" uri="{C3380CC4-5D6E-409C-BE32-E72D297353CC}">
              <c16:uniqueId val="{00000000-F65B-4EAD-83CB-A2D9BB34D42A}"/>
            </c:ext>
          </c:extLst>
        </c:ser>
        <c:dLbls>
          <c:showLegendKey val="0"/>
          <c:showVal val="0"/>
          <c:showCatName val="0"/>
          <c:showSerName val="0"/>
          <c:showPercent val="0"/>
          <c:showBubbleSize val="0"/>
        </c:dLbls>
        <c:gapWidth val="150"/>
        <c:axId val="566918024"/>
        <c:axId val="566918416"/>
      </c:barChart>
      <c:catAx>
        <c:axId val="566918024"/>
        <c:scaling>
          <c:orientation val="minMax"/>
        </c:scaling>
        <c:delete val="0"/>
        <c:axPos val="b"/>
        <c:numFmt formatCode="General" sourceLinked="0"/>
        <c:majorTickMark val="out"/>
        <c:minorTickMark val="none"/>
        <c:tickLblPos val="nextTo"/>
        <c:crossAx val="566918416"/>
        <c:crosses val="autoZero"/>
        <c:auto val="1"/>
        <c:lblAlgn val="ctr"/>
        <c:lblOffset val="100"/>
        <c:noMultiLvlLbl val="0"/>
      </c:catAx>
      <c:valAx>
        <c:axId val="566918416"/>
        <c:scaling>
          <c:orientation val="minMax"/>
          <c:max val="1400"/>
          <c:min val="0"/>
        </c:scaling>
        <c:delete val="0"/>
        <c:axPos val="l"/>
        <c:numFmt formatCode="&quot;$&quot;#,##0" sourceLinked="1"/>
        <c:majorTickMark val="out"/>
        <c:minorTickMark val="none"/>
        <c:tickLblPos val="nextTo"/>
        <c:txPr>
          <a:bodyPr/>
          <a:lstStyle/>
          <a:p>
            <a:pPr>
              <a:defRPr sz="850" baseline="0"/>
            </a:pPr>
            <a:endParaRPr lang="en-US"/>
          </a:p>
        </c:txPr>
        <c:crossAx val="566918024"/>
        <c:crosses val="autoZero"/>
        <c:crossBetween val="between"/>
      </c:valAx>
    </c:plotArea>
    <c:plotVisOnly val="1"/>
    <c:dispBlanksAs val="gap"/>
    <c:showDLblsOverMax val="0"/>
  </c:chart>
  <c:spPr>
    <a:ln>
      <a:noFill/>
    </a:ln>
  </c:spPr>
  <c:txPr>
    <a:bodyPr/>
    <a:lstStyle/>
    <a:p>
      <a:pPr>
        <a:defRPr sz="900">
          <a:latin typeface="Century Gothic" panose="020B0502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82D8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industry_ave!$D$3</c:f>
              <c:strCache>
                <c:ptCount val="1"/>
                <c:pt idx="0">
                  <c:v>Annual Average</c:v>
                </c:pt>
              </c:strCache>
            </c:strRef>
          </c:cat>
          <c:val>
            <c:numRef>
              <c:f>industry_ave!$D$4</c:f>
              <c:numCache>
                <c:formatCode>"$"#,##0</c:formatCode>
                <c:ptCount val="1"/>
                <c:pt idx="0">
                  <c:v>48560.569349331105</c:v>
                </c:pt>
              </c:numCache>
            </c:numRef>
          </c:val>
          <c:extLst xmlns:c16r2="http://schemas.microsoft.com/office/drawing/2015/06/chart">
            <c:ext xmlns:c16="http://schemas.microsoft.com/office/drawing/2014/chart" uri="{C3380CC4-5D6E-409C-BE32-E72D297353CC}">
              <c16:uniqueId val="{00000000-1037-4898-9E00-9F19A7B6DF10}"/>
            </c:ext>
          </c:extLst>
        </c:ser>
        <c:dLbls>
          <c:showLegendKey val="0"/>
          <c:showVal val="0"/>
          <c:showCatName val="0"/>
          <c:showSerName val="0"/>
          <c:showPercent val="0"/>
          <c:showBubbleSize val="0"/>
        </c:dLbls>
        <c:gapWidth val="150"/>
        <c:axId val="566919200"/>
        <c:axId val="566919592"/>
      </c:barChart>
      <c:catAx>
        <c:axId val="566919200"/>
        <c:scaling>
          <c:orientation val="minMax"/>
        </c:scaling>
        <c:delete val="0"/>
        <c:axPos val="b"/>
        <c:numFmt formatCode="General" sourceLinked="0"/>
        <c:majorTickMark val="out"/>
        <c:minorTickMark val="none"/>
        <c:tickLblPos val="nextTo"/>
        <c:crossAx val="566919592"/>
        <c:crosses val="autoZero"/>
        <c:auto val="1"/>
        <c:lblAlgn val="ctr"/>
        <c:lblOffset val="100"/>
        <c:noMultiLvlLbl val="0"/>
      </c:catAx>
      <c:valAx>
        <c:axId val="566919592"/>
        <c:scaling>
          <c:orientation val="minMax"/>
          <c:max val="60000"/>
          <c:min val="0"/>
        </c:scaling>
        <c:delete val="0"/>
        <c:axPos val="l"/>
        <c:numFmt formatCode="&quot;$&quot;#,##0" sourceLinked="1"/>
        <c:majorTickMark val="out"/>
        <c:minorTickMark val="none"/>
        <c:tickLblPos val="nextTo"/>
        <c:txPr>
          <a:bodyPr/>
          <a:lstStyle/>
          <a:p>
            <a:pPr>
              <a:defRPr sz="850" baseline="0"/>
            </a:pPr>
            <a:endParaRPr lang="en-US"/>
          </a:p>
        </c:txPr>
        <c:crossAx val="566919200"/>
        <c:crosses val="autoZero"/>
        <c:crossBetween val="between"/>
      </c:valAx>
    </c:plotArea>
    <c:plotVisOnly val="1"/>
    <c:dispBlanksAs val="gap"/>
    <c:showDLblsOverMax val="0"/>
  </c:chart>
  <c:spPr>
    <a:ln>
      <a:noFill/>
    </a:ln>
  </c:spPr>
  <c:txPr>
    <a:bodyPr/>
    <a:lstStyle/>
    <a:p>
      <a:pPr>
        <a:defRPr sz="900">
          <a:latin typeface="Century Gothic" panose="020B0502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salary_by_year!$C$18</c:f>
              <c:strCache>
                <c:ptCount val="1"/>
                <c:pt idx="0">
                  <c:v>Salary</c:v>
                </c:pt>
              </c:strCache>
            </c:strRef>
          </c:tx>
          <c:spPr>
            <a:solidFill>
              <a:srgbClr val="482D8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salary_by_year!$B$19:$B$24</c:f>
              <c:numCache>
                <c:formatCode>General</c:formatCode>
                <c:ptCount val="6"/>
                <c:pt idx="0">
                  <c:v>2010</c:v>
                </c:pt>
                <c:pt idx="1">
                  <c:v>2011</c:v>
                </c:pt>
                <c:pt idx="2">
                  <c:v>2012</c:v>
                </c:pt>
                <c:pt idx="3">
                  <c:v>2013</c:v>
                </c:pt>
                <c:pt idx="4">
                  <c:v>2014</c:v>
                </c:pt>
                <c:pt idx="5">
                  <c:v>2015</c:v>
                </c:pt>
              </c:numCache>
            </c:numRef>
          </c:cat>
          <c:val>
            <c:numRef>
              <c:f>salary_by_year!$C$19:$C$24</c:f>
              <c:numCache>
                <c:formatCode>"$"#,##0</c:formatCode>
                <c:ptCount val="6"/>
                <c:pt idx="0">
                  <c:v>48679.987289470613</c:v>
                </c:pt>
                <c:pt idx="1">
                  <c:v>47140.175761621133</c:v>
                </c:pt>
                <c:pt idx="2">
                  <c:v>50148.709503612976</c:v>
                </c:pt>
                <c:pt idx="3">
                  <c:v>50360.109183826185</c:v>
                </c:pt>
                <c:pt idx="4">
                  <c:v>46230.037707524185</c:v>
                </c:pt>
                <c:pt idx="5">
                  <c:v>48106.634410119535</c:v>
                </c:pt>
              </c:numCache>
            </c:numRef>
          </c:val>
          <c:extLst xmlns:c16r2="http://schemas.microsoft.com/office/drawing/2015/06/chart">
            <c:ext xmlns:c16="http://schemas.microsoft.com/office/drawing/2014/chart" uri="{C3380CC4-5D6E-409C-BE32-E72D297353CC}">
              <c16:uniqueId val="{00000000-4BBC-48B7-A959-7FDF2BDABA85}"/>
            </c:ext>
          </c:extLst>
        </c:ser>
        <c:dLbls>
          <c:showLegendKey val="0"/>
          <c:showVal val="0"/>
          <c:showCatName val="0"/>
          <c:showSerName val="0"/>
          <c:showPercent val="0"/>
          <c:showBubbleSize val="0"/>
        </c:dLbls>
        <c:gapWidth val="150"/>
        <c:axId val="567304008"/>
        <c:axId val="566920376"/>
      </c:barChart>
      <c:catAx>
        <c:axId val="567304008"/>
        <c:scaling>
          <c:orientation val="minMax"/>
        </c:scaling>
        <c:delete val="0"/>
        <c:axPos val="b"/>
        <c:numFmt formatCode="General" sourceLinked="0"/>
        <c:majorTickMark val="out"/>
        <c:minorTickMark val="none"/>
        <c:tickLblPos val="nextTo"/>
        <c:crossAx val="566920376"/>
        <c:crosses val="autoZero"/>
        <c:auto val="1"/>
        <c:lblAlgn val="ctr"/>
        <c:lblOffset val="100"/>
        <c:noMultiLvlLbl val="0"/>
      </c:catAx>
      <c:valAx>
        <c:axId val="566920376"/>
        <c:scaling>
          <c:orientation val="minMax"/>
          <c:max val="60000"/>
          <c:min val="0"/>
        </c:scaling>
        <c:delete val="0"/>
        <c:axPos val="l"/>
        <c:numFmt formatCode="&quot;$&quot;#,##0" sourceLinked="1"/>
        <c:majorTickMark val="out"/>
        <c:minorTickMark val="none"/>
        <c:tickLblPos val="nextTo"/>
        <c:crossAx val="567304008"/>
        <c:crosses val="autoZero"/>
        <c:crossBetween val="between"/>
      </c:valAx>
    </c:plotArea>
    <c:plotVisOnly val="1"/>
    <c:dispBlanksAs val="gap"/>
    <c:showDLblsOverMax val="0"/>
  </c:chart>
  <c:spPr>
    <a:ln>
      <a:noFill/>
    </a:ln>
  </c:spPr>
  <c:txPr>
    <a:bodyPr/>
    <a:lstStyle/>
    <a:p>
      <a:pPr>
        <a:defRPr sz="900">
          <a:latin typeface="Century Gothic" panose="020B0502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464F3-AB3C-4A7F-937C-89277E7C217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3FE15C-71BC-4001-B665-35AB7376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B5D35165</Template>
  <TotalTime>0</TotalTime>
  <Pages>58</Pages>
  <Words>14392</Words>
  <Characters>82035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96235</CharactersWithSpaces>
  <SharedDoc>false</SharedDoc>
  <HLinks>
    <vt:vector size="6" baseType="variant">
      <vt:variant>
        <vt:i4>6357033</vt:i4>
      </vt:variant>
      <vt:variant>
        <vt:i4>6</vt:i4>
      </vt:variant>
      <vt:variant>
        <vt:i4>0</vt:i4>
      </vt:variant>
      <vt:variant>
        <vt:i4>5</vt:i4>
      </vt:variant>
      <vt:variant>
        <vt:lpwstr>http://www.act.gov.au/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Honeyball</dc:creator>
  <cp:lastModifiedBy>Hunter, Ian</cp:lastModifiedBy>
  <cp:revision>2</cp:revision>
  <cp:lastPrinted>2016-08-04T00:52:00Z</cp:lastPrinted>
  <dcterms:created xsi:type="dcterms:W3CDTF">2018-07-26T05:23:00Z</dcterms:created>
  <dcterms:modified xsi:type="dcterms:W3CDTF">2018-07-26T05:23:00Z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0b0da0c3-09d7-48d7-b5ef-04a743529575</vt:lpwstr>
  </property>
  <property fmtid="{D5CDD505-2E9C-101B-9397-08002B2CF9AE}" pid="3" name="bjSaver">
    <vt:lpwstr>sQBMHoV3h5QM4Qkf+Ehw4mcDxuB/EMvZ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