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10380" w:type="dxa"/>
            <w:gridSpan w:val="3"/>
            <w:shd w:val="clear" w:color="auto" w:fill="342682"/>
            <w:vAlign w:val="center"/>
            <w:hideMark/>
          </w:tcPr>
          <w:p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rsidR="0069774B" w:rsidRPr="0069774B" w:rsidRDefault="0069774B" w:rsidP="0069774B">
            <w:pPr>
              <w:spacing w:before="100" w:beforeAutospacing="1" w:after="100" w:afterAutospacing="1" w:line="400" w:lineRule="atLeast"/>
              <w:outlineLvl w:val="0"/>
              <w:rPr>
                <w:rFonts w:asciiTheme="minorHAnsi" w:eastAsia="Times New Roman" w:hAnsiTheme="minorHAnsi" w:cstheme="minorHAnsi"/>
                <w:kern w:val="36"/>
                <w:lang w:eastAsia="en-AU"/>
              </w:rPr>
            </w:pPr>
            <w:r w:rsidRPr="0069774B">
              <w:rPr>
                <w:rFonts w:asciiTheme="minorHAnsi" w:eastAsia="Times New Roman" w:hAnsiTheme="minorHAnsi" w:cstheme="minorHAnsi"/>
                <w:kern w:val="36"/>
                <w:lang w:eastAsia="en-AU"/>
              </w:rPr>
              <w:t>22 April 2020</w:t>
            </w:r>
          </w:p>
          <w:p w:rsidR="0069774B" w:rsidRPr="0069774B" w:rsidRDefault="0069774B" w:rsidP="0069774B">
            <w:pPr>
              <w:spacing w:before="100" w:beforeAutospacing="1" w:after="100" w:afterAutospacing="1" w:line="400" w:lineRule="atLeast"/>
              <w:outlineLvl w:val="0"/>
              <w:rPr>
                <w:rFonts w:asciiTheme="minorHAnsi" w:eastAsia="Times New Roman" w:hAnsiTheme="minorHAnsi" w:cstheme="minorHAnsi"/>
                <w:b/>
                <w:bCs/>
                <w:color w:val="2A987A"/>
                <w:kern w:val="36"/>
                <w:sz w:val="36"/>
                <w:szCs w:val="36"/>
                <w:lang w:eastAsia="en-AU"/>
              </w:rPr>
            </w:pPr>
            <w:r w:rsidRPr="0069774B">
              <w:rPr>
                <w:rFonts w:asciiTheme="minorHAnsi" w:eastAsia="Times New Roman" w:hAnsiTheme="minorHAnsi" w:cstheme="minorHAnsi"/>
                <w:b/>
                <w:bCs/>
                <w:color w:val="2A987A"/>
                <w:kern w:val="36"/>
                <w:sz w:val="36"/>
                <w:szCs w:val="36"/>
                <w:lang w:eastAsia="en-AU"/>
              </w:rPr>
              <w:t>Out of School Hours Care in Term 2</w:t>
            </w:r>
          </w:p>
          <w:p w:rsidR="0069774B" w:rsidRPr="0069774B" w:rsidRDefault="0069774B" w:rsidP="0069774B">
            <w:pPr>
              <w:rPr>
                <w:rFonts w:asciiTheme="minorHAnsi" w:hAnsiTheme="minorHAnsi" w:cstheme="minorHAnsi"/>
              </w:rPr>
            </w:pPr>
            <w:r w:rsidRPr="0069774B">
              <w:rPr>
                <w:rFonts w:asciiTheme="minorHAnsi" w:hAnsiTheme="minorHAnsi" w:cstheme="minorHAnsi"/>
                <w:color w:val="000000"/>
              </w:rPr>
              <w:t xml:space="preserve">The Minister for Education and Early Childhood Development has provided further information on how the </w:t>
            </w:r>
            <w:hyperlink r:id="rId6" w:history="1">
              <w:r w:rsidRPr="0069774B">
                <w:rPr>
                  <w:rFonts w:asciiTheme="minorHAnsi" w:hAnsiTheme="minorHAnsi" w:cstheme="minorHAnsi"/>
                  <w:color w:val="0563C1"/>
                  <w:u w:val="single"/>
                </w:rPr>
                <w:t>Safe and Supportive Schools</w:t>
              </w:r>
            </w:hyperlink>
            <w:r w:rsidRPr="0069774B">
              <w:rPr>
                <w:rFonts w:asciiTheme="minorHAnsi" w:hAnsiTheme="minorHAnsi" w:cstheme="minorHAnsi"/>
                <w:color w:val="000000"/>
              </w:rPr>
              <w:t xml:space="preserve"> will operate throughout term 2, the website will be updated shortly. </w:t>
            </w:r>
          </w:p>
          <w:p w:rsidR="0069774B" w:rsidRPr="0069774B" w:rsidRDefault="0069774B" w:rsidP="0069774B">
            <w:pPr>
              <w:textAlignment w:val="baseline"/>
              <w:rPr>
                <w:rFonts w:asciiTheme="minorHAnsi" w:hAnsiTheme="minorHAnsi" w:cstheme="minorHAnsi"/>
                <w:lang w:eastAsia="en-AU"/>
              </w:rPr>
            </w:pPr>
          </w:p>
          <w:p w:rsidR="0069774B" w:rsidRPr="0069774B" w:rsidRDefault="0069774B" w:rsidP="0069774B">
            <w:pPr>
              <w:textAlignment w:val="baseline"/>
              <w:rPr>
                <w:rFonts w:asciiTheme="minorHAnsi" w:hAnsiTheme="minorHAnsi" w:cstheme="minorHAnsi"/>
                <w:lang w:eastAsia="en-AU"/>
              </w:rPr>
            </w:pPr>
            <w:r w:rsidRPr="0069774B">
              <w:rPr>
                <w:rFonts w:asciiTheme="minorHAnsi" w:hAnsiTheme="minorHAnsi" w:cstheme="minorHAnsi"/>
                <w:color w:val="000000"/>
                <w:lang w:eastAsia="en-AU"/>
              </w:rPr>
              <w:t>Providers involved in the Outside School Hours Care (OSHC) operation at the Safe and Supportive Schools have been working with the Education Directorate to support its operation.  </w:t>
            </w:r>
          </w:p>
          <w:p w:rsidR="0069774B" w:rsidRPr="0069774B" w:rsidRDefault="0069774B" w:rsidP="0069774B">
            <w:pPr>
              <w:textAlignment w:val="baseline"/>
              <w:rPr>
                <w:rFonts w:asciiTheme="minorHAnsi" w:hAnsiTheme="minorHAnsi" w:cstheme="minorHAnsi"/>
                <w:lang w:eastAsia="en-AU"/>
              </w:rPr>
            </w:pPr>
          </w:p>
          <w:p w:rsidR="0069774B" w:rsidRPr="0069774B" w:rsidRDefault="0069774B" w:rsidP="0069774B">
            <w:pPr>
              <w:textAlignment w:val="baseline"/>
              <w:rPr>
                <w:rFonts w:asciiTheme="minorHAnsi" w:hAnsiTheme="minorHAnsi" w:cstheme="minorHAnsi"/>
                <w:color w:val="000000"/>
                <w:u w:val="single"/>
                <w:lang w:eastAsia="en-AU"/>
              </w:rPr>
            </w:pPr>
            <w:r w:rsidRPr="0069774B">
              <w:rPr>
                <w:rFonts w:asciiTheme="minorHAnsi" w:hAnsiTheme="minorHAnsi" w:cstheme="minorHAnsi"/>
                <w:color w:val="000000"/>
                <w:lang w:eastAsia="en-AU"/>
              </w:rPr>
              <w:t xml:space="preserve">The Education Directorate can confirm that all ACT Government school sites will remain accessible to OSHC providers to deliver OSHC during Term 2. Providers offering OSHC at an ACT Government school sites should direct any requests for changes to hours directly to </w:t>
            </w:r>
            <w:hyperlink r:id="rId7" w:history="1">
              <w:r w:rsidRPr="0069774B">
                <w:rPr>
                  <w:rFonts w:asciiTheme="minorHAnsi" w:hAnsiTheme="minorHAnsi" w:cstheme="minorHAnsi"/>
                  <w:color w:val="0563C1"/>
                  <w:u w:val="single"/>
                  <w:lang w:eastAsia="en-AU"/>
                </w:rPr>
                <w:t>EDUStrategicProcurement@act.gov.au</w:t>
              </w:r>
            </w:hyperlink>
            <w:r w:rsidRPr="0069774B">
              <w:rPr>
                <w:rFonts w:asciiTheme="minorHAnsi" w:hAnsiTheme="minorHAnsi" w:cstheme="minorHAnsi"/>
                <w:color w:val="000000"/>
                <w:u w:val="single"/>
                <w:lang w:eastAsia="en-AU"/>
              </w:rPr>
              <w:t xml:space="preserve"> </w:t>
            </w:r>
          </w:p>
          <w:p w:rsidR="0069774B" w:rsidRPr="0069774B" w:rsidRDefault="0069774B" w:rsidP="0069774B">
            <w:pPr>
              <w:textAlignment w:val="baseline"/>
              <w:rPr>
                <w:rFonts w:asciiTheme="minorHAnsi" w:hAnsiTheme="minorHAnsi" w:cstheme="minorHAnsi"/>
                <w:color w:val="0563C1"/>
                <w:u w:val="single"/>
                <w:lang w:val="en-US" w:eastAsia="en-AU"/>
              </w:rPr>
            </w:pPr>
          </w:p>
          <w:p w:rsidR="0069774B" w:rsidRPr="0069774B" w:rsidRDefault="0069774B" w:rsidP="0069774B">
            <w:pPr>
              <w:textAlignment w:val="baseline"/>
              <w:rPr>
                <w:rFonts w:asciiTheme="minorHAnsi" w:hAnsiTheme="minorHAnsi" w:cstheme="minorHAnsi"/>
                <w:lang w:eastAsia="en-AU"/>
              </w:rPr>
            </w:pPr>
            <w:r w:rsidRPr="0069774B">
              <w:rPr>
                <w:rFonts w:asciiTheme="minorHAnsi" w:hAnsiTheme="minorHAnsi" w:cstheme="minorHAnsi"/>
                <w:color w:val="000000"/>
                <w:lang w:eastAsia="en-AU"/>
              </w:rPr>
              <w:t>Any providers considering closure should contact CECA on the number below.</w:t>
            </w:r>
          </w:p>
          <w:p w:rsidR="00D27B1A" w:rsidRPr="00A922E8" w:rsidRDefault="00D27B1A" w:rsidP="00F81A6A">
            <w:pPr>
              <w:keepNext/>
              <w:rPr>
                <w:rFonts w:asciiTheme="minorHAnsi" w:hAnsiTheme="minorHAnsi" w:cstheme="minorHAnsi"/>
                <w:color w:val="000000"/>
              </w:rPr>
            </w:pPr>
          </w:p>
          <w:p w:rsidR="00D27B1A" w:rsidRPr="00A922E8" w:rsidRDefault="00D27B1A" w:rsidP="00F81A6A">
            <w:pPr>
              <w:keepNext/>
              <w:rPr>
                <w:rFonts w:asciiTheme="minorHAnsi" w:hAnsiTheme="minorHAnsi" w:cstheme="minorHAnsi"/>
                <w:b/>
                <w:bCs/>
                <w:lang w:eastAsia="en-AU"/>
              </w:rPr>
            </w:pPr>
          </w:p>
          <w:p w:rsidR="00D27B1A" w:rsidRPr="00A922E8" w:rsidRDefault="00D27B1A" w:rsidP="00F81A6A">
            <w:pPr>
              <w:jc w:val="center"/>
              <w:rPr>
                <w:rFonts w:asciiTheme="minorHAnsi" w:hAnsiTheme="minorHAnsi" w:cstheme="minorHAnsi"/>
                <w:color w:val="0070C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8" w:history="1">
              <w:r w:rsidRPr="00A922E8">
                <w:rPr>
                  <w:rStyle w:val="Hyperlink"/>
                  <w:rFonts w:asciiTheme="minorHAnsi" w:hAnsiTheme="minorHAnsi" w:cstheme="minorHAnsi"/>
                  <w:color w:val="000000" w:themeColor="text1"/>
                  <w:lang w:val="en-US"/>
                </w:rPr>
                <w:t>CECA@act.gov.au</w:t>
              </w:r>
            </w:hyperlink>
          </w:p>
          <w:p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rsidTr="00F81A6A">
        <w:trPr>
          <w:tblCellSpacing w:w="0" w:type="dxa"/>
          <w:jc w:val="center"/>
          <w:hidden/>
        </w:trPr>
        <w:tc>
          <w:tcPr>
            <w:tcW w:w="0" w:type="auto"/>
            <w:shd w:val="clear" w:color="auto" w:fill="5C5C5C"/>
            <w:vAlign w:val="center"/>
            <w:hideMark/>
          </w:tcPr>
          <w:p w:rsidR="00D27B1A" w:rsidRPr="00A922E8" w:rsidRDefault="00D27B1A" w:rsidP="00F81A6A">
            <w:pPr>
              <w:rPr>
                <w:rFonts w:asciiTheme="minorHAnsi" w:hAnsiTheme="minorHAnsi" w:cstheme="minorHAnsi"/>
                <w:vanish/>
                <w:color w:val="333132"/>
              </w:rPr>
            </w:pPr>
          </w:p>
        </w:tc>
      </w:tr>
      <w:tr w:rsidR="00D27B1A" w:rsidRPr="00A922E8"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rsidTr="00F81A6A">
              <w:trPr>
                <w:gridAfter w:val="2"/>
                <w:wAfter w:w="6309" w:type="dxa"/>
                <w:tblCellSpacing w:w="0" w:type="dxa"/>
                <w:jc w:val="center"/>
              </w:trPr>
              <w:tc>
                <w:tcPr>
                  <w:tcW w:w="4200" w:type="dxa"/>
                  <w:shd w:val="clear" w:color="auto" w:fill="5C5C5C"/>
                  <w:vAlign w:val="center"/>
                  <w:hideMark/>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4200" w:type="dxa"/>
                  <w:shd w:val="clear" w:color="auto" w:fill="5C5C5C"/>
                  <w:tcMar>
                    <w:top w:w="120" w:type="dxa"/>
                    <w:left w:w="630" w:type="dxa"/>
                    <w:bottom w:w="120" w:type="dxa"/>
                    <w:right w:w="0" w:type="dxa"/>
                  </w:tcMar>
                  <w:vAlign w:val="center"/>
                  <w:hideMark/>
                </w:tcPr>
                <w:p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rsidR="00D27B1A" w:rsidRPr="00A922E8" w:rsidRDefault="00D27B1A"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1A"/>
    <w:rsid w:val="00164EF5"/>
    <w:rsid w:val="001C49DD"/>
    <w:rsid w:val="001E4B11"/>
    <w:rsid w:val="00380DFB"/>
    <w:rsid w:val="003A04A1"/>
    <w:rsid w:val="00495248"/>
    <w:rsid w:val="005B47EB"/>
    <w:rsid w:val="00650F0F"/>
    <w:rsid w:val="00694CF8"/>
    <w:rsid w:val="0069774B"/>
    <w:rsid w:val="00A5783B"/>
    <w:rsid w:val="00BB38B7"/>
    <w:rsid w:val="00D27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 w:type="paragraph" w:styleId="BalloonText">
    <w:name w:val="Balloon Text"/>
    <w:basedOn w:val="Normal"/>
    <w:link w:val="BalloonTextChar"/>
    <w:uiPriority w:val="99"/>
    <w:semiHidden/>
    <w:unhideWhenUsed/>
    <w:rsid w:val="0049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A@act.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StrategicProcurement@ac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act.gov.au/public-school-life/remote-learning-in-term-2-2020/supervised-school-sites-term-2-2020"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CE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2020-11-17T03:37:00Z</dcterms:created>
  <dcterms:modified xsi:type="dcterms:W3CDTF">2020-11-17T03:37:00Z</dcterms:modified>
</cp:coreProperties>
</file>