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10380"/>
      </w:tblGrid>
      <w:tr w:rsidR="003D2FDA" w:rsidRPr="00354D2E" w14:paraId="23FEE145" w14:textId="77777777" w:rsidTr="00D602F2">
        <w:trPr>
          <w:tblCellSpacing w:w="0" w:type="dxa"/>
          <w:jc w:val="center"/>
        </w:trPr>
        <w:tc>
          <w:tcPr>
            <w:tcW w:w="10380" w:type="dxa"/>
            <w:shd w:val="clear" w:color="auto" w:fill="5C5C5C"/>
            <w:tcMar>
              <w:top w:w="225" w:type="dxa"/>
              <w:left w:w="0" w:type="dxa"/>
              <w:bottom w:w="225" w:type="dxa"/>
              <w:right w:w="375" w:type="dxa"/>
            </w:tcMar>
            <w:vAlign w:val="center"/>
            <w:hideMark/>
          </w:tcPr>
          <w:p w14:paraId="725AE48D" w14:textId="2081E929" w:rsidR="003D2FDA" w:rsidRPr="00354D2E" w:rsidRDefault="003D2FDA">
            <w:pPr>
              <w:spacing w:before="100" w:beforeAutospacing="1" w:after="100" w:afterAutospacing="1"/>
              <w:jc w:val="right"/>
              <w:rPr>
                <w:color w:val="FFFFFF"/>
                <w:sz w:val="24"/>
                <w:szCs w:val="24"/>
                <w:lang w:eastAsia="en-AU"/>
              </w:rPr>
            </w:pPr>
            <w:r w:rsidRPr="00354D2E">
              <w:rPr>
                <w:noProof/>
                <w:color w:val="000000"/>
                <w:sz w:val="24"/>
                <w:szCs w:val="24"/>
              </w:rPr>
              <w:drawing>
                <wp:inline distT="0" distB="0" distL="0" distR="0" wp14:anchorId="133BADC0" wp14:editId="2FCE82EF">
                  <wp:extent cx="205740" cy="20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54D2E">
              <w:rPr>
                <w:noProof/>
                <w:color w:val="000000"/>
                <w:sz w:val="24"/>
                <w:szCs w:val="24"/>
              </w:rPr>
              <w:drawing>
                <wp:inline distT="0" distB="0" distL="0" distR="0" wp14:anchorId="738565B4" wp14:editId="362550D7">
                  <wp:extent cx="205740" cy="205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354D2E">
              <w:rPr>
                <w:noProof/>
                <w:color w:val="000000"/>
                <w:sz w:val="24"/>
                <w:szCs w:val="24"/>
              </w:rPr>
              <w:drawing>
                <wp:inline distT="0" distB="0" distL="0" distR="0" wp14:anchorId="5F9BAB1E" wp14:editId="52A0BE77">
                  <wp:extent cx="205740" cy="205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r w:rsidR="00175973" w:rsidRPr="00354D2E" w14:paraId="3190339C" w14:textId="77777777" w:rsidTr="003D2FDA">
        <w:trPr>
          <w:tblCellSpacing w:w="0" w:type="dxa"/>
          <w:jc w:val="center"/>
        </w:trPr>
        <w:tc>
          <w:tcPr>
            <w:tcW w:w="0" w:type="auto"/>
            <w:shd w:val="clear" w:color="auto" w:fill="342682"/>
            <w:vAlign w:val="center"/>
            <w:hideMark/>
          </w:tcPr>
          <w:p w14:paraId="0414EB36" w14:textId="0844783C" w:rsidR="00175973" w:rsidRPr="00354D2E" w:rsidRDefault="00175973">
            <w:pPr>
              <w:rPr>
                <w:color w:val="333132"/>
                <w:sz w:val="24"/>
                <w:szCs w:val="24"/>
              </w:rPr>
            </w:pPr>
            <w:r w:rsidRPr="00354D2E">
              <w:rPr>
                <w:noProof/>
                <w:color w:val="333132"/>
                <w:sz w:val="24"/>
                <w:szCs w:val="24"/>
              </w:rPr>
              <w:drawing>
                <wp:inline distT="0" distB="0" distL="0" distR="0" wp14:anchorId="72007A22" wp14:editId="038B7B3A">
                  <wp:extent cx="6591300" cy="1873109"/>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1226" cy="1875930"/>
                          </a:xfrm>
                          <a:prstGeom prst="rect">
                            <a:avLst/>
                          </a:prstGeom>
                          <a:noFill/>
                          <a:ln>
                            <a:noFill/>
                          </a:ln>
                        </pic:spPr>
                      </pic:pic>
                    </a:graphicData>
                  </a:graphic>
                </wp:inline>
              </w:drawing>
            </w:r>
          </w:p>
        </w:tc>
      </w:tr>
    </w:tbl>
    <w:p w14:paraId="0418BBF8" w14:textId="77777777" w:rsidR="00175973" w:rsidRPr="00354D2E" w:rsidRDefault="00175973" w:rsidP="00175973">
      <w:pPr>
        <w:rPr>
          <w:sz w:val="24"/>
          <w:szCs w:val="24"/>
        </w:rPr>
      </w:pPr>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10260"/>
      </w:tblGrid>
      <w:tr w:rsidR="00175973" w:rsidRPr="00354D2E" w14:paraId="28F3C347" w14:textId="77777777" w:rsidTr="00D602F2">
        <w:trPr>
          <w:trHeight w:val="8290"/>
          <w:tblCellSpacing w:w="0" w:type="dxa"/>
          <w:jc w:val="center"/>
        </w:trPr>
        <w:tc>
          <w:tcPr>
            <w:tcW w:w="0" w:type="auto"/>
            <w:shd w:val="clear" w:color="auto" w:fill="F2F2F2"/>
            <w:tcMar>
              <w:top w:w="300" w:type="dxa"/>
              <w:left w:w="750" w:type="dxa"/>
              <w:bottom w:w="375" w:type="dxa"/>
              <w:right w:w="630" w:type="dxa"/>
            </w:tcMar>
            <w:vAlign w:val="center"/>
          </w:tcPr>
          <w:p w14:paraId="43EFD9D5" w14:textId="1CE49D79" w:rsidR="00175973" w:rsidRPr="00354D2E" w:rsidRDefault="004B4C3A">
            <w:pPr>
              <w:spacing w:before="100" w:beforeAutospacing="1" w:after="100" w:afterAutospacing="1" w:line="400" w:lineRule="atLeast"/>
              <w:rPr>
                <w:rFonts w:asciiTheme="minorHAnsi" w:hAnsiTheme="minorHAnsi" w:cstheme="minorHAnsi"/>
                <w:sz w:val="24"/>
                <w:szCs w:val="24"/>
                <w:lang w:eastAsia="en-AU"/>
              </w:rPr>
            </w:pPr>
            <w:r>
              <w:rPr>
                <w:rFonts w:asciiTheme="minorHAnsi" w:hAnsiTheme="minorHAnsi" w:cstheme="minorHAnsi"/>
                <w:sz w:val="24"/>
                <w:szCs w:val="24"/>
                <w:lang w:eastAsia="en-AU"/>
              </w:rPr>
              <w:t>16</w:t>
            </w:r>
            <w:r w:rsidR="008E524F">
              <w:rPr>
                <w:rFonts w:asciiTheme="minorHAnsi" w:hAnsiTheme="minorHAnsi" w:cstheme="minorHAnsi"/>
                <w:sz w:val="24"/>
                <w:szCs w:val="24"/>
                <w:lang w:eastAsia="en-AU"/>
              </w:rPr>
              <w:t xml:space="preserve"> December </w:t>
            </w:r>
            <w:r w:rsidR="00DF141B" w:rsidRPr="00354D2E">
              <w:rPr>
                <w:rFonts w:asciiTheme="minorHAnsi" w:hAnsiTheme="minorHAnsi" w:cstheme="minorHAnsi"/>
                <w:sz w:val="24"/>
                <w:szCs w:val="24"/>
                <w:lang w:eastAsia="en-AU"/>
              </w:rPr>
              <w:t>2020</w:t>
            </w:r>
          </w:p>
          <w:tbl>
            <w:tblPr>
              <w:tblW w:w="5000" w:type="pct"/>
              <w:tblCellMar>
                <w:left w:w="0" w:type="dxa"/>
                <w:right w:w="0" w:type="dxa"/>
              </w:tblCellMar>
              <w:tblLook w:val="04A0" w:firstRow="1" w:lastRow="0" w:firstColumn="1" w:lastColumn="0" w:noHBand="0" w:noVBand="1"/>
            </w:tblPr>
            <w:tblGrid>
              <w:gridCol w:w="8880"/>
            </w:tblGrid>
            <w:tr w:rsidR="00175973" w:rsidRPr="00ED3F22" w14:paraId="4BEDE7B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880"/>
                  </w:tblGrid>
                  <w:tr w:rsidR="00175973" w:rsidRPr="00ED3F22" w14:paraId="32DDF848" w14:textId="77777777">
                    <w:tc>
                      <w:tcPr>
                        <w:tcW w:w="9106" w:type="dxa"/>
                        <w:hideMark/>
                      </w:tcPr>
                      <w:tbl>
                        <w:tblPr>
                          <w:tblpPr w:leftFromText="45" w:rightFromText="45" w:vertAnchor="text"/>
                          <w:tblW w:w="8080" w:type="dxa"/>
                          <w:tblCellMar>
                            <w:left w:w="0" w:type="dxa"/>
                            <w:right w:w="0" w:type="dxa"/>
                          </w:tblCellMar>
                          <w:tblLook w:val="04A0" w:firstRow="1" w:lastRow="0" w:firstColumn="1" w:lastColumn="0" w:noHBand="0" w:noVBand="1"/>
                        </w:tblPr>
                        <w:tblGrid>
                          <w:gridCol w:w="8080"/>
                        </w:tblGrid>
                        <w:tr w:rsidR="00175973" w:rsidRPr="00ED3F22" w14:paraId="70C12C27" w14:textId="77777777" w:rsidTr="00966A77">
                          <w:trPr>
                            <w:trHeight w:val="709"/>
                          </w:trPr>
                          <w:tc>
                            <w:tcPr>
                              <w:tcW w:w="5000" w:type="pct"/>
                              <w:tcMar>
                                <w:top w:w="0" w:type="dxa"/>
                                <w:left w:w="270" w:type="dxa"/>
                                <w:bottom w:w="135" w:type="dxa"/>
                                <w:right w:w="270" w:type="dxa"/>
                              </w:tcMar>
                              <w:hideMark/>
                            </w:tcPr>
                            <w:p w14:paraId="638497D2" w14:textId="4D3535A6" w:rsidR="00175973" w:rsidRPr="00966A77" w:rsidRDefault="008E524F" w:rsidP="00966A77">
                              <w:pPr>
                                <w:ind w:right="-456"/>
                                <w:jc w:val="center"/>
                                <w:rPr>
                                  <w:rFonts w:asciiTheme="minorHAnsi" w:hAnsiTheme="minorHAnsi" w:cstheme="minorHAnsi"/>
                                  <w:b/>
                                  <w:bCs/>
                                  <w:color w:val="60C0AB"/>
                                  <w:sz w:val="36"/>
                                  <w:szCs w:val="36"/>
                                  <w:lang w:eastAsia="en-AU"/>
                                </w:rPr>
                              </w:pPr>
                              <w:r>
                                <w:rPr>
                                  <w:rFonts w:asciiTheme="minorHAnsi" w:hAnsiTheme="minorHAnsi" w:cstheme="minorHAnsi"/>
                                  <w:b/>
                                  <w:bCs/>
                                  <w:color w:val="60C0AB"/>
                                  <w:sz w:val="36"/>
                                  <w:szCs w:val="36"/>
                                  <w:lang w:eastAsia="en-AU"/>
                                </w:rPr>
                                <w:t xml:space="preserve">Easing of COVID Restrictions in the ACT </w:t>
                              </w:r>
                            </w:p>
                          </w:tc>
                        </w:tr>
                      </w:tbl>
                      <w:p w14:paraId="3DC7BE58" w14:textId="77777777" w:rsidR="00175973" w:rsidRPr="00ED3F22" w:rsidRDefault="00175973">
                        <w:pPr>
                          <w:rPr>
                            <w:rFonts w:asciiTheme="minorHAnsi" w:eastAsia="Times New Roman" w:hAnsiTheme="minorHAnsi" w:cstheme="minorHAnsi"/>
                            <w:sz w:val="44"/>
                            <w:szCs w:val="44"/>
                            <w:lang w:eastAsia="en-AU"/>
                          </w:rPr>
                        </w:pPr>
                      </w:p>
                    </w:tc>
                  </w:tr>
                </w:tbl>
                <w:p w14:paraId="088AB27C" w14:textId="77777777" w:rsidR="00175973" w:rsidRPr="00ED3F22" w:rsidRDefault="00175973">
                  <w:pPr>
                    <w:rPr>
                      <w:rFonts w:asciiTheme="minorHAnsi" w:eastAsia="Times New Roman" w:hAnsiTheme="minorHAnsi" w:cstheme="minorHAnsi"/>
                      <w:sz w:val="24"/>
                      <w:szCs w:val="24"/>
                      <w:lang w:eastAsia="en-AU"/>
                    </w:rPr>
                  </w:pPr>
                </w:p>
              </w:tc>
            </w:tr>
          </w:tbl>
          <w:p w14:paraId="5A5D7CBF" w14:textId="3B6E4872" w:rsidR="008E524F" w:rsidRDefault="008E524F" w:rsidP="008E524F">
            <w:pPr>
              <w:rPr>
                <w:rFonts w:asciiTheme="minorHAnsi" w:hAnsiTheme="minorHAnsi" w:cstheme="minorHAnsi"/>
                <w:color w:val="000000"/>
                <w:sz w:val="24"/>
                <w:szCs w:val="24"/>
              </w:rPr>
            </w:pPr>
            <w:r w:rsidRPr="008E524F">
              <w:rPr>
                <w:rFonts w:asciiTheme="minorHAnsi" w:hAnsiTheme="minorHAnsi" w:cstheme="minorHAnsi"/>
                <w:color w:val="000000"/>
                <w:sz w:val="24"/>
                <w:szCs w:val="24"/>
              </w:rPr>
              <w:t xml:space="preserve">On 2 December the ACT Government eased COVID restrictions in the ACT. This now means that for gatherings such as education and care services’ Christmas parties, the one person per two square metres of usable space rule in both indoor and outdoor spaces can be applied provided you use the </w:t>
            </w:r>
            <w:hyperlink r:id="rId7" w:history="1">
              <w:r w:rsidRPr="008E524F">
                <w:rPr>
                  <w:rStyle w:val="Hyperlink"/>
                  <w:rFonts w:asciiTheme="minorHAnsi" w:hAnsiTheme="minorHAnsi" w:cstheme="minorHAnsi"/>
                  <w:sz w:val="24"/>
                  <w:szCs w:val="24"/>
                </w:rPr>
                <w:t>Check In CBR app</w:t>
              </w:r>
            </w:hyperlink>
            <w:r w:rsidRPr="008E524F">
              <w:rPr>
                <w:rFonts w:asciiTheme="minorHAnsi" w:hAnsiTheme="minorHAnsi" w:cstheme="minorHAnsi"/>
                <w:color w:val="000000"/>
                <w:sz w:val="24"/>
                <w:szCs w:val="24"/>
              </w:rPr>
              <w:t xml:space="preserve"> to collect visitors contact details.  </w:t>
            </w:r>
          </w:p>
          <w:p w14:paraId="10DE0AF8" w14:textId="77777777" w:rsidR="00D602F2" w:rsidRPr="008E524F" w:rsidRDefault="00D602F2" w:rsidP="008E524F">
            <w:pPr>
              <w:rPr>
                <w:rFonts w:asciiTheme="minorHAnsi" w:hAnsiTheme="minorHAnsi" w:cstheme="minorHAnsi"/>
                <w:color w:val="000000"/>
                <w:sz w:val="24"/>
                <w:szCs w:val="24"/>
              </w:rPr>
            </w:pPr>
          </w:p>
          <w:p w14:paraId="4F87890C" w14:textId="601C9925" w:rsidR="008E524F" w:rsidRDefault="008E524F" w:rsidP="008E524F">
            <w:pPr>
              <w:rPr>
                <w:rFonts w:asciiTheme="minorHAnsi" w:hAnsiTheme="minorHAnsi" w:cstheme="minorHAnsi"/>
                <w:color w:val="000000"/>
                <w:sz w:val="24"/>
                <w:szCs w:val="24"/>
              </w:rPr>
            </w:pPr>
            <w:r w:rsidRPr="008E524F">
              <w:rPr>
                <w:rFonts w:asciiTheme="minorHAnsi" w:hAnsiTheme="minorHAnsi" w:cstheme="minorHAnsi"/>
                <w:color w:val="000000"/>
                <w:sz w:val="24"/>
                <w:szCs w:val="24"/>
              </w:rPr>
              <w:t xml:space="preserve">Services will have until Wednesday 16 December to register with Check In CBR to meet this requirement. If Services are not using the Check In CBR app, they must continue to apply the rule of one person per four square metres of usable space indoors and one person per two square metres of usable space outdoors for any gatherings. For Services to be exempt from this requirement, you will need to submit a request via the COVID exemptions event </w:t>
            </w:r>
            <w:hyperlink r:id="rId8" w:history="1">
              <w:r w:rsidRPr="008E524F">
                <w:rPr>
                  <w:rStyle w:val="Hyperlink"/>
                  <w:rFonts w:asciiTheme="minorHAnsi" w:hAnsiTheme="minorHAnsi" w:cstheme="minorHAnsi"/>
                  <w:sz w:val="24"/>
                  <w:szCs w:val="24"/>
                </w:rPr>
                <w:t>email</w:t>
              </w:r>
            </w:hyperlink>
            <w:r w:rsidRPr="008E524F">
              <w:rPr>
                <w:rFonts w:asciiTheme="minorHAnsi" w:hAnsiTheme="minorHAnsi" w:cstheme="minorHAnsi"/>
                <w:color w:val="000000"/>
                <w:sz w:val="24"/>
                <w:szCs w:val="24"/>
              </w:rPr>
              <w:t xml:space="preserve"> clearly explaining why Check in CBR app should not be mandated. Any gatherings over 500 will also require an </w:t>
            </w:r>
            <w:hyperlink r:id="rId9" w:history="1">
              <w:r w:rsidRPr="008E524F">
                <w:rPr>
                  <w:rStyle w:val="Hyperlink"/>
                  <w:rFonts w:asciiTheme="minorHAnsi" w:hAnsiTheme="minorHAnsi" w:cstheme="minorHAnsi"/>
                  <w:sz w:val="24"/>
                  <w:szCs w:val="24"/>
                </w:rPr>
                <w:t>exemption</w:t>
              </w:r>
            </w:hyperlink>
            <w:r w:rsidRPr="008E524F">
              <w:rPr>
                <w:rFonts w:asciiTheme="minorHAnsi" w:hAnsiTheme="minorHAnsi" w:cstheme="minorHAnsi"/>
                <w:color w:val="000000"/>
                <w:sz w:val="24"/>
                <w:szCs w:val="24"/>
              </w:rPr>
              <w:t xml:space="preserve">. </w:t>
            </w:r>
          </w:p>
          <w:p w14:paraId="442C16C1" w14:textId="6A71BCAF" w:rsidR="00924F1C" w:rsidRDefault="00924F1C" w:rsidP="008E524F">
            <w:pPr>
              <w:rPr>
                <w:rFonts w:asciiTheme="minorHAnsi" w:hAnsiTheme="minorHAnsi" w:cstheme="minorHAnsi"/>
                <w:color w:val="000000"/>
                <w:sz w:val="24"/>
                <w:szCs w:val="24"/>
              </w:rPr>
            </w:pPr>
          </w:p>
          <w:p w14:paraId="286065DC" w14:textId="22D72212" w:rsidR="00924F1C" w:rsidRPr="008E524F" w:rsidRDefault="00924F1C" w:rsidP="008E524F">
            <w:pPr>
              <w:rPr>
                <w:rFonts w:asciiTheme="minorHAnsi" w:hAnsiTheme="minorHAnsi" w:cstheme="minorHAnsi"/>
                <w:color w:val="000000"/>
                <w:sz w:val="24"/>
                <w:szCs w:val="24"/>
              </w:rPr>
            </w:pPr>
            <w:r w:rsidRPr="00924F1C">
              <w:rPr>
                <w:rFonts w:asciiTheme="minorHAnsi" w:hAnsiTheme="minorHAnsi" w:cstheme="minorHAnsi"/>
                <w:color w:val="000000"/>
                <w:sz w:val="24"/>
                <w:szCs w:val="24"/>
              </w:rPr>
              <w:t>Information about Novel Coronavirus (COVID-19) for Education and Care Services</w:t>
            </w:r>
            <w:r>
              <w:rPr>
                <w:rFonts w:asciiTheme="minorHAnsi" w:hAnsiTheme="minorHAnsi" w:cstheme="minorHAnsi"/>
                <w:color w:val="000000"/>
                <w:sz w:val="24"/>
                <w:szCs w:val="24"/>
              </w:rPr>
              <w:t xml:space="preserve"> is available on </w:t>
            </w:r>
            <w:hyperlink r:id="rId10" w:history="1">
              <w:r w:rsidRPr="00297453">
                <w:rPr>
                  <w:rStyle w:val="Hyperlink"/>
                  <w:rFonts w:asciiTheme="minorHAnsi" w:hAnsiTheme="minorHAnsi" w:cstheme="minorHAnsi"/>
                  <w:sz w:val="24"/>
                  <w:szCs w:val="24"/>
                </w:rPr>
                <w:t xml:space="preserve">Education </w:t>
              </w:r>
              <w:r w:rsidR="00297453" w:rsidRPr="00297453">
                <w:rPr>
                  <w:rStyle w:val="Hyperlink"/>
                  <w:rFonts w:asciiTheme="minorHAnsi" w:hAnsiTheme="minorHAnsi" w:cstheme="minorHAnsi"/>
                  <w:sz w:val="24"/>
                  <w:szCs w:val="24"/>
                </w:rPr>
                <w:t>website</w:t>
              </w:r>
            </w:hyperlink>
            <w:r w:rsidR="00297453">
              <w:rPr>
                <w:rFonts w:asciiTheme="minorHAnsi" w:hAnsiTheme="minorHAnsi" w:cstheme="minorHAnsi"/>
                <w:color w:val="000000"/>
                <w:sz w:val="24"/>
                <w:szCs w:val="24"/>
              </w:rPr>
              <w:t xml:space="preserve"> </w:t>
            </w:r>
          </w:p>
          <w:p w14:paraId="08356E24" w14:textId="77777777" w:rsidR="00D602F2" w:rsidRDefault="00D602F2" w:rsidP="008E524F">
            <w:pPr>
              <w:rPr>
                <w:rFonts w:asciiTheme="minorHAnsi" w:hAnsiTheme="minorHAnsi" w:cstheme="minorHAnsi"/>
                <w:color w:val="000000"/>
                <w:sz w:val="24"/>
                <w:szCs w:val="24"/>
              </w:rPr>
            </w:pPr>
          </w:p>
          <w:p w14:paraId="1DA16D26" w14:textId="31579680" w:rsidR="008E524F" w:rsidRPr="008E524F" w:rsidRDefault="008E524F" w:rsidP="008E524F">
            <w:pPr>
              <w:rPr>
                <w:rFonts w:asciiTheme="minorHAnsi" w:hAnsiTheme="minorHAnsi" w:cstheme="minorHAnsi"/>
                <w:color w:val="000000"/>
                <w:sz w:val="24"/>
                <w:szCs w:val="24"/>
              </w:rPr>
            </w:pPr>
            <w:r w:rsidRPr="008E524F">
              <w:rPr>
                <w:rFonts w:asciiTheme="minorHAnsi" w:hAnsiTheme="minorHAnsi" w:cstheme="minorHAnsi"/>
                <w:color w:val="000000"/>
                <w:sz w:val="24"/>
                <w:szCs w:val="24"/>
              </w:rPr>
              <w:t xml:space="preserve">Additional information is available on ACT Government’s </w:t>
            </w:r>
            <w:hyperlink r:id="rId11" w:history="1">
              <w:r w:rsidRPr="008E524F">
                <w:rPr>
                  <w:rStyle w:val="Hyperlink"/>
                  <w:rFonts w:asciiTheme="minorHAnsi" w:hAnsiTheme="minorHAnsi" w:cstheme="minorHAnsi"/>
                  <w:sz w:val="24"/>
                  <w:szCs w:val="24"/>
                </w:rPr>
                <w:t>COVID-19</w:t>
              </w:r>
            </w:hyperlink>
            <w:r w:rsidRPr="008E524F">
              <w:rPr>
                <w:rFonts w:asciiTheme="minorHAnsi" w:hAnsiTheme="minorHAnsi" w:cstheme="minorHAnsi"/>
                <w:color w:val="000000"/>
                <w:sz w:val="24"/>
                <w:szCs w:val="24"/>
              </w:rPr>
              <w:t xml:space="preserve"> </w:t>
            </w:r>
            <w:hyperlink r:id="rId12" w:history="1">
              <w:r w:rsidRPr="008E524F">
                <w:rPr>
                  <w:rStyle w:val="Hyperlink"/>
                  <w:rFonts w:asciiTheme="minorHAnsi" w:hAnsiTheme="minorHAnsi" w:cstheme="minorHAnsi"/>
                  <w:sz w:val="24"/>
                  <w:szCs w:val="24"/>
                </w:rPr>
                <w:t>webpage</w:t>
              </w:r>
            </w:hyperlink>
            <w:r w:rsidRPr="008E524F">
              <w:rPr>
                <w:rFonts w:asciiTheme="minorHAnsi" w:hAnsiTheme="minorHAnsi" w:cstheme="minorHAnsi"/>
                <w:color w:val="000000"/>
                <w:sz w:val="24"/>
                <w:szCs w:val="24"/>
              </w:rPr>
              <w:t>. For further assistance contact the ACT’s COVID-19 Helpline on (02) 6207 7244 between 8am and 8pm daily.</w:t>
            </w:r>
          </w:p>
          <w:p w14:paraId="0E311F4E" w14:textId="77777777" w:rsidR="00B54015" w:rsidRPr="006E40F6" w:rsidRDefault="00B54015" w:rsidP="00F51D60">
            <w:pPr>
              <w:rPr>
                <w:rFonts w:asciiTheme="minorHAnsi" w:hAnsiTheme="minorHAnsi" w:cstheme="minorHAnsi"/>
                <w:color w:val="000000"/>
                <w:sz w:val="24"/>
                <w:szCs w:val="24"/>
              </w:rPr>
            </w:pPr>
          </w:p>
          <w:p w14:paraId="0001034F" w14:textId="77777777" w:rsidR="00D602F2" w:rsidRPr="00D602F2" w:rsidRDefault="00D602F2" w:rsidP="00D602F2">
            <w:pPr>
              <w:jc w:val="center"/>
              <w:rPr>
                <w:rFonts w:asciiTheme="minorHAnsi" w:hAnsiTheme="minorHAnsi" w:cstheme="minorHAnsi"/>
                <w:sz w:val="24"/>
                <w:szCs w:val="24"/>
              </w:rPr>
            </w:pPr>
            <w:r w:rsidRPr="00D602F2">
              <w:rPr>
                <w:rFonts w:asciiTheme="minorHAnsi" w:hAnsiTheme="minorHAnsi" w:cstheme="minorHAnsi"/>
                <w:sz w:val="24"/>
                <w:szCs w:val="24"/>
              </w:rPr>
              <w:t xml:space="preserve">For enquires in relation to this notification please call CECA on (02) 6207 1114 or email </w:t>
            </w:r>
            <w:hyperlink r:id="rId13" w:history="1">
              <w:r w:rsidRPr="00D602F2">
                <w:rPr>
                  <w:rStyle w:val="Hyperlink"/>
                  <w:rFonts w:asciiTheme="minorHAnsi" w:hAnsiTheme="minorHAnsi" w:cstheme="minorHAnsi"/>
                  <w:sz w:val="24"/>
                  <w:szCs w:val="24"/>
                  <w:lang w:val="en-US"/>
                </w:rPr>
                <w:t>CECA@act.gov.au</w:t>
              </w:r>
            </w:hyperlink>
          </w:p>
          <w:p w14:paraId="0BF40602" w14:textId="4A3864DA" w:rsidR="00175973" w:rsidRDefault="00175973">
            <w:pPr>
              <w:rPr>
                <w:rFonts w:asciiTheme="minorHAnsi" w:hAnsiTheme="minorHAnsi" w:cstheme="minorHAnsi"/>
                <w:sz w:val="24"/>
                <w:szCs w:val="24"/>
              </w:rPr>
            </w:pPr>
          </w:p>
          <w:p w14:paraId="2B9741AF" w14:textId="77777777" w:rsidR="00175973" w:rsidRPr="00ED3F22" w:rsidRDefault="00175973">
            <w:pPr>
              <w:jc w:val="center"/>
              <w:rPr>
                <w:rFonts w:asciiTheme="minorHAnsi" w:hAnsiTheme="minorHAnsi" w:cstheme="minorHAnsi"/>
                <w:color w:val="767171"/>
                <w:sz w:val="24"/>
                <w:szCs w:val="24"/>
                <w:lang w:eastAsia="en-AU"/>
              </w:rPr>
            </w:pPr>
            <w:r w:rsidRPr="00ED3F22">
              <w:rPr>
                <w:rFonts w:asciiTheme="minorHAnsi" w:hAnsiTheme="minorHAnsi" w:cstheme="minorHAnsi"/>
                <w:color w:val="767171"/>
                <w:sz w:val="24"/>
                <w:szCs w:val="24"/>
                <w:lang w:eastAsia="en-AU"/>
              </w:rPr>
              <w:t>This email has been authorised by the ACT Regulatory Authority (CECA).</w:t>
            </w:r>
          </w:p>
          <w:p w14:paraId="64BFB0F0" w14:textId="77777777" w:rsidR="00175973" w:rsidRPr="00354D2E" w:rsidRDefault="00175973">
            <w:pPr>
              <w:jc w:val="center"/>
              <w:rPr>
                <w:color w:val="767171"/>
                <w:sz w:val="24"/>
                <w:szCs w:val="24"/>
                <w:lang w:eastAsia="en-AU"/>
              </w:rPr>
            </w:pPr>
            <w:r w:rsidRPr="00ED3F22">
              <w:rPr>
                <w:rFonts w:asciiTheme="minorHAnsi" w:hAnsiTheme="minorHAnsi" w:cstheme="minorHAnsi"/>
                <w:color w:val="767171"/>
                <w:sz w:val="24"/>
                <w:szCs w:val="24"/>
                <w:lang w:eastAsia="en-AU"/>
              </w:rPr>
              <w:t>CECA are responsible for administering the National Quality Framework within the ACT.</w:t>
            </w:r>
          </w:p>
        </w:tc>
      </w:tr>
    </w:tbl>
    <w:p w14:paraId="2A973756" w14:textId="77777777" w:rsidR="00175973" w:rsidRPr="00354D2E" w:rsidRDefault="00175973" w:rsidP="00175973">
      <w:pPr>
        <w:rPr>
          <w:color w:val="333132"/>
          <w:sz w:val="24"/>
          <w:szCs w:val="24"/>
        </w:rPr>
      </w:pPr>
    </w:p>
    <w:tbl>
      <w:tblPr>
        <w:tblW w:w="10330" w:type="dxa"/>
        <w:jc w:val="center"/>
        <w:tblCellSpacing w:w="0" w:type="dxa"/>
        <w:shd w:val="clear" w:color="auto" w:fill="FFFFFF"/>
        <w:tblCellMar>
          <w:left w:w="0" w:type="dxa"/>
          <w:right w:w="0" w:type="dxa"/>
        </w:tblCellMar>
        <w:tblLook w:val="04A0" w:firstRow="1" w:lastRow="0" w:firstColumn="1" w:lastColumn="0" w:noHBand="0" w:noVBand="1"/>
      </w:tblPr>
      <w:tblGrid>
        <w:gridCol w:w="10330"/>
      </w:tblGrid>
      <w:tr w:rsidR="00175973" w:rsidRPr="00354D2E" w14:paraId="6173DED1" w14:textId="77777777" w:rsidTr="00175973">
        <w:trPr>
          <w:tblCellSpacing w:w="0" w:type="dxa"/>
          <w:jc w:val="center"/>
        </w:trPr>
        <w:tc>
          <w:tcPr>
            <w:tcW w:w="10330" w:type="dxa"/>
            <w:shd w:val="clear" w:color="auto" w:fill="5C5C5C"/>
            <w:vAlign w:val="center"/>
            <w:hideMark/>
          </w:tcPr>
          <w:p w14:paraId="0632AF18" w14:textId="77777777" w:rsidR="00175973" w:rsidRPr="00354D2E" w:rsidRDefault="00175973">
            <w:pPr>
              <w:rPr>
                <w:color w:val="333132"/>
                <w:sz w:val="24"/>
                <w:szCs w:val="24"/>
              </w:rPr>
            </w:pPr>
          </w:p>
        </w:tc>
      </w:tr>
      <w:tr w:rsidR="00175973" w:rsidRPr="00354D2E" w14:paraId="3B0EBED2" w14:textId="77777777" w:rsidTr="00175973">
        <w:trPr>
          <w:tblCellSpacing w:w="0" w:type="dxa"/>
          <w:jc w:val="center"/>
        </w:trPr>
        <w:tc>
          <w:tcPr>
            <w:tcW w:w="10330" w:type="dxa"/>
            <w:shd w:val="clear" w:color="auto" w:fill="5C5C5C"/>
            <w:vAlign w:val="center"/>
            <w:hideMark/>
          </w:tcPr>
          <w:tbl>
            <w:tblPr>
              <w:tblW w:w="10178" w:type="dxa"/>
              <w:jc w:val="center"/>
              <w:tblCellSpacing w:w="0" w:type="dxa"/>
              <w:shd w:val="clear" w:color="auto" w:fill="FFFFFF"/>
              <w:tblCellMar>
                <w:left w:w="0" w:type="dxa"/>
                <w:right w:w="0" w:type="dxa"/>
              </w:tblCellMar>
              <w:tblLook w:val="04A0" w:firstRow="1" w:lastRow="0" w:firstColumn="1" w:lastColumn="0" w:noHBand="0" w:noVBand="1"/>
            </w:tblPr>
            <w:tblGrid>
              <w:gridCol w:w="2325"/>
              <w:gridCol w:w="1731"/>
              <w:gridCol w:w="6122"/>
            </w:tblGrid>
            <w:tr w:rsidR="00175973" w:rsidRPr="00354D2E" w14:paraId="5CD66FAC" w14:textId="77777777" w:rsidTr="003D2FDA">
              <w:trPr>
                <w:tblCellSpacing w:w="0" w:type="dxa"/>
                <w:jc w:val="center"/>
              </w:trPr>
              <w:tc>
                <w:tcPr>
                  <w:tcW w:w="2325" w:type="dxa"/>
                  <w:shd w:val="clear" w:color="auto" w:fill="5C5C5C"/>
                  <w:tcMar>
                    <w:top w:w="120" w:type="dxa"/>
                    <w:left w:w="630" w:type="dxa"/>
                    <w:bottom w:w="120" w:type="dxa"/>
                    <w:right w:w="0" w:type="dxa"/>
                  </w:tcMar>
                  <w:vAlign w:val="center"/>
                  <w:hideMark/>
                </w:tcPr>
                <w:p w14:paraId="3537F37C" w14:textId="0CE84E9D" w:rsidR="00175973" w:rsidRPr="00354D2E" w:rsidRDefault="00175973">
                  <w:pPr>
                    <w:spacing w:before="100" w:beforeAutospacing="1" w:after="100" w:afterAutospacing="1"/>
                    <w:rPr>
                      <w:color w:val="FFFFFF"/>
                      <w:sz w:val="24"/>
                      <w:szCs w:val="24"/>
                      <w:lang w:eastAsia="en-AU"/>
                    </w:rPr>
                  </w:pPr>
                  <w:r w:rsidRPr="00354D2E">
                    <w:rPr>
                      <w:noProof/>
                      <w:color w:val="0000FF"/>
                      <w:sz w:val="24"/>
                      <w:szCs w:val="24"/>
                      <w:lang w:eastAsia="en-AU"/>
                    </w:rPr>
                    <w:drawing>
                      <wp:inline distT="0" distB="0" distL="0" distR="0" wp14:anchorId="175A5B32" wp14:editId="02BFA34C">
                        <wp:extent cx="1074420" cy="350520"/>
                        <wp:effectExtent l="0" t="0" r="0" b="0"/>
                        <wp:docPr id="2" name="Picture 2" descr="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aceboo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350520"/>
                                </a:xfrm>
                                <a:prstGeom prst="rect">
                                  <a:avLst/>
                                </a:prstGeom>
                                <a:noFill/>
                                <a:ln>
                                  <a:noFill/>
                                </a:ln>
                              </pic:spPr>
                            </pic:pic>
                          </a:graphicData>
                        </a:graphic>
                      </wp:inline>
                    </w:drawing>
                  </w:r>
                </w:p>
              </w:tc>
              <w:tc>
                <w:tcPr>
                  <w:tcW w:w="1731" w:type="dxa"/>
                  <w:shd w:val="clear" w:color="auto" w:fill="5C5C5C"/>
                  <w:tcMar>
                    <w:top w:w="120" w:type="dxa"/>
                    <w:left w:w="0" w:type="dxa"/>
                    <w:bottom w:w="120" w:type="dxa"/>
                    <w:right w:w="0" w:type="dxa"/>
                  </w:tcMar>
                  <w:vAlign w:val="center"/>
                  <w:hideMark/>
                </w:tcPr>
                <w:p w14:paraId="3E84A3AE" w14:textId="77777777" w:rsidR="00175973" w:rsidRPr="00354D2E" w:rsidRDefault="00175973" w:rsidP="003D2FDA">
                  <w:pPr>
                    <w:ind w:right="994"/>
                    <w:rPr>
                      <w:color w:val="FFFFFF"/>
                      <w:sz w:val="24"/>
                      <w:szCs w:val="24"/>
                      <w:lang w:eastAsia="en-AU"/>
                    </w:rPr>
                  </w:pPr>
                </w:p>
              </w:tc>
              <w:tc>
                <w:tcPr>
                  <w:tcW w:w="6122" w:type="dxa"/>
                  <w:shd w:val="clear" w:color="auto" w:fill="5C5C5C"/>
                  <w:tcMar>
                    <w:top w:w="120" w:type="dxa"/>
                    <w:left w:w="0" w:type="dxa"/>
                    <w:bottom w:w="120" w:type="dxa"/>
                    <w:right w:w="525" w:type="dxa"/>
                  </w:tcMar>
                  <w:vAlign w:val="center"/>
                  <w:hideMark/>
                </w:tcPr>
                <w:p w14:paraId="01881691" w14:textId="172C98F4" w:rsidR="00175973" w:rsidRPr="00354D2E" w:rsidRDefault="00175973">
                  <w:pPr>
                    <w:jc w:val="right"/>
                    <w:rPr>
                      <w:color w:val="333132"/>
                      <w:sz w:val="24"/>
                      <w:szCs w:val="24"/>
                    </w:rPr>
                  </w:pPr>
                  <w:r w:rsidRPr="00354D2E">
                    <w:rPr>
                      <w:noProof/>
                      <w:color w:val="333132"/>
                      <w:sz w:val="24"/>
                      <w:szCs w:val="24"/>
                    </w:rPr>
                    <w:drawing>
                      <wp:inline distT="0" distB="0" distL="0" distR="0" wp14:anchorId="006955EC" wp14:editId="0265D1C1">
                        <wp:extent cx="1889760" cy="662940"/>
                        <wp:effectExtent l="0" t="0" r="0" b="0"/>
                        <wp:docPr id="1" name="Picture 1"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spect, Integrity, Collaboration and Innovation, the ACTPS Values and Signature Behaivou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14:paraId="2986FFC4" w14:textId="77777777" w:rsidR="00175973" w:rsidRPr="00354D2E" w:rsidRDefault="00175973">
            <w:pPr>
              <w:jc w:val="center"/>
              <w:rPr>
                <w:rFonts w:ascii="Times New Roman" w:eastAsia="Times New Roman" w:hAnsi="Times New Roman" w:cs="Times New Roman"/>
                <w:sz w:val="24"/>
                <w:szCs w:val="24"/>
                <w:lang w:eastAsia="en-AU"/>
              </w:rPr>
            </w:pPr>
          </w:p>
        </w:tc>
      </w:tr>
    </w:tbl>
    <w:p w14:paraId="3FBB561B" w14:textId="77777777" w:rsidR="00175973" w:rsidRPr="00354D2E" w:rsidRDefault="00175973" w:rsidP="00D602F2">
      <w:pPr>
        <w:rPr>
          <w:sz w:val="24"/>
          <w:szCs w:val="24"/>
        </w:rPr>
      </w:pPr>
    </w:p>
    <w:sectPr w:rsidR="00175973" w:rsidRPr="00354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F6A02"/>
    <w:multiLevelType w:val="multilevel"/>
    <w:tmpl w:val="2700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9786E"/>
    <w:multiLevelType w:val="hybridMultilevel"/>
    <w:tmpl w:val="B7B4E9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73"/>
    <w:rsid w:val="00003AE3"/>
    <w:rsid w:val="00004223"/>
    <w:rsid w:val="00010728"/>
    <w:rsid w:val="0001126A"/>
    <w:rsid w:val="000A5DA5"/>
    <w:rsid w:val="000B7C7D"/>
    <w:rsid w:val="000C687B"/>
    <w:rsid w:val="000E54C2"/>
    <w:rsid w:val="00120BC3"/>
    <w:rsid w:val="001306BE"/>
    <w:rsid w:val="00175973"/>
    <w:rsid w:val="001975EF"/>
    <w:rsid w:val="001A7E75"/>
    <w:rsid w:val="001C49DD"/>
    <w:rsid w:val="001E4B11"/>
    <w:rsid w:val="002038FF"/>
    <w:rsid w:val="00234F81"/>
    <w:rsid w:val="00244202"/>
    <w:rsid w:val="0024783D"/>
    <w:rsid w:val="00297453"/>
    <w:rsid w:val="002E71FE"/>
    <w:rsid w:val="002F6C09"/>
    <w:rsid w:val="00312EB0"/>
    <w:rsid w:val="00333D1D"/>
    <w:rsid w:val="00346EF8"/>
    <w:rsid w:val="00354D2E"/>
    <w:rsid w:val="00380DFB"/>
    <w:rsid w:val="00391784"/>
    <w:rsid w:val="003A4DD7"/>
    <w:rsid w:val="003D2FDA"/>
    <w:rsid w:val="003E6CF4"/>
    <w:rsid w:val="003F4DFA"/>
    <w:rsid w:val="003F59BF"/>
    <w:rsid w:val="00403024"/>
    <w:rsid w:val="004532D9"/>
    <w:rsid w:val="004B4C3A"/>
    <w:rsid w:val="005063F1"/>
    <w:rsid w:val="00515307"/>
    <w:rsid w:val="00516F94"/>
    <w:rsid w:val="00520A60"/>
    <w:rsid w:val="00533464"/>
    <w:rsid w:val="00542460"/>
    <w:rsid w:val="00547A6E"/>
    <w:rsid w:val="00553A5D"/>
    <w:rsid w:val="0056689D"/>
    <w:rsid w:val="00585F55"/>
    <w:rsid w:val="005D00E7"/>
    <w:rsid w:val="005D0D93"/>
    <w:rsid w:val="00631D4B"/>
    <w:rsid w:val="00636F43"/>
    <w:rsid w:val="00694CF8"/>
    <w:rsid w:val="006A2590"/>
    <w:rsid w:val="006A3852"/>
    <w:rsid w:val="006E40F6"/>
    <w:rsid w:val="006F0446"/>
    <w:rsid w:val="006F5D10"/>
    <w:rsid w:val="0071193C"/>
    <w:rsid w:val="00732052"/>
    <w:rsid w:val="00732E54"/>
    <w:rsid w:val="00757F91"/>
    <w:rsid w:val="00783967"/>
    <w:rsid w:val="007E2889"/>
    <w:rsid w:val="007E653A"/>
    <w:rsid w:val="008029B3"/>
    <w:rsid w:val="0080767F"/>
    <w:rsid w:val="008574A7"/>
    <w:rsid w:val="00885A78"/>
    <w:rsid w:val="00897C1E"/>
    <w:rsid w:val="008C2875"/>
    <w:rsid w:val="008E524F"/>
    <w:rsid w:val="008F515A"/>
    <w:rsid w:val="00912773"/>
    <w:rsid w:val="00922592"/>
    <w:rsid w:val="00924F1C"/>
    <w:rsid w:val="009252FB"/>
    <w:rsid w:val="00961AAA"/>
    <w:rsid w:val="00966A77"/>
    <w:rsid w:val="00966B2E"/>
    <w:rsid w:val="00993E13"/>
    <w:rsid w:val="009A54D4"/>
    <w:rsid w:val="009A5BC4"/>
    <w:rsid w:val="00A01E79"/>
    <w:rsid w:val="00A417A1"/>
    <w:rsid w:val="00A43274"/>
    <w:rsid w:val="00A5783B"/>
    <w:rsid w:val="00AA69A3"/>
    <w:rsid w:val="00AB68BC"/>
    <w:rsid w:val="00AC6069"/>
    <w:rsid w:val="00B33E2D"/>
    <w:rsid w:val="00B4324F"/>
    <w:rsid w:val="00B52BEF"/>
    <w:rsid w:val="00B54015"/>
    <w:rsid w:val="00B7105D"/>
    <w:rsid w:val="00B71EDF"/>
    <w:rsid w:val="00BA2760"/>
    <w:rsid w:val="00BD76D2"/>
    <w:rsid w:val="00C1127C"/>
    <w:rsid w:val="00C331DB"/>
    <w:rsid w:val="00C57F0C"/>
    <w:rsid w:val="00C82E75"/>
    <w:rsid w:val="00C854AB"/>
    <w:rsid w:val="00CA553E"/>
    <w:rsid w:val="00CD2EAF"/>
    <w:rsid w:val="00CE47E5"/>
    <w:rsid w:val="00D602F2"/>
    <w:rsid w:val="00D633A3"/>
    <w:rsid w:val="00D82503"/>
    <w:rsid w:val="00D833BF"/>
    <w:rsid w:val="00DC5C53"/>
    <w:rsid w:val="00DD58A2"/>
    <w:rsid w:val="00DF13C9"/>
    <w:rsid w:val="00DF141B"/>
    <w:rsid w:val="00DF2B00"/>
    <w:rsid w:val="00E01A27"/>
    <w:rsid w:val="00E01B48"/>
    <w:rsid w:val="00E278E0"/>
    <w:rsid w:val="00E42DFD"/>
    <w:rsid w:val="00E6754E"/>
    <w:rsid w:val="00E7561C"/>
    <w:rsid w:val="00ED3F22"/>
    <w:rsid w:val="00ED4A51"/>
    <w:rsid w:val="00EE4FE8"/>
    <w:rsid w:val="00F40943"/>
    <w:rsid w:val="00F51D60"/>
    <w:rsid w:val="00F77D6F"/>
    <w:rsid w:val="00FA3A32"/>
    <w:rsid w:val="00FB31C2"/>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9CF6"/>
  <w15:chartTrackingRefBased/>
  <w15:docId w15:val="{0C2C6528-1CBC-4E78-BB9B-DF155A97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73"/>
    <w:pPr>
      <w:spacing w:after="0" w:line="240" w:lineRule="auto"/>
    </w:pPr>
    <w:rPr>
      <w:rFonts w:ascii="Calibri" w:hAnsi="Calibri" w:cs="Calibri"/>
    </w:rPr>
  </w:style>
  <w:style w:type="paragraph" w:styleId="Heading1">
    <w:name w:val="heading 1"/>
    <w:basedOn w:val="Normal"/>
    <w:link w:val="Heading1Char"/>
    <w:uiPriority w:val="9"/>
    <w:qFormat/>
    <w:rsid w:val="00C82E75"/>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973"/>
    <w:rPr>
      <w:color w:val="0563C1"/>
      <w:u w:val="single"/>
    </w:rPr>
  </w:style>
  <w:style w:type="paragraph" w:styleId="BalloonText">
    <w:name w:val="Balloon Text"/>
    <w:basedOn w:val="Normal"/>
    <w:link w:val="BalloonTextChar"/>
    <w:uiPriority w:val="99"/>
    <w:semiHidden/>
    <w:unhideWhenUsed/>
    <w:rsid w:val="0078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67"/>
    <w:rPr>
      <w:rFonts w:ascii="Segoe UI" w:hAnsi="Segoe UI" w:cs="Segoe UI"/>
      <w:sz w:val="18"/>
      <w:szCs w:val="18"/>
    </w:rPr>
  </w:style>
  <w:style w:type="character" w:styleId="UnresolvedMention">
    <w:name w:val="Unresolved Mention"/>
    <w:basedOn w:val="DefaultParagraphFont"/>
    <w:uiPriority w:val="99"/>
    <w:semiHidden/>
    <w:unhideWhenUsed/>
    <w:rsid w:val="00346EF8"/>
    <w:rPr>
      <w:color w:val="605E5C"/>
      <w:shd w:val="clear" w:color="auto" w:fill="E1DFDD"/>
    </w:rPr>
  </w:style>
  <w:style w:type="character" w:styleId="FollowedHyperlink">
    <w:name w:val="FollowedHyperlink"/>
    <w:basedOn w:val="DefaultParagraphFont"/>
    <w:uiPriority w:val="99"/>
    <w:semiHidden/>
    <w:unhideWhenUsed/>
    <w:rsid w:val="00B7105D"/>
    <w:rPr>
      <w:color w:val="800080" w:themeColor="followedHyperlink"/>
      <w:u w:val="single"/>
    </w:rPr>
  </w:style>
  <w:style w:type="paragraph" w:customStyle="1" w:styleId="text-align-center">
    <w:name w:val="text-align-center"/>
    <w:basedOn w:val="Normal"/>
    <w:rsid w:val="0000422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82E75"/>
    <w:rPr>
      <w:rFonts w:ascii="Calibri" w:eastAsia="Times New Roman" w:hAnsi="Calibri" w:cs="Calibri"/>
      <w:b/>
      <w:bCs/>
      <w:kern w:val="36"/>
      <w:sz w:val="48"/>
      <w:szCs w:val="48"/>
      <w:lang w:eastAsia="en-AU"/>
    </w:rPr>
  </w:style>
  <w:style w:type="paragraph" w:styleId="NormalWeb">
    <w:name w:val="Normal (Web)"/>
    <w:basedOn w:val="Normal"/>
    <w:uiPriority w:val="99"/>
    <w:semiHidden/>
    <w:unhideWhenUsed/>
    <w:rsid w:val="00DF2B0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6662">
      <w:bodyDiv w:val="1"/>
      <w:marLeft w:val="0"/>
      <w:marRight w:val="0"/>
      <w:marTop w:val="0"/>
      <w:marBottom w:val="0"/>
      <w:divBdr>
        <w:top w:val="none" w:sz="0" w:space="0" w:color="auto"/>
        <w:left w:val="none" w:sz="0" w:space="0" w:color="auto"/>
        <w:bottom w:val="none" w:sz="0" w:space="0" w:color="auto"/>
        <w:right w:val="none" w:sz="0" w:space="0" w:color="auto"/>
      </w:divBdr>
    </w:div>
    <w:div w:id="416903224">
      <w:bodyDiv w:val="1"/>
      <w:marLeft w:val="0"/>
      <w:marRight w:val="0"/>
      <w:marTop w:val="0"/>
      <w:marBottom w:val="0"/>
      <w:divBdr>
        <w:top w:val="none" w:sz="0" w:space="0" w:color="auto"/>
        <w:left w:val="none" w:sz="0" w:space="0" w:color="auto"/>
        <w:bottom w:val="none" w:sz="0" w:space="0" w:color="auto"/>
        <w:right w:val="none" w:sz="0" w:space="0" w:color="auto"/>
      </w:divBdr>
    </w:div>
    <w:div w:id="671644633">
      <w:bodyDiv w:val="1"/>
      <w:marLeft w:val="0"/>
      <w:marRight w:val="0"/>
      <w:marTop w:val="0"/>
      <w:marBottom w:val="0"/>
      <w:divBdr>
        <w:top w:val="none" w:sz="0" w:space="0" w:color="auto"/>
        <w:left w:val="none" w:sz="0" w:space="0" w:color="auto"/>
        <w:bottom w:val="none" w:sz="0" w:space="0" w:color="auto"/>
        <w:right w:val="none" w:sz="0" w:space="0" w:color="auto"/>
      </w:divBdr>
    </w:div>
    <w:div w:id="971056420">
      <w:bodyDiv w:val="1"/>
      <w:marLeft w:val="0"/>
      <w:marRight w:val="0"/>
      <w:marTop w:val="0"/>
      <w:marBottom w:val="0"/>
      <w:divBdr>
        <w:top w:val="none" w:sz="0" w:space="0" w:color="auto"/>
        <w:left w:val="none" w:sz="0" w:space="0" w:color="auto"/>
        <w:bottom w:val="none" w:sz="0" w:space="0" w:color="auto"/>
        <w:right w:val="none" w:sz="0" w:space="0" w:color="auto"/>
      </w:divBdr>
    </w:div>
    <w:div w:id="974986560">
      <w:bodyDiv w:val="1"/>
      <w:marLeft w:val="0"/>
      <w:marRight w:val="0"/>
      <w:marTop w:val="0"/>
      <w:marBottom w:val="0"/>
      <w:divBdr>
        <w:top w:val="none" w:sz="0" w:space="0" w:color="auto"/>
        <w:left w:val="none" w:sz="0" w:space="0" w:color="auto"/>
        <w:bottom w:val="none" w:sz="0" w:space="0" w:color="auto"/>
        <w:right w:val="none" w:sz="0" w:space="0" w:color="auto"/>
      </w:divBdr>
    </w:div>
    <w:div w:id="1021248376">
      <w:bodyDiv w:val="1"/>
      <w:marLeft w:val="0"/>
      <w:marRight w:val="0"/>
      <w:marTop w:val="0"/>
      <w:marBottom w:val="0"/>
      <w:divBdr>
        <w:top w:val="none" w:sz="0" w:space="0" w:color="auto"/>
        <w:left w:val="none" w:sz="0" w:space="0" w:color="auto"/>
        <w:bottom w:val="none" w:sz="0" w:space="0" w:color="auto"/>
        <w:right w:val="none" w:sz="0" w:space="0" w:color="auto"/>
      </w:divBdr>
    </w:div>
    <w:div w:id="1126579880">
      <w:bodyDiv w:val="1"/>
      <w:marLeft w:val="0"/>
      <w:marRight w:val="0"/>
      <w:marTop w:val="0"/>
      <w:marBottom w:val="0"/>
      <w:divBdr>
        <w:top w:val="none" w:sz="0" w:space="0" w:color="auto"/>
        <w:left w:val="none" w:sz="0" w:space="0" w:color="auto"/>
        <w:bottom w:val="none" w:sz="0" w:space="0" w:color="auto"/>
        <w:right w:val="none" w:sz="0" w:space="0" w:color="auto"/>
      </w:divBdr>
    </w:div>
    <w:div w:id="1394549322">
      <w:bodyDiv w:val="1"/>
      <w:marLeft w:val="0"/>
      <w:marRight w:val="0"/>
      <w:marTop w:val="0"/>
      <w:marBottom w:val="0"/>
      <w:divBdr>
        <w:top w:val="none" w:sz="0" w:space="0" w:color="auto"/>
        <w:left w:val="none" w:sz="0" w:space="0" w:color="auto"/>
        <w:bottom w:val="none" w:sz="0" w:space="0" w:color="auto"/>
        <w:right w:val="none" w:sz="0" w:space="0" w:color="auto"/>
      </w:divBdr>
    </w:div>
    <w:div w:id="1456943553">
      <w:bodyDiv w:val="1"/>
      <w:marLeft w:val="0"/>
      <w:marRight w:val="0"/>
      <w:marTop w:val="0"/>
      <w:marBottom w:val="0"/>
      <w:divBdr>
        <w:top w:val="none" w:sz="0" w:space="0" w:color="auto"/>
        <w:left w:val="none" w:sz="0" w:space="0" w:color="auto"/>
        <w:bottom w:val="none" w:sz="0" w:space="0" w:color="auto"/>
        <w:right w:val="none" w:sz="0" w:space="0" w:color="auto"/>
      </w:divBdr>
    </w:div>
    <w:div w:id="1540587097">
      <w:bodyDiv w:val="1"/>
      <w:marLeft w:val="0"/>
      <w:marRight w:val="0"/>
      <w:marTop w:val="0"/>
      <w:marBottom w:val="0"/>
      <w:divBdr>
        <w:top w:val="none" w:sz="0" w:space="0" w:color="auto"/>
        <w:left w:val="none" w:sz="0" w:space="0" w:color="auto"/>
        <w:bottom w:val="none" w:sz="0" w:space="0" w:color="auto"/>
        <w:right w:val="none" w:sz="0" w:space="0" w:color="auto"/>
      </w:divBdr>
    </w:div>
    <w:div w:id="1588423589">
      <w:bodyDiv w:val="1"/>
      <w:marLeft w:val="0"/>
      <w:marRight w:val="0"/>
      <w:marTop w:val="0"/>
      <w:marBottom w:val="0"/>
      <w:divBdr>
        <w:top w:val="none" w:sz="0" w:space="0" w:color="auto"/>
        <w:left w:val="none" w:sz="0" w:space="0" w:color="auto"/>
        <w:bottom w:val="none" w:sz="0" w:space="0" w:color="auto"/>
        <w:right w:val="none" w:sz="0" w:space="0" w:color="auto"/>
      </w:divBdr>
    </w:div>
    <w:div w:id="1605649562">
      <w:bodyDiv w:val="1"/>
      <w:marLeft w:val="0"/>
      <w:marRight w:val="0"/>
      <w:marTop w:val="0"/>
      <w:marBottom w:val="0"/>
      <w:divBdr>
        <w:top w:val="none" w:sz="0" w:space="0" w:color="auto"/>
        <w:left w:val="none" w:sz="0" w:space="0" w:color="auto"/>
        <w:bottom w:val="none" w:sz="0" w:space="0" w:color="auto"/>
        <w:right w:val="none" w:sz="0" w:space="0" w:color="auto"/>
      </w:divBdr>
    </w:div>
    <w:div w:id="1622224263">
      <w:bodyDiv w:val="1"/>
      <w:marLeft w:val="0"/>
      <w:marRight w:val="0"/>
      <w:marTop w:val="0"/>
      <w:marBottom w:val="0"/>
      <w:divBdr>
        <w:top w:val="none" w:sz="0" w:space="0" w:color="auto"/>
        <w:left w:val="none" w:sz="0" w:space="0" w:color="auto"/>
        <w:bottom w:val="none" w:sz="0" w:space="0" w:color="auto"/>
        <w:right w:val="none" w:sz="0" w:space="0" w:color="auto"/>
      </w:divBdr>
    </w:div>
    <w:div w:id="1672178714">
      <w:bodyDiv w:val="1"/>
      <w:marLeft w:val="0"/>
      <w:marRight w:val="0"/>
      <w:marTop w:val="0"/>
      <w:marBottom w:val="0"/>
      <w:divBdr>
        <w:top w:val="none" w:sz="0" w:space="0" w:color="auto"/>
        <w:left w:val="none" w:sz="0" w:space="0" w:color="auto"/>
        <w:bottom w:val="none" w:sz="0" w:space="0" w:color="auto"/>
        <w:right w:val="none" w:sz="0" w:space="0" w:color="auto"/>
      </w:divBdr>
    </w:div>
    <w:div w:id="1678925877">
      <w:bodyDiv w:val="1"/>
      <w:marLeft w:val="0"/>
      <w:marRight w:val="0"/>
      <w:marTop w:val="0"/>
      <w:marBottom w:val="0"/>
      <w:divBdr>
        <w:top w:val="none" w:sz="0" w:space="0" w:color="auto"/>
        <w:left w:val="none" w:sz="0" w:space="0" w:color="auto"/>
        <w:bottom w:val="none" w:sz="0" w:space="0" w:color="auto"/>
        <w:right w:val="none" w:sz="0" w:space="0" w:color="auto"/>
      </w:divBdr>
    </w:div>
    <w:div w:id="1994412708">
      <w:bodyDiv w:val="1"/>
      <w:marLeft w:val="0"/>
      <w:marRight w:val="0"/>
      <w:marTop w:val="0"/>
      <w:marBottom w:val="0"/>
      <w:divBdr>
        <w:top w:val="none" w:sz="0" w:space="0" w:color="auto"/>
        <w:left w:val="none" w:sz="0" w:space="0" w:color="auto"/>
        <w:bottom w:val="none" w:sz="0" w:space="0" w:color="auto"/>
        <w:right w:val="none" w:sz="0" w:space="0" w:color="auto"/>
      </w:divBdr>
    </w:div>
    <w:div w:id="2070305295">
      <w:bodyDiv w:val="1"/>
      <w:marLeft w:val="0"/>
      <w:marRight w:val="0"/>
      <w:marTop w:val="0"/>
      <w:marBottom w:val="0"/>
      <w:divBdr>
        <w:top w:val="none" w:sz="0" w:space="0" w:color="auto"/>
        <w:left w:val="none" w:sz="0" w:space="0" w:color="auto"/>
        <w:bottom w:val="none" w:sz="0" w:space="0" w:color="auto"/>
        <w:right w:val="none" w:sz="0" w:space="0" w:color="auto"/>
      </w:divBdr>
    </w:div>
    <w:div w:id="21125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exemptions.events@act.gov.au" TargetMode="External"/><Relationship Id="rId13" Type="http://schemas.openxmlformats.org/officeDocument/2006/relationships/hyperlink" Target="mailto:CECA@act.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id19.act.gov.au/business-and-work/check-in-cbr" TargetMode="External"/><Relationship Id="rId12" Type="http://schemas.openxmlformats.org/officeDocument/2006/relationships/hyperlink" Target="https://www.covid19.act.gov.au/what-you-can-do/faqs-changes-to-restri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vid19.act.gov.au/" TargetMode="External"/><Relationship Id="rId5" Type="http://schemas.openxmlformats.org/officeDocument/2006/relationships/image" Target="media/image1.gif"/><Relationship Id="rId15" Type="http://schemas.openxmlformats.org/officeDocument/2006/relationships/image" Target="media/image3.png"/><Relationship Id="rId10" Type="http://schemas.openxmlformats.org/officeDocument/2006/relationships/hyperlink" Target="https://www.education.act.gov.au/early-childhood/information-on-novel-coronavirus-covid-19-for-early-childhood" TargetMode="External"/><Relationship Id="rId4" Type="http://schemas.openxmlformats.org/officeDocument/2006/relationships/webSettings" Target="webSettings.xml"/><Relationship Id="rId9" Type="http://schemas.openxmlformats.org/officeDocument/2006/relationships/hyperlink" Target="https://form.act.gov.au/smartforms/servlet/SmartForm.html?formCode=1569" TargetMode="External"/><Relationship Id="rId14"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Mico, Tamara</cp:lastModifiedBy>
  <cp:revision>4</cp:revision>
  <dcterms:created xsi:type="dcterms:W3CDTF">2020-12-10T22:22:00Z</dcterms:created>
  <dcterms:modified xsi:type="dcterms:W3CDTF">2020-12-16T01:21:00Z</dcterms:modified>
</cp:coreProperties>
</file>