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BD" w:rsidRPr="00123AD4" w:rsidRDefault="00A504DC" w:rsidP="00327556">
      <w:pPr>
        <w:pStyle w:val="BodyText1"/>
        <w:spacing w:before="0" w:after="0"/>
        <w:ind w:right="-22"/>
        <w:rPr>
          <w:rFonts w:asciiTheme="majorHAnsi" w:hAnsiTheme="majorHAnsi"/>
        </w:rPr>
      </w:pPr>
      <w:bookmarkStart w:id="0" w:name="_GoBack"/>
      <w:bookmarkEnd w:id="0"/>
      <w:r w:rsidRPr="00A504DC">
        <w:rPr>
          <w:rFonts w:asciiTheme="majorHAnsi" w:hAnsiTheme="majorHAnsi"/>
          <w:noProof/>
          <w:lang w:eastAsia="en-AU"/>
        </w:rPr>
        <w:drawing>
          <wp:inline distT="0" distB="0" distL="0" distR="0">
            <wp:extent cx="1371600" cy="691515"/>
            <wp:effectExtent l="19050" t="0" r="0" b="0"/>
            <wp:docPr id="6" name="Picture 1" descr="H:\ACT Education small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T Education small line.jpg"/>
                    <pic:cNvPicPr>
                      <a:picLocks noChangeAspect="1" noChangeArrowheads="1"/>
                    </pic:cNvPicPr>
                  </pic:nvPicPr>
                  <pic:blipFill>
                    <a:blip r:embed="rId8" cstate="print"/>
                    <a:srcRect/>
                    <a:stretch>
                      <a:fillRect/>
                    </a:stretch>
                  </pic:blipFill>
                  <pic:spPr bwMode="auto">
                    <a:xfrm>
                      <a:off x="0" y="0"/>
                      <a:ext cx="1371600" cy="691515"/>
                    </a:xfrm>
                    <a:prstGeom prst="rect">
                      <a:avLst/>
                    </a:prstGeom>
                    <a:noFill/>
                    <a:ln w="9525">
                      <a:noFill/>
                      <a:miter lim="800000"/>
                      <a:headEnd/>
                      <a:tailEnd/>
                    </a:ln>
                  </pic:spPr>
                </pic:pic>
              </a:graphicData>
            </a:graphic>
          </wp:inline>
        </w:drawing>
      </w:r>
    </w:p>
    <w:p w:rsidR="002D5091" w:rsidRPr="00123AD4" w:rsidRDefault="00B20E34" w:rsidP="002D5091">
      <w:pPr>
        <w:pStyle w:val="PolicyHeading1-Accessible"/>
      </w:pPr>
      <w:bookmarkStart w:id="1" w:name="_Toc419885095"/>
      <w:bookmarkStart w:id="2" w:name="_Toc419886017"/>
      <w:bookmarkStart w:id="3" w:name="_Toc419886493"/>
      <w:bookmarkStart w:id="4" w:name="_Toc419889895"/>
      <w:bookmarkStart w:id="5" w:name="_Toc419889958"/>
      <w:r w:rsidRPr="00123AD4">
        <w:t xml:space="preserve">REVIEW OF DECISIONS </w:t>
      </w:r>
      <w:r w:rsidR="005C44BD" w:rsidRPr="00123AD4">
        <w:t>P</w:t>
      </w:r>
      <w:r w:rsidR="006354F6" w:rsidRPr="00123AD4">
        <w:t>ROCEDURE</w:t>
      </w:r>
      <w:bookmarkEnd w:id="1"/>
      <w:bookmarkEnd w:id="2"/>
      <w:bookmarkEnd w:id="3"/>
      <w:bookmarkEnd w:id="4"/>
      <w:bookmarkEnd w:id="5"/>
    </w:p>
    <w:p w:rsidR="00155F87" w:rsidRPr="00123AD4" w:rsidRDefault="00155F87" w:rsidP="00CF404F">
      <w:pPr>
        <w:pStyle w:val="Policy-BodyText"/>
        <w:numPr>
          <w:ilvl w:val="0"/>
          <w:numId w:val="0"/>
        </w:numPr>
        <w:rPr>
          <w:rStyle w:val="ExplanatoryTextChar"/>
          <w:rFonts w:asciiTheme="majorHAnsi" w:eastAsiaTheme="minorEastAsia" w:hAnsiTheme="majorHAnsi"/>
          <w:i/>
          <w:sz w:val="24"/>
          <w:szCs w:val="24"/>
        </w:rPr>
      </w:pPr>
      <w:bookmarkStart w:id="6" w:name="_Toc419886018"/>
      <w:r w:rsidRPr="00123AD4">
        <w:rPr>
          <w:rFonts w:asciiTheme="majorHAnsi" w:hAnsiTheme="majorHAnsi"/>
        </w:rPr>
        <w:t>This procedure must be read in conjunction with</w:t>
      </w:r>
      <w:r w:rsidR="00B20E34" w:rsidRPr="00123AD4">
        <w:rPr>
          <w:rFonts w:asciiTheme="majorHAnsi" w:hAnsiTheme="majorHAnsi"/>
        </w:rPr>
        <w:t xml:space="preserve"> the </w:t>
      </w:r>
      <w:r w:rsidR="00B20E34" w:rsidRPr="00123AD4">
        <w:rPr>
          <w:rFonts w:asciiTheme="majorHAnsi" w:hAnsiTheme="majorHAnsi"/>
          <w:i/>
        </w:rPr>
        <w:t>Review of Decisions Policy</w:t>
      </w:r>
      <w:bookmarkEnd w:id="6"/>
      <w:r w:rsidR="000E46E2">
        <w:rPr>
          <w:rFonts w:asciiTheme="majorHAnsi" w:hAnsiTheme="majorHAnsi"/>
          <w:i/>
        </w:rPr>
        <w:t>.</w:t>
      </w:r>
    </w:p>
    <w:p w:rsidR="007B0AF3" w:rsidRPr="00123AD4" w:rsidRDefault="007B0AF3" w:rsidP="00FA7E37">
      <w:pPr>
        <w:pStyle w:val="PolicyHeading2-Accessible"/>
        <w:rPr>
          <w:rFonts w:asciiTheme="majorHAnsi" w:hAnsiTheme="majorHAnsi"/>
        </w:rPr>
      </w:pPr>
      <w:bookmarkStart w:id="7" w:name="_Toc419889959"/>
      <w:r w:rsidRPr="00123AD4">
        <w:rPr>
          <w:rFonts w:asciiTheme="majorHAnsi" w:hAnsiTheme="majorHAnsi"/>
        </w:rPr>
        <w:t>Overview</w:t>
      </w:r>
      <w:bookmarkEnd w:id="7"/>
    </w:p>
    <w:p w:rsidR="007D4523" w:rsidRPr="00123AD4" w:rsidRDefault="007D4523" w:rsidP="00FA7E37">
      <w:pPr>
        <w:pStyle w:val="Policy-BodyText"/>
        <w:rPr>
          <w:rFonts w:asciiTheme="majorHAnsi" w:hAnsiTheme="majorHAnsi"/>
        </w:rPr>
      </w:pPr>
      <w:r w:rsidRPr="00123AD4">
        <w:rPr>
          <w:rFonts w:asciiTheme="majorHAnsi" w:hAnsiTheme="majorHAnsi"/>
        </w:rPr>
        <w:t xml:space="preserve">This procedure provides information about the process for applicants and decision-makers in relation to reviewable decisions under the </w:t>
      </w:r>
      <w:r w:rsidRPr="00123AD4">
        <w:rPr>
          <w:rFonts w:asciiTheme="majorHAnsi" w:hAnsiTheme="majorHAnsi"/>
          <w:i/>
        </w:rPr>
        <w:t>Education Act 2004</w:t>
      </w:r>
      <w:r w:rsidRPr="00123AD4">
        <w:rPr>
          <w:rFonts w:asciiTheme="majorHAnsi" w:hAnsiTheme="majorHAnsi"/>
        </w:rPr>
        <w:t xml:space="preserve">. </w:t>
      </w:r>
    </w:p>
    <w:p w:rsidR="007B0AF3" w:rsidRPr="00123AD4" w:rsidRDefault="007B0AF3" w:rsidP="00FA7E37">
      <w:pPr>
        <w:pStyle w:val="PolicyHeading2-Accessible"/>
        <w:rPr>
          <w:rFonts w:asciiTheme="majorHAnsi" w:hAnsiTheme="majorHAnsi"/>
        </w:rPr>
      </w:pPr>
      <w:bookmarkStart w:id="8" w:name="_Toc419889960"/>
      <w:r w:rsidRPr="00123AD4">
        <w:rPr>
          <w:rFonts w:asciiTheme="majorHAnsi" w:hAnsiTheme="majorHAnsi"/>
        </w:rPr>
        <w:t>Rationale</w:t>
      </w:r>
      <w:bookmarkEnd w:id="8"/>
    </w:p>
    <w:p w:rsidR="007B0AF3" w:rsidRPr="00123AD4" w:rsidRDefault="007D4523" w:rsidP="00FA7E37">
      <w:pPr>
        <w:pStyle w:val="Policy-BodyText"/>
        <w:tabs>
          <w:tab w:val="clear" w:pos="567"/>
        </w:tabs>
        <w:rPr>
          <w:rFonts w:asciiTheme="majorHAnsi" w:hAnsiTheme="majorHAnsi"/>
        </w:rPr>
      </w:pPr>
      <w:r w:rsidRPr="00123AD4">
        <w:rPr>
          <w:rFonts w:asciiTheme="majorHAnsi" w:hAnsiTheme="majorHAnsi"/>
        </w:rPr>
        <w:t xml:space="preserve">This procedure is to assist persons whose interests may be affected by a reviewable </w:t>
      </w:r>
      <w:r w:rsidR="00EB77AE" w:rsidRPr="00123AD4">
        <w:rPr>
          <w:rFonts w:asciiTheme="majorHAnsi" w:hAnsiTheme="majorHAnsi"/>
        </w:rPr>
        <w:t>decision and</w:t>
      </w:r>
      <w:r w:rsidRPr="00123AD4">
        <w:rPr>
          <w:rFonts w:asciiTheme="majorHAnsi" w:hAnsiTheme="majorHAnsi"/>
        </w:rPr>
        <w:t xml:space="preserve"> to support Directorate decision-makers who are responsible for making these decisions.</w:t>
      </w:r>
    </w:p>
    <w:p w:rsidR="007B0AF3" w:rsidRPr="00123AD4" w:rsidRDefault="007B0AF3" w:rsidP="00FA7E37">
      <w:pPr>
        <w:pStyle w:val="PolicyHeading2-Accessible"/>
        <w:rPr>
          <w:rFonts w:asciiTheme="majorHAnsi" w:hAnsiTheme="majorHAnsi"/>
        </w:rPr>
      </w:pPr>
      <w:bookmarkStart w:id="9" w:name="_Toc419889961"/>
      <w:r w:rsidRPr="00123AD4">
        <w:rPr>
          <w:rFonts w:asciiTheme="majorHAnsi" w:hAnsiTheme="majorHAnsi"/>
        </w:rPr>
        <w:t>Procedures</w:t>
      </w:r>
      <w:bookmarkEnd w:id="9"/>
    </w:p>
    <w:p w:rsidR="004C52C2" w:rsidRPr="000E46E2" w:rsidRDefault="004C52C2" w:rsidP="00FA7E37">
      <w:pPr>
        <w:pStyle w:val="PolicySubHeading3-Accessible"/>
        <w:ind w:left="567" w:firstLine="0"/>
      </w:pPr>
      <w:r w:rsidRPr="000E46E2">
        <w:t>Internal review procedures – Directorate review of certain decisions</w:t>
      </w:r>
    </w:p>
    <w:p w:rsidR="004C52C2" w:rsidRPr="000E46E2" w:rsidRDefault="001266A2" w:rsidP="00FA7E37">
      <w:pPr>
        <w:pStyle w:val="Policy-BodyText"/>
        <w:tabs>
          <w:tab w:val="clear" w:pos="567"/>
        </w:tabs>
      </w:pPr>
      <w:r w:rsidRPr="00123AD4">
        <w:t xml:space="preserve">A person seeking an internal review of a decision listed </w:t>
      </w:r>
      <w:r w:rsidR="00F60856" w:rsidRPr="00123AD4">
        <w:t xml:space="preserve">in </w:t>
      </w:r>
      <w:r w:rsidR="00F60856" w:rsidRPr="00F5598C">
        <w:rPr>
          <w:u w:val="single"/>
        </w:rPr>
        <w:t>Attachment</w:t>
      </w:r>
      <w:r w:rsidRPr="00123AD4">
        <w:rPr>
          <w:u w:val="single"/>
        </w:rPr>
        <w:t xml:space="preserve"> A</w:t>
      </w:r>
      <w:r w:rsidRPr="00123AD4">
        <w:t xml:space="preserve"> should apply</w:t>
      </w:r>
      <w:r w:rsidR="004C52C2" w:rsidRPr="00123AD4">
        <w:t xml:space="preserve"> in writing, including the applicant’s name and</w:t>
      </w:r>
      <w:r w:rsidRPr="00123AD4">
        <w:t xml:space="preserve"> address. The application for the internal review </w:t>
      </w:r>
      <w:r w:rsidR="004C52C2" w:rsidRPr="00123AD4">
        <w:t xml:space="preserve">must be made to the original decision-maker within 28 days after the day the applicant is given the internal review statement. A period of longer than 28 days may be allowed by the internal reviewer before or after the end of the 28 day period. Where timeframes for review options vary, these will be detailed in the tables at </w:t>
      </w:r>
      <w:r w:rsidR="004C52C2" w:rsidRPr="00123AD4">
        <w:rPr>
          <w:u w:val="single"/>
        </w:rPr>
        <w:t>Attachment A</w:t>
      </w:r>
      <w:r w:rsidR="004C52C2" w:rsidRPr="00123AD4">
        <w:t xml:space="preserve">. The reasons for seeking an internal review should be set out in the application. </w:t>
      </w:r>
      <w:r w:rsidR="00CC7961" w:rsidRPr="00123AD4">
        <w:rPr>
          <w:u w:val="single"/>
        </w:rPr>
        <w:t>Attachment B</w:t>
      </w:r>
      <w:r w:rsidR="00CC7961" w:rsidRPr="00123AD4">
        <w:t xml:space="preserve"> provides a checklist of considerations in seeking a review. </w:t>
      </w:r>
      <w:r w:rsidR="004C52C2" w:rsidRPr="00123AD4">
        <w:rPr>
          <w:u w:val="single"/>
        </w:rPr>
        <w:t>Attachment C</w:t>
      </w:r>
      <w:r w:rsidR="004C52C2" w:rsidRPr="00123AD4">
        <w:t xml:space="preserve"> provides a form that may be used.</w:t>
      </w:r>
    </w:p>
    <w:p w:rsidR="004C52C2" w:rsidRPr="00123AD4" w:rsidRDefault="004C52C2" w:rsidP="00FA7E37">
      <w:pPr>
        <w:pStyle w:val="Policy-BodyText"/>
        <w:tabs>
          <w:tab w:val="clear" w:pos="567"/>
        </w:tabs>
      </w:pPr>
      <w:r w:rsidRPr="00123AD4">
        <w:t xml:space="preserve">The </w:t>
      </w:r>
      <w:r w:rsidR="00123AD4" w:rsidRPr="00123AD4">
        <w:t xml:space="preserve">Directorate </w:t>
      </w:r>
      <w:r w:rsidR="001266A2" w:rsidRPr="00123AD4">
        <w:t>decision</w:t>
      </w:r>
      <w:r w:rsidR="00123AD4" w:rsidRPr="00123AD4">
        <w:t>-</w:t>
      </w:r>
      <w:r w:rsidR="001266A2" w:rsidRPr="00123AD4">
        <w:t xml:space="preserve">maker </w:t>
      </w:r>
      <w:r w:rsidR="00123AD4" w:rsidRPr="00123AD4">
        <w:t xml:space="preserve">who is authorised </w:t>
      </w:r>
      <w:r w:rsidR="001266A2" w:rsidRPr="00123AD4">
        <w:t xml:space="preserve">to consider the </w:t>
      </w:r>
      <w:r w:rsidRPr="00123AD4">
        <w:t>internal review will examine the decision made and consider all relevant factors, and within 28 days after the decision-maker receives the application fo</w:t>
      </w:r>
      <w:r w:rsidR="00FA7E37">
        <w:t>r internal review will either:</w:t>
      </w:r>
    </w:p>
    <w:p w:rsidR="004C52C2" w:rsidRPr="00123AD4" w:rsidRDefault="004C52C2" w:rsidP="00FA7E37">
      <w:pPr>
        <w:pStyle w:val="ListParagraph"/>
        <w:numPr>
          <w:ilvl w:val="0"/>
          <w:numId w:val="30"/>
        </w:numPr>
        <w:ind w:left="851" w:hanging="284"/>
        <w:rPr>
          <w:rFonts w:asciiTheme="majorHAnsi" w:hAnsiTheme="majorHAnsi"/>
        </w:rPr>
      </w:pPr>
      <w:r w:rsidRPr="00123AD4">
        <w:rPr>
          <w:rFonts w:asciiTheme="majorHAnsi" w:hAnsiTheme="majorHAnsi"/>
        </w:rPr>
        <w:t>confirm the decision</w:t>
      </w:r>
    </w:p>
    <w:p w:rsidR="004C52C2" w:rsidRPr="00123AD4" w:rsidRDefault="004C52C2" w:rsidP="00FA7E37">
      <w:pPr>
        <w:pStyle w:val="ListParagraph"/>
        <w:numPr>
          <w:ilvl w:val="0"/>
          <w:numId w:val="30"/>
        </w:numPr>
        <w:ind w:left="851" w:hanging="284"/>
        <w:rPr>
          <w:rFonts w:asciiTheme="majorHAnsi" w:hAnsiTheme="majorHAnsi"/>
        </w:rPr>
      </w:pPr>
      <w:r w:rsidRPr="00123AD4">
        <w:rPr>
          <w:rFonts w:asciiTheme="majorHAnsi" w:hAnsiTheme="majorHAnsi"/>
        </w:rPr>
        <w:t>vary the decision, or</w:t>
      </w:r>
    </w:p>
    <w:p w:rsidR="004C52C2" w:rsidRPr="00123AD4" w:rsidRDefault="004C52C2" w:rsidP="00FA7E37">
      <w:pPr>
        <w:pStyle w:val="ListParagraph"/>
        <w:numPr>
          <w:ilvl w:val="0"/>
          <w:numId w:val="30"/>
        </w:numPr>
        <w:ind w:left="851" w:hanging="284"/>
        <w:rPr>
          <w:rFonts w:asciiTheme="majorHAnsi" w:hAnsiTheme="majorHAnsi"/>
        </w:rPr>
      </w:pPr>
      <w:r w:rsidRPr="00123AD4">
        <w:rPr>
          <w:rFonts w:asciiTheme="majorHAnsi" w:hAnsiTheme="majorHAnsi"/>
        </w:rPr>
        <w:t>set aside the decision and substitute his or her own decision.</w:t>
      </w:r>
    </w:p>
    <w:p w:rsidR="004C52C2" w:rsidRPr="00123AD4" w:rsidRDefault="00373692" w:rsidP="00FA7E37">
      <w:pPr>
        <w:pStyle w:val="Policy-BodyText"/>
        <w:tabs>
          <w:tab w:val="clear" w:pos="567"/>
        </w:tabs>
      </w:pPr>
      <w:r w:rsidRPr="00123AD4">
        <w:t>The Directorate decision-maker will provide a w</w:t>
      </w:r>
      <w:r w:rsidR="004C52C2" w:rsidRPr="00123AD4">
        <w:t>ritten notice of the internal review decision and reasons for the decision to the applicant as soon as possible after the decision has been made and within any time period set out in the relevant legislation. The notice to the applicant should:</w:t>
      </w:r>
    </w:p>
    <w:p w:rsidR="004C52C2" w:rsidRPr="00123AD4" w:rsidRDefault="004C52C2" w:rsidP="00FA7E37">
      <w:pPr>
        <w:pStyle w:val="ListParagraph"/>
        <w:numPr>
          <w:ilvl w:val="0"/>
          <w:numId w:val="33"/>
        </w:numPr>
        <w:ind w:left="851" w:hanging="284"/>
        <w:rPr>
          <w:rFonts w:asciiTheme="majorHAnsi" w:hAnsiTheme="majorHAnsi"/>
        </w:rPr>
      </w:pPr>
      <w:r w:rsidRPr="00123AD4">
        <w:rPr>
          <w:rFonts w:asciiTheme="majorHAnsi" w:hAnsiTheme="majorHAnsi"/>
        </w:rPr>
        <w:t>advise the decision</w:t>
      </w:r>
    </w:p>
    <w:p w:rsidR="004C52C2" w:rsidRPr="00123AD4" w:rsidRDefault="004C52C2" w:rsidP="00FA7E37">
      <w:pPr>
        <w:pStyle w:val="ListParagraph"/>
        <w:numPr>
          <w:ilvl w:val="0"/>
          <w:numId w:val="33"/>
        </w:numPr>
        <w:ind w:left="851" w:hanging="284"/>
        <w:rPr>
          <w:rFonts w:asciiTheme="majorHAnsi" w:hAnsiTheme="majorHAnsi"/>
        </w:rPr>
      </w:pPr>
      <w:r w:rsidRPr="00123AD4">
        <w:rPr>
          <w:rFonts w:asciiTheme="majorHAnsi" w:hAnsiTheme="majorHAnsi"/>
        </w:rPr>
        <w:t>explain why the decision was made</w:t>
      </w:r>
    </w:p>
    <w:p w:rsidR="004C52C2" w:rsidRPr="00123AD4" w:rsidRDefault="004C52C2" w:rsidP="00FA7E37">
      <w:pPr>
        <w:pStyle w:val="ListParagraph"/>
        <w:numPr>
          <w:ilvl w:val="0"/>
          <w:numId w:val="33"/>
        </w:numPr>
        <w:ind w:left="851" w:hanging="284"/>
        <w:rPr>
          <w:rFonts w:asciiTheme="majorHAnsi" w:hAnsiTheme="majorHAnsi"/>
        </w:rPr>
      </w:pPr>
      <w:r w:rsidRPr="00123AD4">
        <w:rPr>
          <w:rFonts w:asciiTheme="majorHAnsi" w:hAnsiTheme="majorHAnsi"/>
        </w:rPr>
        <w:t>include the relevant facts or considerations that led to the decision being made</w:t>
      </w:r>
    </w:p>
    <w:p w:rsidR="004C52C2" w:rsidRPr="00123AD4" w:rsidRDefault="004C52C2" w:rsidP="00FA7E37">
      <w:pPr>
        <w:pStyle w:val="ListParagraph"/>
        <w:numPr>
          <w:ilvl w:val="0"/>
          <w:numId w:val="33"/>
        </w:numPr>
        <w:ind w:left="851" w:hanging="284"/>
        <w:rPr>
          <w:rFonts w:asciiTheme="majorHAnsi" w:hAnsiTheme="majorHAnsi"/>
        </w:rPr>
      </w:pPr>
      <w:r w:rsidRPr="00123AD4">
        <w:rPr>
          <w:rFonts w:asciiTheme="majorHAnsi" w:hAnsiTheme="majorHAnsi"/>
        </w:rPr>
        <w:t>advise the avenue(s) for review or appeal regarding the decision and timeframe in which the person affected by the decision may appeal, and</w:t>
      </w:r>
    </w:p>
    <w:p w:rsidR="004C52C2" w:rsidRPr="00123AD4" w:rsidRDefault="004C52C2" w:rsidP="00FA7E37">
      <w:pPr>
        <w:pStyle w:val="ListParagraph"/>
        <w:numPr>
          <w:ilvl w:val="0"/>
          <w:numId w:val="33"/>
        </w:numPr>
        <w:ind w:left="851" w:hanging="284"/>
        <w:rPr>
          <w:rFonts w:asciiTheme="majorHAnsi" w:hAnsiTheme="majorHAnsi"/>
        </w:rPr>
      </w:pPr>
      <w:r w:rsidRPr="00123AD4">
        <w:rPr>
          <w:rFonts w:asciiTheme="majorHAnsi" w:hAnsiTheme="majorHAnsi"/>
        </w:rPr>
        <w:t>include contact details of a person or agency that the individual may appeal to.</w:t>
      </w:r>
    </w:p>
    <w:p w:rsidR="00CC1501" w:rsidRPr="00A72CAE" w:rsidRDefault="004C52C2" w:rsidP="00A72CAE">
      <w:pPr>
        <w:pStyle w:val="Policy-BodyText"/>
        <w:tabs>
          <w:tab w:val="clear" w:pos="567"/>
        </w:tabs>
      </w:pPr>
      <w:r w:rsidRPr="00123AD4">
        <w:t>If the applicant feels that the issue has not been resolved satisfactorily through the internal review process, they may apply to have the decision externally reviewed.</w:t>
      </w:r>
    </w:p>
    <w:p w:rsidR="008C50DB" w:rsidRPr="00123AD4" w:rsidRDefault="008C50DB" w:rsidP="00FA7E37">
      <w:pPr>
        <w:pStyle w:val="PolicySubHeading3-Accessible"/>
        <w:ind w:left="567" w:firstLine="0"/>
      </w:pPr>
      <w:r w:rsidRPr="00123AD4">
        <w:t xml:space="preserve">External Review procedures – </w:t>
      </w:r>
      <w:r w:rsidR="00123AD4" w:rsidRPr="00123AD4">
        <w:t>ACT Civil and Administrative Tribunal (</w:t>
      </w:r>
      <w:r w:rsidRPr="00123AD4">
        <w:t>ACAT</w:t>
      </w:r>
      <w:r w:rsidR="00123AD4" w:rsidRPr="00123AD4">
        <w:t>)</w:t>
      </w:r>
      <w:r w:rsidRPr="00123AD4">
        <w:t xml:space="preserve"> review of certain decisions</w:t>
      </w:r>
    </w:p>
    <w:p w:rsidR="008C50DB" w:rsidRPr="00FA7E37" w:rsidRDefault="008C50DB" w:rsidP="00FA7E37">
      <w:pPr>
        <w:pStyle w:val="Policy-BodyText"/>
      </w:pPr>
      <w:r w:rsidRPr="00123AD4">
        <w:t xml:space="preserve">In accordance with the legislation described in </w:t>
      </w:r>
      <w:r w:rsidRPr="00123AD4">
        <w:rPr>
          <w:u w:val="single"/>
        </w:rPr>
        <w:t>Attachment A</w:t>
      </w:r>
      <w:r w:rsidRPr="00123AD4">
        <w:t xml:space="preserve">, the external review mechanism for a reviewable decision involves a formal external review initiated by the affected </w:t>
      </w:r>
      <w:r w:rsidR="00123AD4" w:rsidRPr="00123AD4">
        <w:t>person</w:t>
      </w:r>
      <w:r w:rsidRPr="00123AD4">
        <w:t xml:space="preserve"> within 28 days after the day the Directorate’s internal review decision is made (or such other time as permitted by the </w:t>
      </w:r>
      <w:r w:rsidRPr="00123AD4">
        <w:rPr>
          <w:i/>
        </w:rPr>
        <w:t>ACT Civil and Administrative Tribunal Act 2008</w:t>
      </w:r>
      <w:r w:rsidRPr="00123AD4">
        <w:t>).</w:t>
      </w:r>
    </w:p>
    <w:p w:rsidR="008C50DB" w:rsidRPr="00FA7E37" w:rsidRDefault="008C50DB" w:rsidP="00FA7E37">
      <w:pPr>
        <w:pStyle w:val="Policy-BodyText"/>
      </w:pPr>
      <w:r w:rsidRPr="00123AD4">
        <w:t xml:space="preserve">External reviews related to the decisions listed in </w:t>
      </w:r>
      <w:r w:rsidRPr="00123AD4">
        <w:rPr>
          <w:u w:val="single"/>
        </w:rPr>
        <w:t>Attachment A</w:t>
      </w:r>
      <w:r w:rsidRPr="00123AD4">
        <w:t xml:space="preserve"> are conducted by the ACAT.  Information and forms relating to the external </w:t>
      </w:r>
      <w:r w:rsidRPr="00123AD4">
        <w:rPr>
          <w:i/>
        </w:rPr>
        <w:t>reviewable decisions</w:t>
      </w:r>
      <w:r w:rsidRPr="00123AD4">
        <w:t xml:space="preserve"> appeal process are </w:t>
      </w:r>
      <w:r w:rsidRPr="00123AD4">
        <w:lastRenderedPageBreak/>
        <w:t xml:space="preserve">available at the </w:t>
      </w:r>
      <w:r w:rsidRPr="00123AD4">
        <w:rPr>
          <w:i/>
        </w:rPr>
        <w:t>Administrative Review</w:t>
      </w:r>
      <w:r w:rsidRPr="00123AD4">
        <w:t xml:space="preserve"> section of the ACAT website:</w:t>
      </w:r>
      <w:r w:rsidR="00FA7E37">
        <w:t xml:space="preserve"> </w:t>
      </w:r>
      <w:hyperlink r:id="rId9" w:history="1">
        <w:r w:rsidRPr="00123AD4">
          <w:rPr>
            <w:rStyle w:val="Hyperlink"/>
            <w:rFonts w:asciiTheme="majorHAnsi" w:hAnsiTheme="majorHAnsi"/>
          </w:rPr>
          <w:t>http://www.acat.act.gov.au</w:t>
        </w:r>
      </w:hyperlink>
      <w:r w:rsidRPr="00123AD4">
        <w:t>. Contact details for ACAT are as follows:</w:t>
      </w:r>
    </w:p>
    <w:p w:rsidR="000B737C" w:rsidRDefault="000B737C" w:rsidP="00FA7E37">
      <w:pPr>
        <w:tabs>
          <w:tab w:val="left" w:pos="3544"/>
        </w:tabs>
        <w:ind w:left="851"/>
        <w:rPr>
          <w:rFonts w:asciiTheme="majorHAnsi" w:hAnsiTheme="majorHAnsi"/>
        </w:rPr>
      </w:pPr>
    </w:p>
    <w:p w:rsidR="008C50DB" w:rsidRPr="00123AD4" w:rsidRDefault="00FA7E37" w:rsidP="00FA7E37">
      <w:pPr>
        <w:tabs>
          <w:tab w:val="left" w:pos="3544"/>
        </w:tabs>
        <w:ind w:left="851"/>
        <w:rPr>
          <w:rFonts w:asciiTheme="majorHAnsi" w:hAnsiTheme="majorHAnsi"/>
        </w:rPr>
      </w:pPr>
      <w:r>
        <w:rPr>
          <w:rFonts w:asciiTheme="majorHAnsi" w:hAnsiTheme="majorHAnsi"/>
        </w:rPr>
        <w:t>Postal address:</w:t>
      </w:r>
      <w:r>
        <w:rPr>
          <w:rFonts w:asciiTheme="majorHAnsi" w:hAnsiTheme="majorHAnsi"/>
        </w:rPr>
        <w:tab/>
      </w:r>
      <w:r w:rsidR="000D246F" w:rsidRPr="00123AD4">
        <w:rPr>
          <w:rFonts w:asciiTheme="majorHAnsi" w:hAnsiTheme="majorHAnsi"/>
        </w:rPr>
        <w:t>GPO Box 370</w:t>
      </w:r>
    </w:p>
    <w:p w:rsidR="000D246F" w:rsidRPr="00123AD4" w:rsidRDefault="00FA7E37" w:rsidP="00FA7E37">
      <w:pPr>
        <w:tabs>
          <w:tab w:val="left" w:pos="3544"/>
        </w:tabs>
        <w:ind w:left="851"/>
        <w:rPr>
          <w:rFonts w:asciiTheme="majorHAnsi" w:hAnsiTheme="majorHAnsi"/>
        </w:rPr>
      </w:pPr>
      <w:r>
        <w:rPr>
          <w:rFonts w:asciiTheme="majorHAnsi" w:hAnsiTheme="majorHAnsi"/>
        </w:rPr>
        <w:tab/>
      </w:r>
      <w:r w:rsidR="000D246F" w:rsidRPr="00123AD4">
        <w:rPr>
          <w:rFonts w:asciiTheme="majorHAnsi" w:hAnsiTheme="majorHAnsi"/>
        </w:rPr>
        <w:t>CANBERRA  ACT  2601</w:t>
      </w:r>
    </w:p>
    <w:p w:rsidR="000D246F" w:rsidRPr="00123AD4" w:rsidRDefault="000D246F" w:rsidP="00FA7E37">
      <w:pPr>
        <w:tabs>
          <w:tab w:val="left" w:pos="3544"/>
        </w:tabs>
        <w:ind w:left="851"/>
        <w:rPr>
          <w:rFonts w:asciiTheme="majorHAnsi" w:hAnsiTheme="majorHAnsi"/>
        </w:rPr>
      </w:pPr>
      <w:r w:rsidRPr="00123AD4">
        <w:rPr>
          <w:rFonts w:asciiTheme="majorHAnsi" w:hAnsiTheme="majorHAnsi"/>
        </w:rPr>
        <w:t>Email:</w:t>
      </w:r>
      <w:r w:rsidR="00FA7E37">
        <w:rPr>
          <w:rFonts w:asciiTheme="majorHAnsi" w:hAnsiTheme="majorHAnsi"/>
        </w:rPr>
        <w:tab/>
      </w:r>
      <w:hyperlink r:id="rId10" w:history="1">
        <w:r w:rsidRPr="00123AD4">
          <w:rPr>
            <w:rStyle w:val="Hyperlink"/>
            <w:rFonts w:asciiTheme="majorHAnsi" w:hAnsiTheme="majorHAnsi"/>
          </w:rPr>
          <w:t>tribunal@act.gov.au</w:t>
        </w:r>
      </w:hyperlink>
    </w:p>
    <w:p w:rsidR="000D246F" w:rsidRPr="00123AD4" w:rsidRDefault="00FA7E37" w:rsidP="00FA7E37">
      <w:pPr>
        <w:tabs>
          <w:tab w:val="left" w:pos="3544"/>
        </w:tabs>
        <w:ind w:left="851"/>
        <w:rPr>
          <w:rFonts w:asciiTheme="majorHAnsi" w:hAnsiTheme="majorHAnsi"/>
        </w:rPr>
      </w:pPr>
      <w:r>
        <w:rPr>
          <w:rFonts w:asciiTheme="majorHAnsi" w:hAnsiTheme="majorHAnsi"/>
        </w:rPr>
        <w:t>Phone:</w:t>
      </w:r>
      <w:r>
        <w:rPr>
          <w:rFonts w:asciiTheme="majorHAnsi" w:hAnsiTheme="majorHAnsi"/>
        </w:rPr>
        <w:tab/>
      </w:r>
      <w:r w:rsidR="000D246F" w:rsidRPr="00123AD4">
        <w:rPr>
          <w:rFonts w:asciiTheme="majorHAnsi" w:hAnsiTheme="majorHAnsi"/>
        </w:rPr>
        <w:t>(02) 6207 1740</w:t>
      </w:r>
    </w:p>
    <w:p w:rsidR="000D246F" w:rsidRPr="00123AD4" w:rsidRDefault="00FA7E37" w:rsidP="00FA7E37">
      <w:pPr>
        <w:tabs>
          <w:tab w:val="left" w:pos="3544"/>
        </w:tabs>
        <w:ind w:left="851"/>
        <w:rPr>
          <w:rFonts w:asciiTheme="majorHAnsi" w:hAnsiTheme="majorHAnsi"/>
        </w:rPr>
      </w:pPr>
      <w:r>
        <w:rPr>
          <w:rFonts w:asciiTheme="majorHAnsi" w:hAnsiTheme="majorHAnsi"/>
        </w:rPr>
        <w:t>Fax:</w:t>
      </w:r>
      <w:r>
        <w:rPr>
          <w:rFonts w:asciiTheme="majorHAnsi" w:hAnsiTheme="majorHAnsi"/>
        </w:rPr>
        <w:tab/>
      </w:r>
      <w:r w:rsidR="000D246F" w:rsidRPr="00123AD4">
        <w:rPr>
          <w:rFonts w:asciiTheme="majorHAnsi" w:hAnsiTheme="majorHAnsi"/>
        </w:rPr>
        <w:t>(02) 6205 4885</w:t>
      </w:r>
    </w:p>
    <w:p w:rsidR="000D246F" w:rsidRPr="00123AD4" w:rsidRDefault="000D246F" w:rsidP="00FA7E37">
      <w:pPr>
        <w:tabs>
          <w:tab w:val="left" w:pos="3544"/>
        </w:tabs>
        <w:ind w:left="851"/>
        <w:rPr>
          <w:rFonts w:asciiTheme="majorHAnsi" w:hAnsiTheme="majorHAnsi"/>
        </w:rPr>
      </w:pPr>
      <w:r w:rsidRPr="00123AD4">
        <w:rPr>
          <w:rFonts w:asciiTheme="majorHAnsi" w:hAnsiTheme="majorHAnsi"/>
        </w:rPr>
        <w:t>Website:</w:t>
      </w:r>
      <w:r w:rsidR="00FA7E37">
        <w:rPr>
          <w:rFonts w:asciiTheme="majorHAnsi" w:hAnsiTheme="majorHAnsi"/>
        </w:rPr>
        <w:tab/>
      </w:r>
      <w:hyperlink r:id="rId11" w:history="1">
        <w:r w:rsidRPr="00123AD4">
          <w:rPr>
            <w:rStyle w:val="Hyperlink"/>
            <w:rFonts w:asciiTheme="majorHAnsi" w:hAnsiTheme="majorHAnsi"/>
          </w:rPr>
          <w:t>http://www.acat.act.gov.au</w:t>
        </w:r>
      </w:hyperlink>
    </w:p>
    <w:p w:rsidR="009024BA" w:rsidRPr="00123AD4" w:rsidRDefault="007832F3" w:rsidP="00186C2E">
      <w:pPr>
        <w:pStyle w:val="PolicyHeading2-Accessible"/>
      </w:pPr>
      <w:bookmarkStart w:id="10" w:name="_Toc419889963"/>
      <w:bookmarkStart w:id="11" w:name="_Toc419889962"/>
      <w:r w:rsidRPr="00123AD4">
        <w:t>C</w:t>
      </w:r>
      <w:r w:rsidR="009024BA" w:rsidRPr="00123AD4">
        <w:t>ontact</w:t>
      </w:r>
      <w:bookmarkEnd w:id="10"/>
    </w:p>
    <w:p w:rsidR="009024BA" w:rsidRPr="00123AD4" w:rsidRDefault="00F76A1C" w:rsidP="00186C2E">
      <w:pPr>
        <w:pStyle w:val="Policy-BodyText"/>
      </w:pPr>
      <w:r w:rsidRPr="00123AD4">
        <w:t xml:space="preserve">The Director Governance and </w:t>
      </w:r>
      <w:r w:rsidR="00A504DC">
        <w:t>Community Liaison</w:t>
      </w:r>
      <w:r w:rsidR="00A504DC" w:rsidRPr="00123AD4">
        <w:t xml:space="preserve"> </w:t>
      </w:r>
      <w:r w:rsidRPr="00123AD4">
        <w:t>Branch</w:t>
      </w:r>
      <w:r w:rsidR="009024BA" w:rsidRPr="00123AD4">
        <w:rPr>
          <w:rStyle w:val="ExplanatoryTextChar"/>
          <w:rFonts w:asciiTheme="majorHAnsi" w:eastAsiaTheme="minorEastAsia" w:hAnsiTheme="majorHAnsi"/>
          <w:b w:val="0"/>
          <w:sz w:val="24"/>
          <w:szCs w:val="24"/>
        </w:rPr>
        <w:t xml:space="preserve"> is responsible for this procedure.</w:t>
      </w:r>
    </w:p>
    <w:p w:rsidR="00F76A1C" w:rsidRPr="00123AD4" w:rsidRDefault="009024BA" w:rsidP="00186C2E">
      <w:pPr>
        <w:pStyle w:val="Policy-BodyText"/>
      </w:pPr>
      <w:r w:rsidRPr="00123AD4">
        <w:t>For support contact</w:t>
      </w:r>
      <w:r w:rsidR="00F76A1C" w:rsidRPr="00123AD4">
        <w:t xml:space="preserve"> Governance and </w:t>
      </w:r>
      <w:r w:rsidR="00243948">
        <w:t>Community Liaison</w:t>
      </w:r>
      <w:r w:rsidR="00243948" w:rsidRPr="00123AD4">
        <w:t xml:space="preserve"> </w:t>
      </w:r>
      <w:r w:rsidR="00F76A1C" w:rsidRPr="00123AD4">
        <w:t xml:space="preserve">Branch on email </w:t>
      </w:r>
      <w:hyperlink r:id="rId12" w:history="1">
        <w:r w:rsidR="00A504DC">
          <w:rPr>
            <w:rStyle w:val="Hyperlink"/>
            <w:rFonts w:asciiTheme="majorHAnsi" w:hAnsiTheme="majorHAnsi"/>
          </w:rPr>
          <w:t>EDULegalLiaison</w:t>
        </w:r>
        <w:r w:rsidR="00A504DC" w:rsidRPr="00123AD4">
          <w:rPr>
            <w:rStyle w:val="Hyperlink"/>
            <w:rFonts w:asciiTheme="majorHAnsi" w:hAnsiTheme="majorHAnsi"/>
          </w:rPr>
          <w:t>@act.gov.au</w:t>
        </w:r>
      </w:hyperlink>
      <w:r w:rsidR="00C541C4">
        <w:t>.</w:t>
      </w:r>
    </w:p>
    <w:p w:rsidR="00692CF6" w:rsidRPr="00123AD4" w:rsidRDefault="005169F4" w:rsidP="00186C2E">
      <w:pPr>
        <w:pStyle w:val="PolicyHeading2-Accessible"/>
      </w:pPr>
      <w:r w:rsidRPr="00123AD4">
        <w:t>Complaints</w:t>
      </w:r>
      <w:bookmarkEnd w:id="11"/>
    </w:p>
    <w:p w:rsidR="00E07686" w:rsidRPr="00123AD4" w:rsidRDefault="00E07686" w:rsidP="00186C2E">
      <w:pPr>
        <w:pStyle w:val="Policy-BodyText"/>
      </w:pPr>
      <w:r w:rsidRPr="00123AD4">
        <w:t>Any concerns about the application of this p</w:t>
      </w:r>
      <w:r w:rsidR="00305253" w:rsidRPr="00123AD4">
        <w:t>rocedure</w:t>
      </w:r>
      <w:r w:rsidRPr="00123AD4">
        <w:t xml:space="preserve"> or the p</w:t>
      </w:r>
      <w:r w:rsidR="00305253" w:rsidRPr="00123AD4">
        <w:t>rocedure</w:t>
      </w:r>
      <w:r w:rsidRPr="00123AD4">
        <w:t xml:space="preserve"> itself, should be raised with:</w:t>
      </w:r>
    </w:p>
    <w:p w:rsidR="00E07686" w:rsidRPr="00123AD4" w:rsidRDefault="00E07686" w:rsidP="00186C2E">
      <w:pPr>
        <w:pStyle w:val="Policy-BodyText"/>
        <w:numPr>
          <w:ilvl w:val="0"/>
          <w:numId w:val="23"/>
        </w:numPr>
        <w:ind w:left="851" w:hanging="284"/>
        <w:rPr>
          <w:rFonts w:asciiTheme="majorHAnsi" w:hAnsiTheme="majorHAnsi"/>
        </w:rPr>
      </w:pPr>
      <w:r w:rsidRPr="00123AD4">
        <w:rPr>
          <w:rFonts w:asciiTheme="majorHAnsi" w:hAnsiTheme="majorHAnsi"/>
        </w:rPr>
        <w:t xml:space="preserve">the </w:t>
      </w:r>
      <w:r w:rsidR="00F76A1C" w:rsidRPr="00123AD4">
        <w:rPr>
          <w:rFonts w:asciiTheme="majorHAnsi" w:hAnsiTheme="majorHAnsi"/>
        </w:rPr>
        <w:t>Senior Manager Governance and Legal Liaison</w:t>
      </w:r>
      <w:r w:rsidR="00B62884">
        <w:rPr>
          <w:rFonts w:asciiTheme="majorHAnsi" w:hAnsiTheme="majorHAnsi"/>
        </w:rPr>
        <w:t xml:space="preserve"> in the first instance</w:t>
      </w:r>
      <w:r w:rsidR="00AD4DA5">
        <w:rPr>
          <w:rFonts w:asciiTheme="majorHAnsi" w:hAnsiTheme="majorHAnsi"/>
        </w:rPr>
        <w:t xml:space="preserve"> at EDULegalLiaison@act.gov.au</w:t>
      </w:r>
      <w:r w:rsidR="00186C2E">
        <w:rPr>
          <w:rFonts w:asciiTheme="majorHAnsi" w:hAnsiTheme="majorHAnsi"/>
        </w:rPr>
        <w:t>;</w:t>
      </w:r>
    </w:p>
    <w:p w:rsidR="00E07686" w:rsidRPr="00123AD4" w:rsidRDefault="00E07686" w:rsidP="00186C2E">
      <w:pPr>
        <w:pStyle w:val="Policy-BodyText"/>
        <w:numPr>
          <w:ilvl w:val="0"/>
          <w:numId w:val="23"/>
        </w:numPr>
        <w:ind w:left="851" w:hanging="284"/>
        <w:rPr>
          <w:rFonts w:asciiTheme="majorHAnsi" w:hAnsiTheme="majorHAnsi"/>
        </w:rPr>
      </w:pPr>
      <w:r w:rsidRPr="00123AD4">
        <w:rPr>
          <w:rFonts w:asciiTheme="majorHAnsi" w:hAnsiTheme="majorHAnsi"/>
        </w:rPr>
        <w:t>the Directorate’s Liaison Unit on (02) 6205 5429</w:t>
      </w:r>
      <w:r w:rsidR="00186C2E">
        <w:rPr>
          <w:rFonts w:asciiTheme="majorHAnsi" w:hAnsiTheme="majorHAnsi"/>
        </w:rPr>
        <w:t>;</w:t>
      </w:r>
    </w:p>
    <w:p w:rsidR="00E07686" w:rsidRPr="00123AD4" w:rsidRDefault="00E07686" w:rsidP="00186C2E">
      <w:pPr>
        <w:pStyle w:val="Policy-BodyText"/>
        <w:numPr>
          <w:ilvl w:val="0"/>
          <w:numId w:val="23"/>
        </w:numPr>
        <w:ind w:left="851" w:hanging="284"/>
        <w:rPr>
          <w:rFonts w:asciiTheme="majorHAnsi" w:hAnsiTheme="majorHAnsi"/>
        </w:rPr>
      </w:pPr>
      <w:r w:rsidRPr="00123AD4">
        <w:rPr>
          <w:rFonts w:asciiTheme="majorHAnsi" w:hAnsiTheme="majorHAnsi"/>
        </w:rPr>
        <w:t xml:space="preserve">online at </w:t>
      </w:r>
      <w:hyperlink r:id="rId13" w:history="1">
        <w:r w:rsidRPr="00123AD4">
          <w:rPr>
            <w:rStyle w:val="Hyperlink"/>
            <w:rFonts w:asciiTheme="majorHAnsi" w:hAnsiTheme="majorHAnsi"/>
          </w:rPr>
          <w:t>http://www.det.act.gov.au/contact_us</w:t>
        </w:r>
      </w:hyperlink>
      <w:r w:rsidR="00186C2E">
        <w:t>;</w:t>
      </w:r>
    </w:p>
    <w:p w:rsidR="007C6BE8" w:rsidRPr="00123AD4" w:rsidRDefault="00186C2E" w:rsidP="00186C2E">
      <w:pPr>
        <w:pStyle w:val="Policy-BodyText"/>
        <w:numPr>
          <w:ilvl w:val="0"/>
          <w:numId w:val="23"/>
        </w:numPr>
        <w:ind w:left="851" w:hanging="284"/>
        <w:rPr>
          <w:rFonts w:asciiTheme="majorHAnsi" w:hAnsiTheme="majorHAnsi"/>
        </w:rPr>
      </w:pPr>
      <w:r>
        <w:rPr>
          <w:rFonts w:asciiTheme="majorHAnsi" w:hAnsiTheme="majorHAnsi"/>
        </w:rPr>
        <w:t xml:space="preserve">see </w:t>
      </w:r>
      <w:r w:rsidR="00E07686" w:rsidRPr="00123AD4">
        <w:rPr>
          <w:rFonts w:asciiTheme="majorHAnsi" w:hAnsiTheme="majorHAnsi"/>
        </w:rPr>
        <w:t xml:space="preserve">also the </w:t>
      </w:r>
      <w:r w:rsidR="00E07686" w:rsidRPr="00123AD4">
        <w:rPr>
          <w:rFonts w:asciiTheme="majorHAnsi" w:hAnsiTheme="majorHAnsi"/>
          <w:i/>
        </w:rPr>
        <w:t>Complaints Policy</w:t>
      </w:r>
      <w:r w:rsidR="00E07686" w:rsidRPr="00123AD4">
        <w:rPr>
          <w:rFonts w:asciiTheme="majorHAnsi" w:hAnsiTheme="majorHAnsi"/>
        </w:rPr>
        <w:t xml:space="preserve"> on the Directorate’s website.</w:t>
      </w:r>
    </w:p>
    <w:p w:rsidR="00BD68F4" w:rsidRPr="00123AD4" w:rsidRDefault="00F5482B" w:rsidP="002E1968">
      <w:pPr>
        <w:pStyle w:val="PolicyHeading2-Accessible"/>
      </w:pPr>
      <w:bookmarkStart w:id="12" w:name="_Toc419889964"/>
      <w:r w:rsidRPr="00123AD4">
        <w:t>References</w:t>
      </w:r>
      <w:bookmarkEnd w:id="12"/>
    </w:p>
    <w:p w:rsidR="00DF6DBC" w:rsidRPr="002E1968" w:rsidRDefault="00835401" w:rsidP="002E1968">
      <w:pPr>
        <w:pStyle w:val="Policy-BodyText"/>
        <w:rPr>
          <w:b/>
        </w:rPr>
      </w:pPr>
      <w:r w:rsidRPr="002E1968">
        <w:rPr>
          <w:b/>
        </w:rPr>
        <w:t>Definitions</w:t>
      </w:r>
    </w:p>
    <w:p w:rsidR="00BD68F4" w:rsidRPr="00123AD4" w:rsidRDefault="00F16A68" w:rsidP="002E1968">
      <w:pPr>
        <w:pStyle w:val="Policy-BodyText"/>
        <w:numPr>
          <w:ilvl w:val="0"/>
          <w:numId w:val="26"/>
        </w:numPr>
        <w:ind w:left="851" w:hanging="284"/>
        <w:rPr>
          <w:rFonts w:asciiTheme="majorHAnsi" w:hAnsiTheme="majorHAnsi"/>
        </w:rPr>
      </w:pPr>
      <w:r w:rsidRPr="00123AD4">
        <w:rPr>
          <w:rFonts w:asciiTheme="majorHAnsi" w:hAnsiTheme="majorHAnsi"/>
        </w:rPr>
        <w:t xml:space="preserve">Refer to the </w:t>
      </w:r>
      <w:r w:rsidRPr="002E1968">
        <w:rPr>
          <w:rFonts w:asciiTheme="majorHAnsi" w:hAnsiTheme="majorHAnsi"/>
        </w:rPr>
        <w:t xml:space="preserve">Review of Decisions </w:t>
      </w:r>
      <w:r w:rsidRPr="00123AD4">
        <w:rPr>
          <w:rFonts w:asciiTheme="majorHAnsi" w:hAnsiTheme="majorHAnsi"/>
        </w:rPr>
        <w:t>Policy.</w:t>
      </w:r>
    </w:p>
    <w:p w:rsidR="00F16A68" w:rsidRPr="002E1968" w:rsidRDefault="00BC0D96" w:rsidP="002E1968">
      <w:pPr>
        <w:pStyle w:val="Policy-BodyText"/>
        <w:rPr>
          <w:b/>
        </w:rPr>
      </w:pPr>
      <w:r w:rsidRPr="002E1968">
        <w:rPr>
          <w:b/>
        </w:rPr>
        <w:t>Rel</w:t>
      </w:r>
      <w:r w:rsidR="006E01E3" w:rsidRPr="002E1968">
        <w:rPr>
          <w:b/>
        </w:rPr>
        <w:t>a</w:t>
      </w:r>
      <w:r w:rsidRPr="002E1968">
        <w:rPr>
          <w:b/>
        </w:rPr>
        <w:t>t</w:t>
      </w:r>
      <w:r w:rsidR="006E01E3" w:rsidRPr="002E1968">
        <w:rPr>
          <w:b/>
        </w:rPr>
        <w:t>ed</w:t>
      </w:r>
      <w:r w:rsidRPr="002E1968">
        <w:rPr>
          <w:b/>
        </w:rPr>
        <w:t xml:space="preserve"> </w:t>
      </w:r>
      <w:r w:rsidR="004030AB" w:rsidRPr="002E1968">
        <w:rPr>
          <w:b/>
        </w:rPr>
        <w:t xml:space="preserve">Policies and </w:t>
      </w:r>
      <w:r w:rsidR="00032B16" w:rsidRPr="002E1968">
        <w:rPr>
          <w:b/>
        </w:rPr>
        <w:t>Documents</w:t>
      </w:r>
      <w:r w:rsidRPr="002E1968">
        <w:rPr>
          <w:b/>
        </w:rPr>
        <w:t xml:space="preserve"> </w:t>
      </w:r>
    </w:p>
    <w:p w:rsidR="002E1968" w:rsidRPr="00A70895" w:rsidRDefault="002E1968" w:rsidP="002E1968">
      <w:pPr>
        <w:pStyle w:val="Policy-BodyText"/>
        <w:numPr>
          <w:ilvl w:val="1"/>
          <w:numId w:val="42"/>
        </w:numPr>
        <w:ind w:left="851" w:hanging="284"/>
      </w:pPr>
      <w:r w:rsidRPr="00EF570D">
        <w:t xml:space="preserve">Complaints </w:t>
      </w:r>
      <w:r>
        <w:t>P</w:t>
      </w:r>
      <w:r w:rsidRPr="00A70895">
        <w:t>olicy</w:t>
      </w:r>
    </w:p>
    <w:p w:rsidR="002E1968" w:rsidRPr="00A70895" w:rsidRDefault="0040690C" w:rsidP="002E1968">
      <w:pPr>
        <w:pStyle w:val="Policy-BodyText"/>
        <w:numPr>
          <w:ilvl w:val="1"/>
          <w:numId w:val="42"/>
        </w:numPr>
        <w:ind w:left="851" w:hanging="284"/>
      </w:pPr>
      <w:hyperlink r:id="rId14" w:history="1">
        <w:r w:rsidR="002E1968" w:rsidRPr="004B029C">
          <w:rPr>
            <w:rStyle w:val="Hyperlink"/>
            <w:rFonts w:asciiTheme="majorHAnsi" w:hAnsiTheme="majorHAnsi"/>
          </w:rPr>
          <w:t>Freedom of Information</w:t>
        </w:r>
      </w:hyperlink>
      <w:r w:rsidR="002E1968" w:rsidRPr="00A70895">
        <w:t xml:space="preserve"> content on the Directorate’s website</w:t>
      </w:r>
    </w:p>
    <w:p w:rsidR="002E1968" w:rsidRPr="00A70895" w:rsidRDefault="0040690C" w:rsidP="002E1968">
      <w:pPr>
        <w:pStyle w:val="Policy-BodyText"/>
        <w:numPr>
          <w:ilvl w:val="1"/>
          <w:numId w:val="42"/>
        </w:numPr>
        <w:ind w:left="851" w:hanging="284"/>
      </w:pPr>
      <w:hyperlink r:id="rId15" w:history="1">
        <w:r w:rsidR="002E1968" w:rsidRPr="004B029C">
          <w:rPr>
            <w:rStyle w:val="Hyperlink"/>
            <w:rFonts w:asciiTheme="majorHAnsi" w:hAnsiTheme="majorHAnsi"/>
          </w:rPr>
          <w:t>Home Education</w:t>
        </w:r>
      </w:hyperlink>
      <w:r w:rsidR="002E1968" w:rsidRPr="004B029C">
        <w:t xml:space="preserve"> content on the Directorate’s website</w:t>
      </w:r>
    </w:p>
    <w:p w:rsidR="002E1968" w:rsidRDefault="0040690C" w:rsidP="002E1968">
      <w:pPr>
        <w:pStyle w:val="Policy-BodyText"/>
        <w:numPr>
          <w:ilvl w:val="1"/>
          <w:numId w:val="42"/>
        </w:numPr>
        <w:ind w:left="851" w:hanging="284"/>
      </w:pPr>
      <w:hyperlink r:id="rId16" w:history="1">
        <w:r w:rsidR="002E1968" w:rsidRPr="004B029C">
          <w:rPr>
            <w:rStyle w:val="Hyperlink"/>
            <w:rFonts w:asciiTheme="majorHAnsi" w:hAnsiTheme="majorHAnsi"/>
          </w:rPr>
          <w:t>Registration of Home Education in the ACT</w:t>
        </w:r>
        <w:r w:rsidR="002E1968">
          <w:rPr>
            <w:rStyle w:val="Hyperlink"/>
            <w:rFonts w:asciiTheme="majorHAnsi" w:hAnsiTheme="majorHAnsi"/>
          </w:rPr>
          <w:t xml:space="preserve"> -</w:t>
        </w:r>
        <w:r w:rsidR="002E1968" w:rsidRPr="004B029C">
          <w:rPr>
            <w:rStyle w:val="Hyperlink"/>
            <w:rFonts w:asciiTheme="majorHAnsi" w:hAnsiTheme="majorHAnsi"/>
          </w:rPr>
          <w:t xml:space="preserve"> Manual</w:t>
        </w:r>
      </w:hyperlink>
    </w:p>
    <w:p w:rsidR="006B03DD" w:rsidRPr="00A70895" w:rsidRDefault="006B03DD" w:rsidP="006B03DD">
      <w:pPr>
        <w:pStyle w:val="Policy-BodyText"/>
        <w:numPr>
          <w:ilvl w:val="1"/>
          <w:numId w:val="42"/>
        </w:numPr>
        <w:ind w:left="851" w:hanging="284"/>
      </w:pPr>
      <w:r w:rsidRPr="004B029C">
        <w:t xml:space="preserve">Suspension, Exclusion or Transfer of Students in ACT Public Schools </w:t>
      </w:r>
      <w:r>
        <w:t xml:space="preserve">Policy </w:t>
      </w:r>
      <w:r w:rsidRPr="00A70895">
        <w:t>and related internal guidelines for Directorate staff</w:t>
      </w:r>
    </w:p>
    <w:p w:rsidR="00F16A68" w:rsidRPr="000B51E1" w:rsidRDefault="00F16A68" w:rsidP="005C4990">
      <w:pPr>
        <w:pStyle w:val="Policy-BodyText"/>
        <w:numPr>
          <w:ilvl w:val="0"/>
          <w:numId w:val="0"/>
        </w:numPr>
        <w:ind w:left="851"/>
      </w:pPr>
    </w:p>
    <w:sectPr w:rsidR="00F16A68" w:rsidRPr="000B51E1" w:rsidSect="00A72CAE">
      <w:headerReference w:type="even" r:id="rId17"/>
      <w:headerReference w:type="default" r:id="rId18"/>
      <w:footerReference w:type="even" r:id="rId19"/>
      <w:footerReference w:type="default" r:id="rId20"/>
      <w:headerReference w:type="first" r:id="rId21"/>
      <w:pgSz w:w="11900" w:h="16840"/>
      <w:pgMar w:top="851" w:right="1077" w:bottom="1135" w:left="107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E9" w:rsidRDefault="00B444E9" w:rsidP="00477967">
      <w:r>
        <w:separator/>
      </w:r>
    </w:p>
    <w:p w:rsidR="00B444E9" w:rsidRDefault="00B444E9"/>
  </w:endnote>
  <w:endnote w:type="continuationSeparator" w:id="0">
    <w:p w:rsidR="00B444E9" w:rsidRDefault="00B444E9" w:rsidP="00477967">
      <w:r>
        <w:continuationSeparator/>
      </w:r>
    </w:p>
    <w:p w:rsidR="00B444E9" w:rsidRDefault="00B44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E9" w:rsidRDefault="006526A5" w:rsidP="003E61B7">
    <w:pPr>
      <w:pStyle w:val="Footer"/>
      <w:framePr w:wrap="around" w:vAnchor="text" w:hAnchor="margin" w:xAlign="right" w:y="1"/>
      <w:rPr>
        <w:rStyle w:val="PageNumber"/>
      </w:rPr>
    </w:pPr>
    <w:r>
      <w:rPr>
        <w:rStyle w:val="PageNumber"/>
      </w:rPr>
      <w:fldChar w:fldCharType="begin"/>
    </w:r>
    <w:r w:rsidR="00B444E9">
      <w:rPr>
        <w:rStyle w:val="PageNumber"/>
      </w:rPr>
      <w:instrText xml:space="preserve">PAGE  </w:instrText>
    </w:r>
    <w:r>
      <w:rPr>
        <w:rStyle w:val="PageNumber"/>
      </w:rPr>
      <w:fldChar w:fldCharType="end"/>
    </w:r>
  </w:p>
  <w:p w:rsidR="00B444E9" w:rsidRDefault="00B444E9" w:rsidP="003E3F17">
    <w:pPr>
      <w:pStyle w:val="Footer"/>
      <w:ind w:right="360"/>
    </w:pPr>
  </w:p>
  <w:p w:rsidR="00B444E9" w:rsidRDefault="00B444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21734"/>
      <w:docPartObj>
        <w:docPartGallery w:val="Page Numbers (Bottom of Page)"/>
        <w:docPartUnique/>
      </w:docPartObj>
    </w:sdtPr>
    <w:sdtEndPr>
      <w:rPr>
        <w:rFonts w:asciiTheme="majorHAnsi" w:hAnsiTheme="majorHAnsi"/>
        <w:sz w:val="22"/>
      </w:rPr>
    </w:sdtEndPr>
    <w:sdtContent>
      <w:sdt>
        <w:sdtPr>
          <w:id w:val="565050523"/>
          <w:docPartObj>
            <w:docPartGallery w:val="Page Numbers (Top of Page)"/>
            <w:docPartUnique/>
          </w:docPartObj>
        </w:sdtPr>
        <w:sdtEndPr>
          <w:rPr>
            <w:rFonts w:asciiTheme="majorHAnsi" w:hAnsiTheme="majorHAnsi"/>
            <w:sz w:val="22"/>
          </w:rPr>
        </w:sdtEndPr>
        <w:sdtContent>
          <w:p w:rsidR="00B444E9" w:rsidRPr="00CC6586" w:rsidRDefault="00B444E9">
            <w:pPr>
              <w:pStyle w:val="Footer"/>
              <w:jc w:val="right"/>
              <w:rPr>
                <w:rFonts w:asciiTheme="majorHAnsi" w:hAnsiTheme="majorHAnsi"/>
                <w:sz w:val="22"/>
              </w:rPr>
            </w:pPr>
            <w:r w:rsidRPr="00CC6586">
              <w:rPr>
                <w:rFonts w:asciiTheme="majorHAnsi" w:hAnsiTheme="majorHAnsi"/>
                <w:sz w:val="22"/>
              </w:rPr>
              <w:t xml:space="preserve">Page </w:t>
            </w:r>
            <w:r w:rsidR="006526A5" w:rsidRPr="00CC6586">
              <w:rPr>
                <w:rFonts w:asciiTheme="majorHAnsi" w:hAnsiTheme="majorHAnsi"/>
                <w:b/>
                <w:sz w:val="22"/>
              </w:rPr>
              <w:fldChar w:fldCharType="begin"/>
            </w:r>
            <w:r w:rsidRPr="00CC6586">
              <w:rPr>
                <w:rFonts w:asciiTheme="majorHAnsi" w:hAnsiTheme="majorHAnsi"/>
                <w:b/>
                <w:sz w:val="22"/>
              </w:rPr>
              <w:instrText xml:space="preserve"> PAGE </w:instrText>
            </w:r>
            <w:r w:rsidR="006526A5" w:rsidRPr="00CC6586">
              <w:rPr>
                <w:rFonts w:asciiTheme="majorHAnsi" w:hAnsiTheme="majorHAnsi"/>
                <w:b/>
                <w:sz w:val="22"/>
              </w:rPr>
              <w:fldChar w:fldCharType="separate"/>
            </w:r>
            <w:r w:rsidR="0040690C">
              <w:rPr>
                <w:rFonts w:asciiTheme="majorHAnsi" w:hAnsiTheme="majorHAnsi"/>
                <w:b/>
                <w:noProof/>
                <w:sz w:val="22"/>
              </w:rPr>
              <w:t>1</w:t>
            </w:r>
            <w:r w:rsidR="006526A5" w:rsidRPr="00CC6586">
              <w:rPr>
                <w:rFonts w:asciiTheme="majorHAnsi" w:hAnsiTheme="majorHAnsi"/>
                <w:b/>
                <w:sz w:val="22"/>
              </w:rPr>
              <w:fldChar w:fldCharType="end"/>
            </w:r>
            <w:r w:rsidRPr="00CC6586">
              <w:rPr>
                <w:rFonts w:asciiTheme="majorHAnsi" w:hAnsiTheme="majorHAnsi"/>
                <w:sz w:val="22"/>
              </w:rPr>
              <w:t xml:space="preserve"> of </w:t>
            </w:r>
            <w:r w:rsidR="006526A5" w:rsidRPr="00CC6586">
              <w:rPr>
                <w:rFonts w:asciiTheme="majorHAnsi" w:hAnsiTheme="majorHAnsi"/>
                <w:b/>
                <w:sz w:val="22"/>
              </w:rPr>
              <w:fldChar w:fldCharType="begin"/>
            </w:r>
            <w:r w:rsidRPr="00CC6586">
              <w:rPr>
                <w:rFonts w:asciiTheme="majorHAnsi" w:hAnsiTheme="majorHAnsi"/>
                <w:b/>
                <w:sz w:val="22"/>
              </w:rPr>
              <w:instrText xml:space="preserve"> NUMPAGES  </w:instrText>
            </w:r>
            <w:r w:rsidR="006526A5" w:rsidRPr="00CC6586">
              <w:rPr>
                <w:rFonts w:asciiTheme="majorHAnsi" w:hAnsiTheme="majorHAnsi"/>
                <w:b/>
                <w:sz w:val="22"/>
              </w:rPr>
              <w:fldChar w:fldCharType="separate"/>
            </w:r>
            <w:r w:rsidR="0040690C">
              <w:rPr>
                <w:rFonts w:asciiTheme="majorHAnsi" w:hAnsiTheme="majorHAnsi"/>
                <w:b/>
                <w:noProof/>
                <w:sz w:val="22"/>
              </w:rPr>
              <w:t>1</w:t>
            </w:r>
            <w:r w:rsidR="006526A5" w:rsidRPr="00CC6586">
              <w:rPr>
                <w:rFonts w:asciiTheme="majorHAnsi" w:hAnsiTheme="majorHAnsi"/>
                <w:b/>
                <w:sz w:val="22"/>
              </w:rPr>
              <w:fldChar w:fldCharType="end"/>
            </w:r>
          </w:p>
        </w:sdtContent>
      </w:sdt>
    </w:sdtContent>
  </w:sdt>
  <w:p w:rsidR="00B444E9" w:rsidRPr="002628E5" w:rsidRDefault="00B444E9">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E9" w:rsidRDefault="00B444E9" w:rsidP="00477967">
      <w:r>
        <w:separator/>
      </w:r>
    </w:p>
    <w:p w:rsidR="00B444E9" w:rsidRDefault="00B444E9"/>
  </w:footnote>
  <w:footnote w:type="continuationSeparator" w:id="0">
    <w:p w:rsidR="00B444E9" w:rsidRDefault="00B444E9" w:rsidP="00477967">
      <w:r>
        <w:continuationSeparator/>
      </w:r>
    </w:p>
    <w:p w:rsidR="00B444E9" w:rsidRDefault="00B444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E9" w:rsidRDefault="00666EEE">
    <w:pPr>
      <w:pStyle w:val="Heade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C6676E"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p w:rsidR="00B444E9" w:rsidRDefault="00B444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E9" w:rsidRPr="00225547" w:rsidRDefault="00666EEE" w:rsidP="00666EEE">
    <w:pPr>
      <w:pStyle w:val="Header"/>
      <w:ind w:left="4320" w:firstLine="3600"/>
      <w:rPr>
        <w:rFonts w:asciiTheme="majorHAnsi" w:hAnsiTheme="majorHAnsi"/>
      </w:rPr>
    </w:pPr>
    <w:r>
      <w:rPr>
        <w:rFonts w:asciiTheme="majorHAnsi" w:hAnsiTheme="majorHAnsi"/>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D6328A"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E9" w:rsidRDefault="00666EEE">
    <w:pPr>
      <w:pStyle w:val="Heade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CC482C"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21C"/>
    <w:multiLevelType w:val="multilevel"/>
    <w:tmpl w:val="D9A4F0F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nsid w:val="0B7B220E"/>
    <w:multiLevelType w:val="hybridMultilevel"/>
    <w:tmpl w:val="59548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DD0090E"/>
    <w:multiLevelType w:val="multilevel"/>
    <w:tmpl w:val="09705F7C"/>
    <w:lvl w:ilvl="0">
      <w:start w:val="1"/>
      <w:numFmt w:val="bullet"/>
      <w:lvlText w:val=""/>
      <w:lvlJc w:val="left"/>
      <w:pPr>
        <w:tabs>
          <w:tab w:val="num" w:pos="567"/>
        </w:tabs>
        <w:ind w:left="0" w:firstLine="0"/>
      </w:pPr>
      <w:rPr>
        <w:rFonts w:ascii="Symbol" w:hAnsi="Symbol"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5216C"/>
    <w:multiLevelType w:val="multilevel"/>
    <w:tmpl w:val="998E64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C5632E"/>
    <w:multiLevelType w:val="multilevel"/>
    <w:tmpl w:val="71DC6EC4"/>
    <w:lvl w:ilvl="0">
      <w:start w:val="1"/>
      <w:numFmt w:val="bullet"/>
      <w:lvlText w:val=""/>
      <w:lvlJc w:val="left"/>
      <w:pPr>
        <w:tabs>
          <w:tab w:val="num" w:pos="567"/>
        </w:tabs>
        <w:ind w:left="0" w:firstLine="0"/>
      </w:pPr>
      <w:rPr>
        <w:rFonts w:ascii="Symbol" w:hAnsi="Symbol"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9">
    <w:nsid w:val="2E1C15F3"/>
    <w:multiLevelType w:val="hybridMultilevel"/>
    <w:tmpl w:val="BA9437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21">
    <w:nsid w:val="2F23123B"/>
    <w:multiLevelType w:val="hybridMultilevel"/>
    <w:tmpl w:val="4D9E2E0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5">
    <w:nsid w:val="3EF75D8F"/>
    <w:multiLevelType w:val="multilevel"/>
    <w:tmpl w:val="21E805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7335CB"/>
    <w:multiLevelType w:val="multilevel"/>
    <w:tmpl w:val="B59E1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015CF4"/>
    <w:multiLevelType w:val="multilevel"/>
    <w:tmpl w:val="F0603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49BC0237"/>
    <w:multiLevelType w:val="hybridMultilevel"/>
    <w:tmpl w:val="294A5D5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31">
    <w:nsid w:val="4A7B1806"/>
    <w:multiLevelType w:val="multilevel"/>
    <w:tmpl w:val="71DC6EC4"/>
    <w:lvl w:ilvl="0">
      <w:start w:val="1"/>
      <w:numFmt w:val="bullet"/>
      <w:lvlText w:val=""/>
      <w:lvlJc w:val="left"/>
      <w:pPr>
        <w:tabs>
          <w:tab w:val="num" w:pos="567"/>
        </w:tabs>
        <w:ind w:left="0" w:firstLine="0"/>
      </w:pPr>
      <w:rPr>
        <w:rFonts w:ascii="Symbol" w:hAnsi="Symbol"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2">
    <w:nsid w:val="4CEE00E8"/>
    <w:multiLevelType w:val="multilevel"/>
    <w:tmpl w:val="8564C9A4"/>
    <w:numStyleLink w:val="PolicyNumbering-Accessible"/>
  </w:abstractNum>
  <w:abstractNum w:abstractNumId="33">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36">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A7011E"/>
    <w:multiLevelType w:val="multilevel"/>
    <w:tmpl w:val="0400EC1E"/>
    <w:lvl w:ilvl="0">
      <w:start w:val="1"/>
      <w:numFmt w:val="decimal"/>
      <w:lvlText w:val="%1."/>
      <w:lvlJc w:val="left"/>
      <w:pPr>
        <w:tabs>
          <w:tab w:val="num" w:pos="567"/>
        </w:tabs>
        <w:ind w:left="0" w:firstLine="0"/>
      </w:pPr>
      <w:rPr>
        <w:rFonts w:ascii="Calibri" w:hAnsi="Calibri" w:hint="default"/>
        <w:sz w:val="24"/>
      </w:rPr>
    </w:lvl>
    <w:lvl w:ilvl="1">
      <w:start w:val="1"/>
      <w:numFmt w:val="bullet"/>
      <w:lvlText w:val=""/>
      <w:lvlJc w:val="left"/>
      <w:pPr>
        <w:tabs>
          <w:tab w:val="num" w:pos="567"/>
        </w:tabs>
        <w:ind w:left="0" w:firstLine="0"/>
      </w:pPr>
      <w:rPr>
        <w:rFonts w:ascii="Symbol" w:hAnsi="Symbol"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9">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32C2C0D"/>
    <w:multiLevelType w:val="hybridMultilevel"/>
    <w:tmpl w:val="E86AB296"/>
    <w:lvl w:ilvl="0" w:tplc="C1AC9684">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7"/>
  </w:num>
  <w:num w:numId="2">
    <w:abstractNumId w:val="17"/>
  </w:num>
  <w:num w:numId="3">
    <w:abstractNumId w:val="35"/>
  </w:num>
  <w:num w:numId="4">
    <w:abstractNumId w:val="39"/>
  </w:num>
  <w:num w:numId="5">
    <w:abstractNumId w:val="22"/>
  </w:num>
  <w:num w:numId="6">
    <w:abstractNumId w:val="10"/>
  </w:num>
  <w:num w:numId="7">
    <w:abstractNumId w:val="36"/>
  </w:num>
  <w:num w:numId="8">
    <w:abstractNumId w:val="13"/>
  </w:num>
  <w:num w:numId="9">
    <w:abstractNumId w:val="6"/>
  </w:num>
  <w:num w:numId="10">
    <w:abstractNumId w:val="34"/>
  </w:num>
  <w:num w:numId="11">
    <w:abstractNumId w:val="37"/>
  </w:num>
  <w:num w:numId="12">
    <w:abstractNumId w:val="24"/>
  </w:num>
  <w:num w:numId="13">
    <w:abstractNumId w:val="9"/>
  </w:num>
  <w:num w:numId="14">
    <w:abstractNumId w:val="8"/>
  </w:num>
  <w:num w:numId="15">
    <w:abstractNumId w:val="11"/>
  </w:num>
  <w:num w:numId="16">
    <w:abstractNumId w:val="23"/>
  </w:num>
  <w:num w:numId="17">
    <w:abstractNumId w:val="2"/>
  </w:num>
  <w:num w:numId="18">
    <w:abstractNumId w:val="30"/>
  </w:num>
  <w:num w:numId="19">
    <w:abstractNumId w:val="1"/>
  </w:num>
  <w:num w:numId="20">
    <w:abstractNumId w:val="40"/>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2"/>
  </w:num>
  <w:num w:numId="25">
    <w:abstractNumId w:val="15"/>
  </w:num>
  <w:num w:numId="26">
    <w:abstractNumId w:val="33"/>
  </w:num>
  <w:num w:numId="27">
    <w:abstractNumId w:val="12"/>
  </w:num>
  <w:num w:numId="28">
    <w:abstractNumId w:val="16"/>
  </w:num>
  <w:num w:numId="29">
    <w:abstractNumId w:val="28"/>
  </w:num>
  <w:num w:numId="30">
    <w:abstractNumId w:val="29"/>
  </w:num>
  <w:num w:numId="31">
    <w:abstractNumId w:val="25"/>
  </w:num>
  <w:num w:numId="32">
    <w:abstractNumId w:val="14"/>
  </w:num>
  <w:num w:numId="33">
    <w:abstractNumId w:val="21"/>
  </w:num>
  <w:num w:numId="34">
    <w:abstractNumId w:val="4"/>
  </w:num>
  <w:num w:numId="35">
    <w:abstractNumId w:val="0"/>
  </w:num>
  <w:num w:numId="36">
    <w:abstractNumId w:val="27"/>
  </w:num>
  <w:num w:numId="37">
    <w:abstractNumId w:val="26"/>
  </w:num>
  <w:num w:numId="38">
    <w:abstractNumId w:val="19"/>
  </w:num>
  <w:num w:numId="39">
    <w:abstractNumId w:val="18"/>
  </w:num>
  <w:num w:numId="40">
    <w:abstractNumId w:val="31"/>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51"/>
    <w:rsid w:val="00012069"/>
    <w:rsid w:val="00015D27"/>
    <w:rsid w:val="00016260"/>
    <w:rsid w:val="000214F5"/>
    <w:rsid w:val="00032B16"/>
    <w:rsid w:val="00034478"/>
    <w:rsid w:val="0004381A"/>
    <w:rsid w:val="00047E4C"/>
    <w:rsid w:val="00055267"/>
    <w:rsid w:val="00062F00"/>
    <w:rsid w:val="00063211"/>
    <w:rsid w:val="00064419"/>
    <w:rsid w:val="00067924"/>
    <w:rsid w:val="00073624"/>
    <w:rsid w:val="00081F97"/>
    <w:rsid w:val="000A143E"/>
    <w:rsid w:val="000A2B3A"/>
    <w:rsid w:val="000A63D0"/>
    <w:rsid w:val="000A7D0E"/>
    <w:rsid w:val="000B3386"/>
    <w:rsid w:val="000B3AA3"/>
    <w:rsid w:val="000B51E1"/>
    <w:rsid w:val="000B737C"/>
    <w:rsid w:val="000D246F"/>
    <w:rsid w:val="000E1A2E"/>
    <w:rsid w:val="000E3F86"/>
    <w:rsid w:val="000E46E2"/>
    <w:rsid w:val="0010178C"/>
    <w:rsid w:val="00113746"/>
    <w:rsid w:val="0011463B"/>
    <w:rsid w:val="00117A1B"/>
    <w:rsid w:val="00121B20"/>
    <w:rsid w:val="00123AD4"/>
    <w:rsid w:val="001266A2"/>
    <w:rsid w:val="00131156"/>
    <w:rsid w:val="00131B49"/>
    <w:rsid w:val="001527EF"/>
    <w:rsid w:val="00155F87"/>
    <w:rsid w:val="00167B4F"/>
    <w:rsid w:val="00186227"/>
    <w:rsid w:val="00186C2E"/>
    <w:rsid w:val="0019042D"/>
    <w:rsid w:val="00197936"/>
    <w:rsid w:val="001A4279"/>
    <w:rsid w:val="001A4902"/>
    <w:rsid w:val="001A55B8"/>
    <w:rsid w:val="001B1194"/>
    <w:rsid w:val="001D3ADA"/>
    <w:rsid w:val="001D4D0C"/>
    <w:rsid w:val="002021D1"/>
    <w:rsid w:val="002164A7"/>
    <w:rsid w:val="00225547"/>
    <w:rsid w:val="00232B75"/>
    <w:rsid w:val="002426C6"/>
    <w:rsid w:val="00243948"/>
    <w:rsid w:val="00245EA7"/>
    <w:rsid w:val="00262099"/>
    <w:rsid w:val="002628E5"/>
    <w:rsid w:val="00262C02"/>
    <w:rsid w:val="00271897"/>
    <w:rsid w:val="002744A6"/>
    <w:rsid w:val="00277E3D"/>
    <w:rsid w:val="00280014"/>
    <w:rsid w:val="0029158B"/>
    <w:rsid w:val="002958A7"/>
    <w:rsid w:val="002A1BD4"/>
    <w:rsid w:val="002A5A65"/>
    <w:rsid w:val="002C2E91"/>
    <w:rsid w:val="002D5091"/>
    <w:rsid w:val="002E1968"/>
    <w:rsid w:val="002E626F"/>
    <w:rsid w:val="002F6BAE"/>
    <w:rsid w:val="002F782F"/>
    <w:rsid w:val="0030057A"/>
    <w:rsid w:val="00302521"/>
    <w:rsid w:val="00305253"/>
    <w:rsid w:val="00305E5D"/>
    <w:rsid w:val="00306C86"/>
    <w:rsid w:val="00312DDA"/>
    <w:rsid w:val="00323AF4"/>
    <w:rsid w:val="00327556"/>
    <w:rsid w:val="003407C0"/>
    <w:rsid w:val="00360BDE"/>
    <w:rsid w:val="00362B33"/>
    <w:rsid w:val="00363196"/>
    <w:rsid w:val="003644FA"/>
    <w:rsid w:val="00365BE8"/>
    <w:rsid w:val="00373692"/>
    <w:rsid w:val="003E3F17"/>
    <w:rsid w:val="003E61B7"/>
    <w:rsid w:val="004030AB"/>
    <w:rsid w:val="0040690C"/>
    <w:rsid w:val="004122D5"/>
    <w:rsid w:val="00414471"/>
    <w:rsid w:val="004601ED"/>
    <w:rsid w:val="00465FCE"/>
    <w:rsid w:val="0047556B"/>
    <w:rsid w:val="00477967"/>
    <w:rsid w:val="004832E3"/>
    <w:rsid w:val="004932BD"/>
    <w:rsid w:val="0049402A"/>
    <w:rsid w:val="00496955"/>
    <w:rsid w:val="00496DF0"/>
    <w:rsid w:val="004B6EFF"/>
    <w:rsid w:val="004C52C2"/>
    <w:rsid w:val="004D0430"/>
    <w:rsid w:val="004D16B9"/>
    <w:rsid w:val="004D5FB5"/>
    <w:rsid w:val="004F4F07"/>
    <w:rsid w:val="0050774B"/>
    <w:rsid w:val="00511868"/>
    <w:rsid w:val="005169F4"/>
    <w:rsid w:val="00517F94"/>
    <w:rsid w:val="00522666"/>
    <w:rsid w:val="00522F63"/>
    <w:rsid w:val="00525A93"/>
    <w:rsid w:val="005305C2"/>
    <w:rsid w:val="005376D1"/>
    <w:rsid w:val="00542021"/>
    <w:rsid w:val="00567A46"/>
    <w:rsid w:val="00577FED"/>
    <w:rsid w:val="00581692"/>
    <w:rsid w:val="00592F7C"/>
    <w:rsid w:val="005A55B5"/>
    <w:rsid w:val="005B0977"/>
    <w:rsid w:val="005C44BD"/>
    <w:rsid w:val="005C44E4"/>
    <w:rsid w:val="005C4990"/>
    <w:rsid w:val="005D59C8"/>
    <w:rsid w:val="00622E34"/>
    <w:rsid w:val="00622F41"/>
    <w:rsid w:val="00626271"/>
    <w:rsid w:val="006265EA"/>
    <w:rsid w:val="0063541B"/>
    <w:rsid w:val="006354F6"/>
    <w:rsid w:val="00647770"/>
    <w:rsid w:val="006526A5"/>
    <w:rsid w:val="00666C61"/>
    <w:rsid w:val="00666EEE"/>
    <w:rsid w:val="00673AFC"/>
    <w:rsid w:val="00674D78"/>
    <w:rsid w:val="006800E3"/>
    <w:rsid w:val="006920A0"/>
    <w:rsid w:val="00692CF6"/>
    <w:rsid w:val="00694C1C"/>
    <w:rsid w:val="006950F6"/>
    <w:rsid w:val="006B03DD"/>
    <w:rsid w:val="006C4EC1"/>
    <w:rsid w:val="006D356B"/>
    <w:rsid w:val="006E01E3"/>
    <w:rsid w:val="006F700B"/>
    <w:rsid w:val="007025CB"/>
    <w:rsid w:val="007107A5"/>
    <w:rsid w:val="00721DAF"/>
    <w:rsid w:val="00734442"/>
    <w:rsid w:val="007407B5"/>
    <w:rsid w:val="00744827"/>
    <w:rsid w:val="007457A7"/>
    <w:rsid w:val="007600E2"/>
    <w:rsid w:val="0076118E"/>
    <w:rsid w:val="0076340C"/>
    <w:rsid w:val="007710A4"/>
    <w:rsid w:val="00775752"/>
    <w:rsid w:val="007832F3"/>
    <w:rsid w:val="0078592F"/>
    <w:rsid w:val="007A2043"/>
    <w:rsid w:val="007A283D"/>
    <w:rsid w:val="007B0AF3"/>
    <w:rsid w:val="007B3DA1"/>
    <w:rsid w:val="007B5796"/>
    <w:rsid w:val="007C5F1D"/>
    <w:rsid w:val="007C6BE8"/>
    <w:rsid w:val="007D4523"/>
    <w:rsid w:val="007D71D2"/>
    <w:rsid w:val="007E4699"/>
    <w:rsid w:val="007E69D6"/>
    <w:rsid w:val="007E6AD2"/>
    <w:rsid w:val="007F5289"/>
    <w:rsid w:val="00821273"/>
    <w:rsid w:val="008312E7"/>
    <w:rsid w:val="00835401"/>
    <w:rsid w:val="00837D66"/>
    <w:rsid w:val="00841941"/>
    <w:rsid w:val="00843051"/>
    <w:rsid w:val="00867398"/>
    <w:rsid w:val="00870250"/>
    <w:rsid w:val="0089206A"/>
    <w:rsid w:val="008923C4"/>
    <w:rsid w:val="00892568"/>
    <w:rsid w:val="008A6FA4"/>
    <w:rsid w:val="008B34D3"/>
    <w:rsid w:val="008B691C"/>
    <w:rsid w:val="008C50DB"/>
    <w:rsid w:val="008C6F0D"/>
    <w:rsid w:val="008E3133"/>
    <w:rsid w:val="008F4280"/>
    <w:rsid w:val="009024BA"/>
    <w:rsid w:val="00902584"/>
    <w:rsid w:val="00902FD8"/>
    <w:rsid w:val="00907F1E"/>
    <w:rsid w:val="00912CDF"/>
    <w:rsid w:val="00916584"/>
    <w:rsid w:val="00916DD5"/>
    <w:rsid w:val="009355D7"/>
    <w:rsid w:val="00935EB0"/>
    <w:rsid w:val="00935ECC"/>
    <w:rsid w:val="009505CE"/>
    <w:rsid w:val="00964234"/>
    <w:rsid w:val="00971B8E"/>
    <w:rsid w:val="009837ED"/>
    <w:rsid w:val="009B0FA1"/>
    <w:rsid w:val="009C3412"/>
    <w:rsid w:val="009D78EC"/>
    <w:rsid w:val="009E4C8D"/>
    <w:rsid w:val="009E73D5"/>
    <w:rsid w:val="009F4435"/>
    <w:rsid w:val="00A00B78"/>
    <w:rsid w:val="00A0131D"/>
    <w:rsid w:val="00A12A97"/>
    <w:rsid w:val="00A2564D"/>
    <w:rsid w:val="00A32ADA"/>
    <w:rsid w:val="00A37060"/>
    <w:rsid w:val="00A504DC"/>
    <w:rsid w:val="00A62B53"/>
    <w:rsid w:val="00A634E8"/>
    <w:rsid w:val="00A72CAE"/>
    <w:rsid w:val="00A84875"/>
    <w:rsid w:val="00A85F95"/>
    <w:rsid w:val="00A922E1"/>
    <w:rsid w:val="00A956ED"/>
    <w:rsid w:val="00AA367F"/>
    <w:rsid w:val="00AA4633"/>
    <w:rsid w:val="00AA7801"/>
    <w:rsid w:val="00AB15D9"/>
    <w:rsid w:val="00AB2BCA"/>
    <w:rsid w:val="00AB4692"/>
    <w:rsid w:val="00AC51AA"/>
    <w:rsid w:val="00AD4DA5"/>
    <w:rsid w:val="00AD6676"/>
    <w:rsid w:val="00AD694F"/>
    <w:rsid w:val="00B00F28"/>
    <w:rsid w:val="00B20E34"/>
    <w:rsid w:val="00B3089E"/>
    <w:rsid w:val="00B31170"/>
    <w:rsid w:val="00B444E9"/>
    <w:rsid w:val="00B6125A"/>
    <w:rsid w:val="00B62884"/>
    <w:rsid w:val="00B7017C"/>
    <w:rsid w:val="00B81512"/>
    <w:rsid w:val="00B81B4D"/>
    <w:rsid w:val="00B91BD6"/>
    <w:rsid w:val="00B91ED0"/>
    <w:rsid w:val="00BB08D6"/>
    <w:rsid w:val="00BB39B8"/>
    <w:rsid w:val="00BB7564"/>
    <w:rsid w:val="00BC0D96"/>
    <w:rsid w:val="00BC227E"/>
    <w:rsid w:val="00BC7BF0"/>
    <w:rsid w:val="00BD68F4"/>
    <w:rsid w:val="00BD7510"/>
    <w:rsid w:val="00BD796D"/>
    <w:rsid w:val="00BF1478"/>
    <w:rsid w:val="00BF1E93"/>
    <w:rsid w:val="00C260E2"/>
    <w:rsid w:val="00C322E3"/>
    <w:rsid w:val="00C4312D"/>
    <w:rsid w:val="00C541C4"/>
    <w:rsid w:val="00C560DD"/>
    <w:rsid w:val="00C56E61"/>
    <w:rsid w:val="00C85959"/>
    <w:rsid w:val="00C96063"/>
    <w:rsid w:val="00C96167"/>
    <w:rsid w:val="00CA1F5D"/>
    <w:rsid w:val="00CA5D0F"/>
    <w:rsid w:val="00CA7692"/>
    <w:rsid w:val="00CB28E6"/>
    <w:rsid w:val="00CB2B52"/>
    <w:rsid w:val="00CB2C2E"/>
    <w:rsid w:val="00CC1501"/>
    <w:rsid w:val="00CC35B7"/>
    <w:rsid w:val="00CC42F9"/>
    <w:rsid w:val="00CC5826"/>
    <w:rsid w:val="00CC5C55"/>
    <w:rsid w:val="00CC6586"/>
    <w:rsid w:val="00CC7961"/>
    <w:rsid w:val="00CE2F22"/>
    <w:rsid w:val="00CF0E12"/>
    <w:rsid w:val="00CF2FCB"/>
    <w:rsid w:val="00CF32F2"/>
    <w:rsid w:val="00CF404F"/>
    <w:rsid w:val="00CF7222"/>
    <w:rsid w:val="00D1251F"/>
    <w:rsid w:val="00D23AB5"/>
    <w:rsid w:val="00D327C7"/>
    <w:rsid w:val="00D37B84"/>
    <w:rsid w:val="00D50C8D"/>
    <w:rsid w:val="00D65A1A"/>
    <w:rsid w:val="00D91B51"/>
    <w:rsid w:val="00DA3372"/>
    <w:rsid w:val="00DA6613"/>
    <w:rsid w:val="00DA7167"/>
    <w:rsid w:val="00DB48C5"/>
    <w:rsid w:val="00DB725F"/>
    <w:rsid w:val="00DD1E8F"/>
    <w:rsid w:val="00DE2996"/>
    <w:rsid w:val="00DE53C9"/>
    <w:rsid w:val="00DF6DBC"/>
    <w:rsid w:val="00E07686"/>
    <w:rsid w:val="00E222AC"/>
    <w:rsid w:val="00E225BF"/>
    <w:rsid w:val="00E25C2B"/>
    <w:rsid w:val="00E304D3"/>
    <w:rsid w:val="00E32CFB"/>
    <w:rsid w:val="00E46264"/>
    <w:rsid w:val="00E507C9"/>
    <w:rsid w:val="00E72F2B"/>
    <w:rsid w:val="00E76175"/>
    <w:rsid w:val="00E81B49"/>
    <w:rsid w:val="00E825E1"/>
    <w:rsid w:val="00E86CF4"/>
    <w:rsid w:val="00E97AF6"/>
    <w:rsid w:val="00EA253B"/>
    <w:rsid w:val="00EA5217"/>
    <w:rsid w:val="00EA5EAF"/>
    <w:rsid w:val="00EB2878"/>
    <w:rsid w:val="00EB77AE"/>
    <w:rsid w:val="00EC13A6"/>
    <w:rsid w:val="00ED180C"/>
    <w:rsid w:val="00ED61CD"/>
    <w:rsid w:val="00EE4204"/>
    <w:rsid w:val="00EF12DD"/>
    <w:rsid w:val="00F128A9"/>
    <w:rsid w:val="00F16A68"/>
    <w:rsid w:val="00F32479"/>
    <w:rsid w:val="00F32AA9"/>
    <w:rsid w:val="00F536C5"/>
    <w:rsid w:val="00F5482B"/>
    <w:rsid w:val="00F5598C"/>
    <w:rsid w:val="00F57063"/>
    <w:rsid w:val="00F60856"/>
    <w:rsid w:val="00F76A1C"/>
    <w:rsid w:val="00F92138"/>
    <w:rsid w:val="00FA1FA7"/>
    <w:rsid w:val="00FA7E3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43426B9-45F2-4034-A8BA-9A96DD0F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C4312D"/>
    <w:pPr>
      <w:numPr>
        <w:ilvl w:val="1"/>
        <w:numId w:val="25"/>
      </w:numPr>
      <w:ind w:left="567" w:hanging="567"/>
      <w:contextualSpacing/>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0E46E2"/>
    <w:pPr>
      <w:spacing w:before="60" w:after="0" w:line="264" w:lineRule="auto"/>
      <w:ind w:left="1134" w:right="0" w:hanging="567"/>
    </w:pPr>
    <w:rPr>
      <w:rFonts w:ascii="Calibri" w:hAnsi="Calibri"/>
      <w:b w:val="0"/>
      <w:color w:val="auto"/>
      <w:sz w:val="24"/>
      <w:u w:val="single"/>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styleId="FollowedHyperlink">
    <w:name w:val="FollowedHyperlink"/>
    <w:basedOn w:val="DefaultParagraphFont"/>
    <w:uiPriority w:val="99"/>
    <w:semiHidden/>
    <w:unhideWhenUsed/>
    <w:rsid w:val="002E1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t.act.gov.au/contact_u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et.legal.liaison@act.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t.act.gov.au/school_education/home_educ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t.act.gov.au" TargetMode="External"/><Relationship Id="rId5" Type="http://schemas.openxmlformats.org/officeDocument/2006/relationships/webSettings" Target="webSettings.xml"/><Relationship Id="rId15" Type="http://schemas.openxmlformats.org/officeDocument/2006/relationships/hyperlink" Target="http://www.det.act.gov.au/school_education/home_education" TargetMode="External"/><Relationship Id="rId23" Type="http://schemas.openxmlformats.org/officeDocument/2006/relationships/theme" Target="theme/theme1.xml"/><Relationship Id="rId10" Type="http://schemas.openxmlformats.org/officeDocument/2006/relationships/hyperlink" Target="mailto:tribunal@ac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at.act.gov.au" TargetMode="External"/><Relationship Id="rId14" Type="http://schemas.openxmlformats.org/officeDocument/2006/relationships/hyperlink" Target="http://www.det.act.gov.au/about_us/freedom_of_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EE7C3-FBCF-4F0C-8FED-E12A30EE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FC3E97C2.dotm</Template>
  <TotalTime>0</TotalTime>
  <Pages>4</Pages>
  <Words>728</Words>
  <Characters>4075</Characters>
  <Application>Microsoft Office Word</Application>
  <DocSecurity>4</DocSecurity>
  <Lines>72</Lines>
  <Paragraphs>45</Paragraphs>
  <ScaleCrop>false</ScaleCrop>
  <HeadingPairs>
    <vt:vector size="2" baseType="variant">
      <vt:variant>
        <vt:lpstr>Title</vt:lpstr>
      </vt:variant>
      <vt:variant>
        <vt:i4>1</vt:i4>
      </vt:variant>
    </vt:vector>
  </HeadingPairs>
  <TitlesOfParts>
    <vt:vector size="1" baseType="lpstr">
      <vt:lpstr>Review of Decisions Procedure</vt:lpstr>
    </vt:vector>
  </TitlesOfParts>
  <Company>ACT Government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Decisions Procedure</dc:title>
  <dc:subject>Review of Decisions Procedure</dc:subject>
  <dc:creator>ACT Education and Training</dc:creator>
  <cp:keywords>Review of Decisions Procedure</cp:keywords>
  <cp:lastModifiedBy>Groves, Ellen</cp:lastModifiedBy>
  <cp:revision>2</cp:revision>
  <cp:lastPrinted>2017-09-17T23:29:00Z</cp:lastPrinted>
  <dcterms:created xsi:type="dcterms:W3CDTF">2017-11-06T23:33:00Z</dcterms:created>
  <dcterms:modified xsi:type="dcterms:W3CDTF">2017-11-06T23:33:00Z</dcterms:modified>
</cp:coreProperties>
</file>