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15"/>
        <w:tblW w:w="10356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267"/>
        <w:gridCol w:w="3779"/>
      </w:tblGrid>
      <w:tr w:rsidR="001D7AD8" w14:paraId="71C480AD" w14:textId="77777777" w:rsidTr="00C73C1B">
        <w:trPr>
          <w:tblCellSpacing w:w="0" w:type="dxa"/>
        </w:trPr>
        <w:tc>
          <w:tcPr>
            <w:tcW w:w="3180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3E55FEB0" w14:textId="77777777" w:rsidR="00C73C1B" w:rsidRDefault="00C73C1B" w:rsidP="00C73C1B"/>
        </w:tc>
        <w:tc>
          <w:tcPr>
            <w:tcW w:w="3128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  <w:hideMark/>
          </w:tcPr>
          <w:p w14:paraId="0418767D" w14:textId="77777777" w:rsidR="00C73C1B" w:rsidRDefault="00C73C1B" w:rsidP="00C73C1B">
            <w:pPr>
              <w:rPr>
                <w:rFonts w:ascii="Calibri" w:hAnsi="Calibri"/>
                <w:color w:val="333132"/>
              </w:rPr>
            </w:pPr>
            <w:r>
              <w:rPr>
                <w:color w:val="333132"/>
              </w:rPr>
              <w:t> </w:t>
            </w:r>
          </w:p>
        </w:tc>
        <w:tc>
          <w:tcPr>
            <w:tcW w:w="4048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39865700" w14:textId="77777777" w:rsidR="00C73C1B" w:rsidRDefault="00C73C1B" w:rsidP="00C73C1B">
            <w:pPr>
              <w:pStyle w:val="NormalWeb"/>
              <w:jc w:val="right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523435" wp14:editId="1EA9B5B0">
                      <wp:extent cx="211455" cy="198120"/>
                      <wp:effectExtent l="0" t="0" r="0" b="1905"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145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27CAF" id="Rectangle 10" o:spid="_x0000_s1026" style="width:16.6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ABF202" wp14:editId="32702519">
                      <wp:extent cx="211455" cy="198120"/>
                      <wp:effectExtent l="0" t="0" r="0" b="1905"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145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22956A" id="Rectangle 9" o:spid="_x0000_s1026" style="width:16.6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4BF8FE" wp14:editId="649BD1A2">
                      <wp:extent cx="211455" cy="198120"/>
                      <wp:effectExtent l="0" t="0" r="0" b="1905"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145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4E8B7" id="Rectangle 8" o:spid="_x0000_s1026" style="width:16.6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73C1B" w14:paraId="22355F69" w14:textId="77777777" w:rsidTr="00365B83">
        <w:trPr>
          <w:trHeight w:val="3145"/>
          <w:tblCellSpacing w:w="0" w:type="dxa"/>
        </w:trPr>
        <w:tc>
          <w:tcPr>
            <w:tcW w:w="0" w:type="auto"/>
            <w:gridSpan w:val="3"/>
            <w:shd w:val="clear" w:color="auto" w:fill="342682"/>
            <w:vAlign w:val="center"/>
            <w:hideMark/>
          </w:tcPr>
          <w:p w14:paraId="1A895959" w14:textId="77777777" w:rsidR="00C73C1B" w:rsidRDefault="00C73C1B" w:rsidP="00C73C1B">
            <w:pPr>
              <w:rPr>
                <w:rFonts w:ascii="Calibri" w:hAnsi="Calibri"/>
                <w:color w:val="333132"/>
              </w:rPr>
            </w:pPr>
            <w:r>
              <w:rPr>
                <w:noProof/>
                <w:color w:val="333132"/>
              </w:rPr>
              <w:drawing>
                <wp:anchor distT="0" distB="0" distL="114300" distR="114300" simplePos="0" relativeHeight="251660288" behindDoc="0" locked="0" layoutInCell="1" allowOverlap="1" wp14:anchorId="48C617E1" wp14:editId="6715B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6060" cy="1981200"/>
                  <wp:effectExtent l="0" t="0" r="0" b="0"/>
                  <wp:wrapNone/>
                  <wp:docPr id="6" name="Picture 6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06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3C1B" w14:paraId="624709DC" w14:textId="77777777" w:rsidTr="00675FD7">
        <w:trPr>
          <w:trHeight w:val="2110"/>
          <w:tblCellSpacing w:w="0" w:type="dxa"/>
        </w:trPr>
        <w:tc>
          <w:tcPr>
            <w:tcW w:w="0" w:type="auto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7499FBD5" w14:textId="55E81979" w:rsidR="00C73C1B" w:rsidRPr="00C73C1B" w:rsidRDefault="00E67799" w:rsidP="005B5B42">
            <w:pPr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Emergency </w:t>
            </w:r>
            <w:r w:rsidR="00245B13">
              <w:rPr>
                <w:rFonts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short message 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  <w:lang w:eastAsia="en-AU"/>
              </w:rPr>
              <w:t>testing</w:t>
            </w:r>
          </w:p>
          <w:p w14:paraId="2613659B" w14:textId="60B25870" w:rsidR="001A504D" w:rsidRDefault="00E67799" w:rsidP="00675FD7">
            <w:r>
              <w:t xml:space="preserve">As part of </w:t>
            </w:r>
            <w:r w:rsidR="001A504D">
              <w:t xml:space="preserve">the Education Directorate’s </w:t>
            </w:r>
            <w:r w:rsidR="00A26908">
              <w:t>S</w:t>
            </w:r>
            <w:r w:rsidR="001A504D">
              <w:t xml:space="preserve">trategic </w:t>
            </w:r>
            <w:r w:rsidR="00A26908">
              <w:t>S</w:t>
            </w:r>
            <w:r w:rsidR="001A504D">
              <w:t xml:space="preserve">ecurity and </w:t>
            </w:r>
            <w:r w:rsidR="00A26908">
              <w:t>E</w:t>
            </w:r>
            <w:r w:rsidR="001A504D">
              <w:t xml:space="preserve">mergency </w:t>
            </w:r>
            <w:r w:rsidR="00A26908">
              <w:t>M</w:t>
            </w:r>
            <w:r w:rsidR="001A504D">
              <w:t xml:space="preserve">anagement capabilities </w:t>
            </w:r>
            <w:r w:rsidR="00451E07">
              <w:t>in</w:t>
            </w:r>
            <w:r w:rsidR="00A26908">
              <w:t>, the</w:t>
            </w:r>
            <w:r w:rsidR="00451E07">
              <w:t xml:space="preserve"> event of an emergency</w:t>
            </w:r>
            <w:r w:rsidR="00A26908">
              <w:t>,</w:t>
            </w:r>
            <w:r w:rsidR="00451E07">
              <w:t xml:space="preserve"> </w:t>
            </w:r>
            <w:r w:rsidR="001A504D">
              <w:t xml:space="preserve">education and care services will now receive </w:t>
            </w:r>
            <w:r w:rsidR="00245B13">
              <w:t>short message services (</w:t>
            </w:r>
            <w:r w:rsidR="001A504D">
              <w:t>SMS</w:t>
            </w:r>
            <w:r w:rsidR="00245B13">
              <w:t xml:space="preserve">) to their emergency mobile phone </w:t>
            </w:r>
            <w:r w:rsidR="00860BFE">
              <w:t>contact</w:t>
            </w:r>
            <w:r w:rsidR="001D7AD8">
              <w:t xml:space="preserve"> number</w:t>
            </w:r>
            <w:r w:rsidR="00860BFE">
              <w:t xml:space="preserve"> listed in </w:t>
            </w:r>
            <w:hyperlink r:id="rId8" w:history="1">
              <w:r w:rsidR="007716B3" w:rsidRPr="00EA4DCD">
                <w:rPr>
                  <w:rStyle w:val="Hyperlink"/>
                </w:rPr>
                <w:t>National Quality Agenda IT System</w:t>
              </w:r>
            </w:hyperlink>
            <w:r w:rsidR="007716B3" w:rsidRPr="007716B3">
              <w:t xml:space="preserve"> </w:t>
            </w:r>
            <w:r w:rsidR="007716B3">
              <w:t>(</w:t>
            </w:r>
            <w:r w:rsidR="006E79B5">
              <w:t>NQAITS</w:t>
            </w:r>
            <w:r w:rsidR="007716B3">
              <w:t>)</w:t>
            </w:r>
            <w:r w:rsidR="001D7AD8">
              <w:t xml:space="preserve">. This </w:t>
            </w:r>
            <w:r w:rsidR="00021798">
              <w:t xml:space="preserve">emergency mobile phone contact field is located </w:t>
            </w:r>
            <w:r w:rsidR="001D7AD8">
              <w:t xml:space="preserve">under the </w:t>
            </w:r>
            <w:r w:rsidR="00860BFE">
              <w:t xml:space="preserve">service </w:t>
            </w:r>
            <w:r w:rsidR="006E79B5">
              <w:t xml:space="preserve">profile.  </w:t>
            </w:r>
          </w:p>
          <w:p w14:paraId="7F92ADA7" w14:textId="0A5A93E3" w:rsidR="00451E07" w:rsidRDefault="006E79B5" w:rsidP="00675FD7">
            <w:r>
              <w:t xml:space="preserve">On </w:t>
            </w:r>
            <w:r w:rsidR="007716B3">
              <w:t>1 October 2020 t</w:t>
            </w:r>
            <w:r w:rsidR="00675FD7">
              <w:t xml:space="preserve">he Strategic Security </w:t>
            </w:r>
            <w:r w:rsidR="007716B3">
              <w:t>and</w:t>
            </w:r>
            <w:r w:rsidR="00675FD7">
              <w:t xml:space="preserve"> Emergency Management Team</w:t>
            </w:r>
            <w:r w:rsidR="007716B3">
              <w:t xml:space="preserve"> conducted testing of the </w:t>
            </w:r>
            <w:r w:rsidR="00675FD7">
              <w:t xml:space="preserve">emergency notification SMS testing </w:t>
            </w:r>
            <w:r w:rsidR="009D515E">
              <w:t xml:space="preserve">system. If your service did not receive </w:t>
            </w:r>
            <w:r w:rsidR="005B5B42">
              <w:t xml:space="preserve">the below </w:t>
            </w:r>
            <w:proofErr w:type="gramStart"/>
            <w:r w:rsidR="005B5B42">
              <w:t>SMS</w:t>
            </w:r>
            <w:proofErr w:type="gramEnd"/>
            <w:r w:rsidR="005B5B42">
              <w:t xml:space="preserve"> please check that </w:t>
            </w:r>
            <w:r w:rsidR="00000223">
              <w:t xml:space="preserve">the correct </w:t>
            </w:r>
            <w:r w:rsidR="001D7AD8">
              <w:t xml:space="preserve">emergency </w:t>
            </w:r>
            <w:r w:rsidR="00000223">
              <w:t xml:space="preserve">mobile phone number is updated </w:t>
            </w:r>
            <w:r w:rsidR="00021798">
              <w:t xml:space="preserve">under </w:t>
            </w:r>
            <w:r w:rsidR="00451E07">
              <w:t>service profile</w:t>
            </w:r>
            <w:r w:rsidR="00021798">
              <w:t xml:space="preserve"> in NQAITS.</w:t>
            </w:r>
            <w:r w:rsidR="00555645">
              <w:t xml:space="preserve"> </w:t>
            </w:r>
            <w:r w:rsidR="00903758" w:rsidRPr="008727C3">
              <w:t>The Strategic Security and Emergency Management Team will conduct further SMS testing soon.</w:t>
            </w:r>
            <w:r w:rsidR="00903758">
              <w:t xml:space="preserve"> </w:t>
            </w:r>
          </w:p>
          <w:p w14:paraId="055A0841" w14:textId="4DF294AD" w:rsidR="00675FD7" w:rsidRDefault="005B5B42" w:rsidP="005B5B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E95A0" wp14:editId="3F65E000">
                  <wp:extent cx="2209800" cy="1514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387" t="3062" r="3080" b="5631"/>
                          <a:stretch/>
                        </pic:blipFill>
                        <pic:spPr bwMode="auto">
                          <a:xfrm>
                            <a:off x="0" y="0"/>
                            <a:ext cx="2228128" cy="152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0FA7E" w14:textId="77777777" w:rsidR="00C73C1B" w:rsidRDefault="00021798" w:rsidP="00675FD7">
            <w:pPr>
              <w:rPr>
                <w:rFonts w:cs="Times New Roman"/>
                <w:color w:val="548DD4" w:themeColor="text2" w:themeTint="99"/>
              </w:rPr>
            </w:pPr>
            <w:r>
              <w:rPr>
                <w:rFonts w:cs="Times New Roman"/>
                <w:color w:val="000000"/>
                <w:lang w:eastAsia="en-AU"/>
              </w:rPr>
              <w:t>Thank you for your cooperation</w:t>
            </w:r>
            <w:r w:rsidR="00A5213F">
              <w:rPr>
                <w:rFonts w:cs="Times New Roman"/>
                <w:color w:val="000000"/>
                <w:lang w:eastAsia="en-AU"/>
              </w:rPr>
              <w:t xml:space="preserve">. </w:t>
            </w:r>
            <w:r w:rsidR="00C73C1B" w:rsidRPr="00ED783D">
              <w:rPr>
                <w:rFonts w:cs="Times New Roman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0" w:history="1">
              <w:r w:rsidR="00C73C1B" w:rsidRPr="00ED783D">
                <w:rPr>
                  <w:rFonts w:cs="Times New Roman"/>
                  <w:color w:val="548DD4" w:themeColor="text2" w:themeTint="99"/>
                </w:rPr>
                <w:t>CECA@act.gov.au</w:t>
              </w:r>
            </w:hyperlink>
            <w:r w:rsidR="00BB1B6F">
              <w:rPr>
                <w:rFonts w:cs="Times New Roman"/>
                <w:color w:val="548DD4" w:themeColor="text2" w:themeTint="99"/>
              </w:rPr>
              <w:t>.</w:t>
            </w:r>
          </w:p>
          <w:p w14:paraId="2DC7BA69" w14:textId="22BE9158" w:rsidR="00BB1B6F" w:rsidRPr="00ED783D" w:rsidRDefault="00BB1B6F" w:rsidP="00BB1B6F">
            <w:pPr>
              <w:jc w:val="center"/>
              <w:rPr>
                <w:rFonts w:cs="Times New Roman"/>
                <w:color w:val="000000"/>
                <w:lang w:eastAsia="en-AU"/>
              </w:rPr>
            </w:pPr>
            <w:r w:rsidRPr="008E5CBF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2412A908" w14:textId="77777777" w:rsidR="00ED783D" w:rsidRDefault="00ED783D" w:rsidP="00ED783D"/>
    <w:p w14:paraId="5532B26B" w14:textId="77777777" w:rsidR="00ED783D" w:rsidRDefault="00ED783D" w:rsidP="00ED783D">
      <w:pPr>
        <w:rPr>
          <w:rFonts w:ascii="Calibri" w:hAnsi="Calibri"/>
          <w:vanish/>
          <w:color w:val="3331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D783D" w14:paraId="602EAF75" w14:textId="77777777" w:rsidTr="00ED783D">
        <w:trPr>
          <w:tblCellSpacing w:w="0" w:type="dxa"/>
          <w:jc w:val="center"/>
          <w:hidden/>
        </w:trPr>
        <w:tc>
          <w:tcPr>
            <w:tcW w:w="0" w:type="auto"/>
            <w:shd w:val="clear" w:color="auto" w:fill="5C5C5C"/>
            <w:vAlign w:val="center"/>
            <w:hideMark/>
          </w:tcPr>
          <w:p w14:paraId="14F39884" w14:textId="77777777" w:rsidR="00ED783D" w:rsidRDefault="00ED783D">
            <w:pPr>
              <w:rPr>
                <w:vanish/>
                <w:color w:val="333132"/>
              </w:rPr>
            </w:pPr>
          </w:p>
        </w:tc>
      </w:tr>
      <w:tr w:rsidR="00ED783D" w14:paraId="7AD0D951" w14:textId="77777777" w:rsidTr="00ED783D">
        <w:trPr>
          <w:tblCellSpacing w:w="0" w:type="dxa"/>
          <w:jc w:val="center"/>
        </w:trPr>
        <w:tc>
          <w:tcPr>
            <w:tcW w:w="0" w:type="auto"/>
            <w:shd w:val="clear" w:color="auto" w:fill="5C5C5C"/>
            <w:vAlign w:val="center"/>
            <w:hideMark/>
          </w:tcPr>
          <w:tbl>
            <w:tblPr>
              <w:tblW w:w="9861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7"/>
              <w:gridCol w:w="83"/>
              <w:gridCol w:w="5871"/>
            </w:tblGrid>
            <w:tr w:rsidR="00ED783D" w14:paraId="0575B80A" w14:textId="77777777" w:rsidTr="00896A75">
              <w:trPr>
                <w:gridAfter w:val="2"/>
                <w:trHeight w:val="68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C5C5C"/>
                  <w:vAlign w:val="center"/>
                  <w:hideMark/>
                </w:tcPr>
                <w:p w14:paraId="7A0DFB7C" w14:textId="77777777" w:rsidR="00ED783D" w:rsidRDefault="00ED783D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ED783D" w14:paraId="670625CD" w14:textId="77777777" w:rsidTr="00ED783D">
              <w:trPr>
                <w:trHeight w:val="73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0221201" w14:textId="05695220" w:rsidR="00ED783D" w:rsidRDefault="00ED783D">
                  <w:pPr>
                    <w:pStyle w:val="NormalWeb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5A19CCC0" wp14:editId="4C416FC2">
                        <wp:extent cx="1089660" cy="350520"/>
                        <wp:effectExtent l="0" t="0" r="0" b="0"/>
                        <wp:docPr id="5" name="Picture 5" descr="facebook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61976F3" w14:textId="77777777" w:rsidR="00ED783D" w:rsidRDefault="00ED783D">
                  <w:pPr>
                    <w:jc w:val="center"/>
                    <w:rPr>
                      <w:rFonts w:ascii="Calibri" w:hAnsi="Calibri"/>
                      <w:color w:val="333132"/>
                    </w:rPr>
                  </w:pPr>
                  <w:r>
                    <w:rPr>
                      <w:color w:val="333132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19F4FFCD" w14:textId="0EC768D4" w:rsidR="00ED783D" w:rsidRDefault="00ED783D">
                  <w:pPr>
                    <w:jc w:val="right"/>
                    <w:rPr>
                      <w:color w:val="333132"/>
                    </w:rPr>
                  </w:pPr>
                  <w:r>
                    <w:rPr>
                      <w:noProof/>
                      <w:color w:val="333132"/>
                    </w:rPr>
                    <w:drawing>
                      <wp:inline distT="0" distB="0" distL="0" distR="0" wp14:anchorId="2AD0B73F" wp14:editId="2866E762">
                        <wp:extent cx="1897380" cy="647700"/>
                        <wp:effectExtent l="0" t="0" r="7620" b="0"/>
                        <wp:docPr id="4" name="Picture 4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73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E50A81" w14:textId="77777777" w:rsidR="00ED783D" w:rsidRDefault="00ED78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14:paraId="736E82B1" w14:textId="77777777" w:rsidR="00ED783D" w:rsidRDefault="00ED783D">
      <w:pPr>
        <w:rPr>
          <w:b/>
          <w:bCs/>
          <w:sz w:val="28"/>
          <w:szCs w:val="28"/>
        </w:rPr>
      </w:pPr>
    </w:p>
    <w:p w14:paraId="0ACAB5E0" w14:textId="77777777" w:rsidR="00ED783D" w:rsidRDefault="00ED783D">
      <w:pPr>
        <w:rPr>
          <w:b/>
          <w:bCs/>
          <w:sz w:val="28"/>
          <w:szCs w:val="28"/>
        </w:rPr>
      </w:pPr>
    </w:p>
    <w:p w14:paraId="03FD17F5" w14:textId="77777777" w:rsidR="00ED783D" w:rsidRDefault="00ED783D">
      <w:pPr>
        <w:rPr>
          <w:b/>
          <w:bCs/>
          <w:sz w:val="28"/>
          <w:szCs w:val="28"/>
        </w:rPr>
      </w:pPr>
    </w:p>
    <w:p w14:paraId="789D390A" w14:textId="77777777" w:rsidR="00ED783D" w:rsidRDefault="00ED783D">
      <w:pPr>
        <w:rPr>
          <w:b/>
          <w:bCs/>
          <w:sz w:val="28"/>
          <w:szCs w:val="28"/>
        </w:rPr>
      </w:pPr>
    </w:p>
    <w:p w14:paraId="62A11532" w14:textId="77777777" w:rsidR="00ED783D" w:rsidRDefault="00ED783D">
      <w:pPr>
        <w:rPr>
          <w:b/>
          <w:bCs/>
          <w:sz w:val="28"/>
          <w:szCs w:val="28"/>
        </w:rPr>
      </w:pPr>
    </w:p>
    <w:sectPr w:rsidR="00ED7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B66FD"/>
    <w:multiLevelType w:val="hybridMultilevel"/>
    <w:tmpl w:val="339EA60A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4B"/>
    <w:rsid w:val="00000223"/>
    <w:rsid w:val="00021798"/>
    <w:rsid w:val="00157364"/>
    <w:rsid w:val="001A504D"/>
    <w:rsid w:val="001C49DD"/>
    <w:rsid w:val="001D7AD8"/>
    <w:rsid w:val="001E4B11"/>
    <w:rsid w:val="00213190"/>
    <w:rsid w:val="002273C0"/>
    <w:rsid w:val="00245B13"/>
    <w:rsid w:val="002E0B70"/>
    <w:rsid w:val="003151D9"/>
    <w:rsid w:val="00365B83"/>
    <w:rsid w:val="00380DFB"/>
    <w:rsid w:val="00415023"/>
    <w:rsid w:val="00451E07"/>
    <w:rsid w:val="00547517"/>
    <w:rsid w:val="00555645"/>
    <w:rsid w:val="005B5B42"/>
    <w:rsid w:val="00634634"/>
    <w:rsid w:val="00675FD7"/>
    <w:rsid w:val="00694CF8"/>
    <w:rsid w:val="006E79B5"/>
    <w:rsid w:val="00727C80"/>
    <w:rsid w:val="00747A01"/>
    <w:rsid w:val="007716B3"/>
    <w:rsid w:val="007E7895"/>
    <w:rsid w:val="00856DA3"/>
    <w:rsid w:val="00860BFE"/>
    <w:rsid w:val="008727C3"/>
    <w:rsid w:val="00896A75"/>
    <w:rsid w:val="008D4350"/>
    <w:rsid w:val="008F024B"/>
    <w:rsid w:val="00903758"/>
    <w:rsid w:val="00992B32"/>
    <w:rsid w:val="009D515E"/>
    <w:rsid w:val="00A26908"/>
    <w:rsid w:val="00A476BD"/>
    <w:rsid w:val="00A5213F"/>
    <w:rsid w:val="00A55D1C"/>
    <w:rsid w:val="00A5783B"/>
    <w:rsid w:val="00A95133"/>
    <w:rsid w:val="00AC30D5"/>
    <w:rsid w:val="00B357DA"/>
    <w:rsid w:val="00BA5875"/>
    <w:rsid w:val="00BB1B6F"/>
    <w:rsid w:val="00C53E0A"/>
    <w:rsid w:val="00C72606"/>
    <w:rsid w:val="00C73C1B"/>
    <w:rsid w:val="00CA5C85"/>
    <w:rsid w:val="00CF7BC7"/>
    <w:rsid w:val="00D74247"/>
    <w:rsid w:val="00E67799"/>
    <w:rsid w:val="00E84672"/>
    <w:rsid w:val="00EA4DCD"/>
    <w:rsid w:val="00EB619C"/>
    <w:rsid w:val="00EC5D08"/>
    <w:rsid w:val="00EC6233"/>
    <w:rsid w:val="00ED783D"/>
    <w:rsid w:val="00F44700"/>
    <w:rsid w:val="00F96757"/>
    <w:rsid w:val="00FA1B01"/>
    <w:rsid w:val="00FC09C1"/>
    <w:rsid w:val="00F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3BCA"/>
  <w15:chartTrackingRefBased/>
  <w15:docId w15:val="{A86A9307-C234-48D4-9F19-447ABD7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83D"/>
    <w:pPr>
      <w:spacing w:before="100" w:beforeAutospacing="1" w:after="100" w:afterAutospacing="1" w:line="240" w:lineRule="auto"/>
      <w:outlineLvl w:val="0"/>
    </w:pPr>
    <w:rPr>
      <w:rFonts w:ascii="Calibri" w:hAnsi="Calibri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783D"/>
    <w:pPr>
      <w:spacing w:before="100" w:beforeAutospacing="1" w:after="100" w:afterAutospacing="1" w:line="240" w:lineRule="auto"/>
      <w:outlineLvl w:val="1"/>
    </w:pPr>
    <w:rPr>
      <w:rFonts w:ascii="Calibri" w:hAnsi="Calibri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5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7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D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5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5D08"/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5C85"/>
    <w:pPr>
      <w:spacing w:before="100" w:beforeAutospacing="1" w:after="100" w:afterAutospacing="1" w:line="240" w:lineRule="auto"/>
    </w:pPr>
    <w:rPr>
      <w:rFonts w:ascii="Calibri" w:hAnsi="Calibri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D742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783D"/>
    <w:rPr>
      <w:rFonts w:ascii="Calibri" w:hAnsi="Calibri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83D"/>
    <w:rPr>
      <w:rFonts w:ascii="Calibri" w:hAnsi="Calibri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qaits.acecqa.gov.au/Pages/Landing.aspx" TargetMode="External"/><Relationship Id="rId13" Type="http://schemas.openxmlformats.org/officeDocument/2006/relationships/image" Target="https://gallery.mailchimp.com/9d0a9f53fb0eff55a9a63446c/images/bf4e802a-987f-4fa8-8e79-6f5b597ea4e9.png" TargetMode="External"/><Relationship Id="rId3" Type="http://schemas.openxmlformats.org/officeDocument/2006/relationships/styles" Target="styles.xml"/><Relationship Id="rId7" Type="http://schemas.openxmlformats.org/officeDocument/2006/relationships/image" Target="https://gallery.mailchimp.com/9d0a9f53fb0eff55a9a63446c/images/76750c23-ea86-41cf-b330-80d8a9f05bdb.jp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CECAACT/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gallery.mailchimp.com/9d0a9f53fb0eff55a9a63446c/images/ad846df6-fa12-49f7-ac88-3fb612010033.png" TargetMode="External"/><Relationship Id="rId10" Type="http://schemas.openxmlformats.org/officeDocument/2006/relationships/hyperlink" Target="mailto:CECA@act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031F-993E-4401-B1D2-9B13392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Williams, Jo</cp:lastModifiedBy>
  <cp:revision>8</cp:revision>
  <dcterms:created xsi:type="dcterms:W3CDTF">2020-02-25T11:31:00Z</dcterms:created>
  <dcterms:modified xsi:type="dcterms:W3CDTF">2020-11-26T05:12:00Z</dcterms:modified>
</cp:coreProperties>
</file>