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2536F282" w:rsidR="00957C2A" w:rsidRDefault="00B85BE4" w:rsidP="00327556">
      <w:pPr>
        <w:pStyle w:val="BodyText1"/>
        <w:spacing w:before="0" w:after="0"/>
        <w:ind w:right="-22"/>
        <w:rPr>
          <w:noProof/>
          <w:lang w:eastAsia="en-AU"/>
        </w:rPr>
      </w:pPr>
      <w:r w:rsidRPr="002D7C35">
        <w:rPr>
          <w:rFonts w:asciiTheme="majorHAnsi" w:hAnsiTheme="majorHAnsi" w:cstheme="majorHAnsi"/>
          <w:noProof/>
        </w:rPr>
        <w:drawing>
          <wp:anchor distT="0" distB="0" distL="114300" distR="114300" simplePos="0" relativeHeight="251658241" behindDoc="1" locked="0" layoutInCell="1" allowOverlap="1" wp14:anchorId="7405A893" wp14:editId="36DD73C5">
            <wp:simplePos x="0" y="0"/>
            <wp:positionH relativeFrom="page">
              <wp:posOffset>-59055</wp:posOffset>
            </wp:positionH>
            <wp:positionV relativeFrom="page">
              <wp:posOffset>-64135</wp:posOffset>
            </wp:positionV>
            <wp:extent cx="7623175" cy="10778490"/>
            <wp:effectExtent l="19050" t="0" r="0" b="3810"/>
            <wp:wrapNone/>
            <wp:docPr id="4" name="Picture 4"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flipV="1">
                      <a:off x="0" y="0"/>
                      <a:ext cx="7623175" cy="10778490"/>
                    </a:xfrm>
                    <a:prstGeom prst="rect">
                      <a:avLst/>
                    </a:prstGeom>
                    <a:noFill/>
                  </pic:spPr>
                </pic:pic>
              </a:graphicData>
            </a:graphic>
          </wp:anchor>
        </w:drawing>
      </w:r>
      <w:r w:rsidR="001E69E7">
        <w:rPr>
          <w:noProof/>
        </w:rPr>
        <mc:AlternateContent>
          <mc:Choice Requires="wps">
            <w:drawing>
              <wp:anchor distT="0" distB="0" distL="114300" distR="114300" simplePos="0" relativeHeight="251658242" behindDoc="0" locked="0" layoutInCell="1" allowOverlap="1" wp14:anchorId="682B462A" wp14:editId="313DA6DB">
                <wp:simplePos x="0" y="0"/>
                <wp:positionH relativeFrom="margin">
                  <wp:posOffset>-51435</wp:posOffset>
                </wp:positionH>
                <wp:positionV relativeFrom="page">
                  <wp:posOffset>3169285</wp:posOffset>
                </wp:positionV>
                <wp:extent cx="3576320" cy="5156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47FEFEED" w:rsidR="00957C2A" w:rsidRDefault="001E69E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Internal Audit Procedure</w:t>
                            </w:r>
                          </w:p>
                          <w:p w14:paraId="4574CBC6" w14:textId="65DFCAAE"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25" o:spid="_x0000_s1026" type="#_x0000_t202" style="position:absolute;margin-left:-4.05pt;margin-top:249.55pt;width:281.6pt;height:40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" filled="f" stroked="f">
                <v:textbox>
                  <w:txbxContent>
                    <w:p w14:paraId="57D11AA1" w14:textId="47FEFEED" w:rsidR="00957C2A" w:rsidRDefault="001E69E7"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Internal Audit Procedure</w:t>
                      </w:r>
                    </w:p>
                    <w:p w14:paraId="4574CBC6" w14:textId="65DFCAAE"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1E69E7">
        <w:rPr>
          <w:noProof/>
        </w:rPr>
        <mc:AlternateContent>
          <mc:Choice Requires="wps">
            <w:drawing>
              <wp:anchor distT="0" distB="0" distL="114300" distR="114300" simplePos="0" relativeHeight="251658243" behindDoc="0" locked="0" layoutInCell="1" allowOverlap="1" wp14:anchorId="38A2BB5C" wp14:editId="49E336AF">
                <wp:simplePos x="0" y="0"/>
                <wp:positionH relativeFrom="page">
                  <wp:posOffset>3564255</wp:posOffset>
                </wp:positionH>
                <wp:positionV relativeFrom="page">
                  <wp:posOffset>10201910</wp:posOffset>
                </wp:positionV>
                <wp:extent cx="3989070" cy="495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7CC07D4C" w:rsidR="00837437" w:rsidRPr="00A13095" w:rsidRDefault="003A5BE1" w:rsidP="00837437">
                            <w:pPr>
                              <w:pStyle w:val="BodyText1"/>
                              <w:jc w:val="right"/>
                              <w:rPr>
                                <w:rFonts w:asciiTheme="majorHAnsi" w:hAnsiTheme="majorHAnsi" w:cstheme="majorHAnsi"/>
                                <w:b/>
                                <w:color w:val="FFFFFF" w:themeColor="background1"/>
                                <w:bdr w:val="none" w:sz="0" w:space="0" w:color="auto" w:frame="1"/>
                              </w:rPr>
                            </w:pPr>
                            <w:r w:rsidRPr="003A5BE1">
                              <w:rPr>
                                <w:rFonts w:asciiTheme="majorHAnsi" w:hAnsiTheme="majorHAnsi" w:cstheme="majorHAnsi"/>
                                <w:b/>
                                <w:color w:val="FFFFFF" w:themeColor="background1"/>
                                <w:bdr w:val="none" w:sz="0" w:space="0" w:color="auto" w:frame="1"/>
                              </w:rPr>
                              <w:t>Policy ID 00029/1</w:t>
                            </w:r>
                            <w:r w:rsidR="000B3A81">
                              <w:rPr>
                                <w:rFonts w:asciiTheme="majorHAnsi" w:hAnsiTheme="majorHAnsi" w:cstheme="majorHAnsi"/>
                                <w:b/>
                                <w:color w:val="FFFFFF" w:themeColor="background1"/>
                                <w:bdr w:val="none" w:sz="0" w:space="0" w:color="auto" w:frame="1"/>
                              </w:rPr>
                              <w:t xml:space="preserve"> </w:t>
                            </w:r>
                            <w:r w:rsidR="000B3A81">
                              <w:rPr>
                                <w:rFonts w:asciiTheme="majorHAnsi" w:hAnsiTheme="majorHAnsi" w:cstheme="majorHAnsi"/>
                                <w:b/>
                                <w:color w:val="FFFFFF" w:themeColor="background1"/>
                                <w:bdr w:val="none" w:sz="0" w:space="0" w:color="auto" w:frame="1"/>
                              </w:rPr>
                              <w:tab/>
                              <w:t>February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Text Box 6" o:spid="_x0000_s1027" type="#_x0000_t202" style="position:absolute;margin-left:280.65pt;margin-top:803.3pt;width:314.1pt;height:39.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" filled="f" stroked="f">
                <v:textbox>
                  <w:txbxContent>
                    <w:p w14:paraId="63ECB7D3" w14:textId="7CC07D4C" w:rsidR="00837437" w:rsidRPr="00A13095" w:rsidRDefault="003A5BE1" w:rsidP="00837437">
                      <w:pPr>
                        <w:pStyle w:val="BodyText1"/>
                        <w:jc w:val="right"/>
                        <w:rPr>
                          <w:rFonts w:asciiTheme="majorHAnsi" w:hAnsiTheme="majorHAnsi" w:cstheme="majorHAnsi"/>
                          <w:b/>
                          <w:color w:val="FFFFFF" w:themeColor="background1"/>
                          <w:bdr w:val="none" w:sz="0" w:space="0" w:color="auto" w:frame="1"/>
                        </w:rPr>
                      </w:pPr>
                      <w:r w:rsidRPr="003A5BE1">
                        <w:rPr>
                          <w:rFonts w:asciiTheme="majorHAnsi" w:hAnsiTheme="majorHAnsi" w:cstheme="majorHAnsi"/>
                          <w:b/>
                          <w:color w:val="FFFFFF" w:themeColor="background1"/>
                          <w:bdr w:val="none" w:sz="0" w:space="0" w:color="auto" w:frame="1"/>
                        </w:rPr>
                        <w:t>Policy ID 00029/1</w:t>
                      </w:r>
                      <w:r w:rsidR="000B3A81">
                        <w:rPr>
                          <w:rFonts w:asciiTheme="majorHAnsi" w:hAnsiTheme="majorHAnsi" w:cstheme="majorHAnsi"/>
                          <w:b/>
                          <w:color w:val="FFFFFF" w:themeColor="background1"/>
                          <w:bdr w:val="none" w:sz="0" w:space="0" w:color="auto" w:frame="1"/>
                        </w:rPr>
                        <w:t xml:space="preserve"> </w:t>
                      </w:r>
                      <w:r w:rsidR="000B3A81">
                        <w:rPr>
                          <w:rFonts w:asciiTheme="majorHAnsi" w:hAnsiTheme="majorHAnsi" w:cstheme="majorHAnsi"/>
                          <w:b/>
                          <w:color w:val="FFFFFF" w:themeColor="background1"/>
                          <w:bdr w:val="none" w:sz="0" w:space="0" w:color="auto" w:frame="1"/>
                        </w:rPr>
                        <w:tab/>
                        <w:t>February 2024</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Default="00957C2A" w:rsidP="00327556">
      <w:pPr>
        <w:pStyle w:val="BodyText1"/>
        <w:spacing w:before="0" w:after="0"/>
        <w:ind w:right="-22"/>
      </w:pPr>
    </w:p>
    <w:p w14:paraId="5E38B590" w14:textId="77777777" w:rsidR="00837437" w:rsidRDefault="00837437" w:rsidP="00327556">
      <w:pPr>
        <w:pStyle w:val="BodyText1"/>
        <w:spacing w:before="0" w:after="0"/>
        <w:ind w:right="-22"/>
      </w:pPr>
    </w:p>
    <w:p w14:paraId="7973D5C8" w14:textId="76FE9E93" w:rsidR="002D5091" w:rsidRDefault="002D7C35" w:rsidP="002D5091">
      <w:pPr>
        <w:pStyle w:val="PolicyHeading1-Accessible"/>
      </w:pPr>
      <w:bookmarkStart w:id="0" w:name="_Toc419885095"/>
      <w:bookmarkStart w:id="1" w:name="_Toc419886017"/>
      <w:bookmarkStart w:id="2" w:name="_Toc419886493"/>
      <w:bookmarkStart w:id="3" w:name="_Toc419889895"/>
      <w:bookmarkStart w:id="4" w:name="_Toc419889958"/>
      <w:r w:rsidRPr="00B165E5">
        <w:t xml:space="preserve">Internal Audit Procedure </w:t>
      </w:r>
      <w:bookmarkEnd w:id="0"/>
      <w:bookmarkEnd w:id="1"/>
      <w:bookmarkEnd w:id="2"/>
      <w:bookmarkEnd w:id="3"/>
      <w:bookmarkEnd w:id="4"/>
    </w:p>
    <w:p w14:paraId="417D1BD7" w14:textId="77777777" w:rsidR="002D7C35" w:rsidRPr="002D7C35" w:rsidRDefault="00155F87" w:rsidP="002D7C35">
      <w:pPr>
        <w:pStyle w:val="Policy-BodyText"/>
        <w:numPr>
          <w:ilvl w:val="0"/>
          <w:numId w:val="0"/>
        </w:numPr>
      </w:pPr>
      <w:bookmarkStart w:id="5" w:name="_Toc419886018"/>
      <w:r w:rsidRPr="00155F87">
        <w:t xml:space="preserve">This procedure must be read in conjunction with </w:t>
      </w:r>
      <w:bookmarkEnd w:id="5"/>
      <w:r w:rsidR="002D7C35" w:rsidRPr="002D7C35">
        <w:t>Audit Committee Charter</w:t>
      </w:r>
      <w:r w:rsidR="002D7C35">
        <w:t xml:space="preserve">, </w:t>
      </w:r>
      <w:r w:rsidR="002D7C35" w:rsidRPr="002D7C35">
        <w:t>Internal Audit Charter</w:t>
      </w:r>
      <w:r w:rsidR="002D7C35">
        <w:t xml:space="preserve"> and the </w:t>
      </w:r>
      <w:r w:rsidR="002D7C35" w:rsidRPr="002D7C35">
        <w:t>Internal Audit Policy</w:t>
      </w:r>
      <w:r w:rsidR="002D7C35">
        <w:t xml:space="preserve">. </w:t>
      </w:r>
    </w:p>
    <w:p w14:paraId="594E6FEB" w14:textId="11F8F336" w:rsidR="00837437" w:rsidRDefault="00837437" w:rsidP="00F35135">
      <w:pPr>
        <w:pStyle w:val="Policy-BodyText"/>
        <w:numPr>
          <w:ilvl w:val="0"/>
          <w:numId w:val="0"/>
        </w:numPr>
        <w:rPr>
          <w:rStyle w:val="ExplanatoryTextChar"/>
          <w:rFonts w:ascii="Calibri Light" w:eastAsiaTheme="minorEastAsia" w:hAnsi="Calibri Light"/>
          <w:b w:val="0"/>
          <w:i/>
          <w:sz w:val="20"/>
          <w:szCs w:val="24"/>
        </w:rPr>
      </w:pPr>
    </w:p>
    <w:sdt>
      <w:sdtPr>
        <w:rPr>
          <w:rFonts w:asciiTheme="minorHAnsi" w:eastAsiaTheme="minorEastAsia" w:hAnsiTheme="minorHAnsi" w:cstheme="minorBidi"/>
          <w:b w:val="0"/>
          <w:bCs w:val="0"/>
          <w:sz w:val="24"/>
          <w:szCs w:val="24"/>
          <w:lang w:val="en-AU"/>
        </w:rPr>
        <w:id w:val="184242366"/>
        <w:docPartObj>
          <w:docPartGallery w:val="Table of Contents"/>
          <w:docPartUnique/>
        </w:docPartObj>
      </w:sdtPr>
      <w:sdtEndPr/>
      <w:sdtContent>
        <w:p w14:paraId="3128779E" w14:textId="20751924" w:rsidR="00BC227E" w:rsidRPr="00A32ADA" w:rsidRDefault="00BC227E" w:rsidP="00CF404F">
          <w:pPr>
            <w:pStyle w:val="TOCHeading"/>
            <w:spacing w:before="0" w:line="240" w:lineRule="auto"/>
            <w:rPr>
              <w:noProof/>
              <w:sz w:val="22"/>
              <w:szCs w:val="22"/>
              <w:lang w:eastAsia="en-AU"/>
            </w:rPr>
          </w:pPr>
          <w:r w:rsidRPr="00A32ADA">
            <w:t>Table of Contents</w:t>
          </w:r>
          <w:r w:rsidR="004C264D" w:rsidRPr="00A32ADA">
            <w:rPr>
              <w:color w:val="365F91" w:themeColor="accent1" w:themeShade="BF"/>
            </w:rPr>
            <w:fldChar w:fldCharType="begin"/>
          </w:r>
          <w:r w:rsidRPr="00A32ADA">
            <w:instrText xml:space="preserve"> TOC \o "1-3" \h \z \u </w:instrText>
          </w:r>
          <w:r w:rsidR="004C264D" w:rsidRPr="00A32ADA">
            <w:rPr>
              <w:color w:val="365F91" w:themeColor="accent1" w:themeShade="BF"/>
            </w:rPr>
            <w:fldChar w:fldCharType="separate"/>
          </w:r>
        </w:p>
        <w:p w14:paraId="7881BBCA" w14:textId="77777777" w:rsidR="00BC227E" w:rsidRPr="00A32ADA" w:rsidRDefault="00957FF7" w:rsidP="00CF404F">
          <w:pPr>
            <w:pStyle w:val="TOC2"/>
            <w:tabs>
              <w:tab w:val="left" w:pos="660"/>
              <w:tab w:val="right" w:leader="dot" w:pos="9736"/>
            </w:tabs>
            <w:spacing w:after="0"/>
            <w:rPr>
              <w:rFonts w:asciiTheme="majorHAnsi" w:hAnsiTheme="majorHAnsi"/>
              <w:noProof/>
              <w:sz w:val="22"/>
              <w:szCs w:val="22"/>
              <w:lang w:eastAsia="en-AU"/>
            </w:rPr>
          </w:pPr>
          <w:hyperlink w:anchor="_Toc419889959" w:history="1">
            <w:r w:rsidR="00BC227E" w:rsidRPr="00A32ADA">
              <w:rPr>
                <w:rStyle w:val="Hyperlink"/>
                <w:rFonts w:asciiTheme="majorHAnsi" w:hAnsiTheme="majorHAnsi"/>
                <w:noProof/>
              </w:rPr>
              <w:t>1.</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Overview</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_Toc419889959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240E3AF5" w14:textId="77777777" w:rsidR="00BC227E" w:rsidRPr="00A32ADA" w:rsidRDefault="00957FF7" w:rsidP="00CF404F">
          <w:pPr>
            <w:pStyle w:val="TOC2"/>
            <w:tabs>
              <w:tab w:val="left" w:pos="660"/>
              <w:tab w:val="right" w:leader="dot" w:pos="9736"/>
            </w:tabs>
            <w:spacing w:after="0"/>
            <w:rPr>
              <w:rFonts w:asciiTheme="majorHAnsi" w:hAnsiTheme="majorHAnsi"/>
              <w:noProof/>
              <w:sz w:val="22"/>
              <w:szCs w:val="22"/>
              <w:lang w:eastAsia="en-AU"/>
            </w:rPr>
          </w:pPr>
          <w:hyperlink w:anchor="_Toc419889960" w:history="1">
            <w:r w:rsidR="00BC227E" w:rsidRPr="00A32ADA">
              <w:rPr>
                <w:rStyle w:val="Hyperlink"/>
                <w:rFonts w:asciiTheme="majorHAnsi" w:hAnsiTheme="majorHAnsi"/>
                <w:noProof/>
              </w:rPr>
              <w:t>2.</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Rationale</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_Toc419889960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50F8852C" w14:textId="77777777" w:rsidR="00F92138" w:rsidRPr="008F4280" w:rsidRDefault="00957FF7" w:rsidP="00CF404F">
          <w:pPr>
            <w:pStyle w:val="TOC2"/>
            <w:tabs>
              <w:tab w:val="left" w:pos="660"/>
              <w:tab w:val="right" w:leader="dot" w:pos="9736"/>
            </w:tabs>
            <w:spacing w:after="0"/>
            <w:rPr>
              <w:rFonts w:asciiTheme="majorHAnsi" w:hAnsiTheme="majorHAnsi"/>
              <w:noProof/>
              <w:u w:val="single"/>
            </w:rPr>
          </w:pPr>
          <w:hyperlink w:anchor="_Toc419889961" w:history="1">
            <w:r w:rsidR="00BC227E" w:rsidRPr="00A32ADA">
              <w:rPr>
                <w:rStyle w:val="Hyperlink"/>
                <w:rFonts w:asciiTheme="majorHAnsi" w:hAnsiTheme="majorHAnsi"/>
                <w:noProof/>
              </w:rPr>
              <w:t>3.</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Procedures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_Toc419889961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6919BD5A" w14:textId="77777777" w:rsidR="00BC227E" w:rsidRPr="00A32ADA" w:rsidRDefault="00957FF7" w:rsidP="00CF404F">
          <w:pPr>
            <w:pStyle w:val="TOC2"/>
            <w:tabs>
              <w:tab w:val="left" w:pos="660"/>
              <w:tab w:val="right" w:leader="dot" w:pos="9736"/>
            </w:tabs>
            <w:spacing w:after="0"/>
            <w:rPr>
              <w:rFonts w:asciiTheme="majorHAnsi" w:hAnsiTheme="majorHAnsi"/>
              <w:noProof/>
              <w:sz w:val="22"/>
              <w:szCs w:val="22"/>
              <w:lang w:eastAsia="en-AU"/>
            </w:rPr>
          </w:pPr>
          <w:hyperlink w:anchor="_Toc419889962" w:history="1">
            <w:r w:rsidR="00BC227E" w:rsidRPr="00A32ADA">
              <w:rPr>
                <w:rStyle w:val="Hyperlink"/>
                <w:rFonts w:asciiTheme="majorHAnsi" w:hAnsiTheme="majorHAnsi"/>
                <w:noProof/>
              </w:rPr>
              <w:t>4.</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Complaints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_Toc419889962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1B8213C4" w14:textId="77777777" w:rsidR="00BC227E" w:rsidRPr="00A32ADA" w:rsidRDefault="00957FF7" w:rsidP="00CF404F">
          <w:pPr>
            <w:pStyle w:val="TOC2"/>
            <w:tabs>
              <w:tab w:val="left" w:pos="660"/>
              <w:tab w:val="right" w:leader="dot" w:pos="9736"/>
            </w:tabs>
            <w:spacing w:after="0"/>
            <w:rPr>
              <w:rFonts w:asciiTheme="majorHAnsi" w:hAnsiTheme="majorHAnsi"/>
              <w:noProof/>
              <w:sz w:val="22"/>
              <w:szCs w:val="22"/>
              <w:lang w:eastAsia="en-AU"/>
            </w:rPr>
          </w:pPr>
          <w:hyperlink w:anchor="_Toc419889963" w:history="1">
            <w:r w:rsidR="00BC227E" w:rsidRPr="00A32ADA">
              <w:rPr>
                <w:rStyle w:val="Hyperlink"/>
                <w:rFonts w:asciiTheme="majorHAnsi" w:hAnsiTheme="majorHAnsi"/>
                <w:noProof/>
              </w:rPr>
              <w:t>5.</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Contact</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_Toc419889963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p>
        <w:p w14:paraId="683D1985" w14:textId="77777777" w:rsidR="00BC227E" w:rsidRDefault="00957FF7" w:rsidP="00CF404F">
          <w:pPr>
            <w:pStyle w:val="TOC2"/>
            <w:tabs>
              <w:tab w:val="left" w:pos="660"/>
              <w:tab w:val="right" w:leader="dot" w:pos="9736"/>
            </w:tabs>
            <w:spacing w:after="0"/>
          </w:pPr>
          <w:hyperlink w:anchor="_Toc419889964" w:history="1">
            <w:r w:rsidR="00BC227E" w:rsidRPr="00A32ADA">
              <w:rPr>
                <w:rStyle w:val="Hyperlink"/>
                <w:rFonts w:asciiTheme="majorHAnsi" w:hAnsiTheme="majorHAnsi"/>
                <w:noProof/>
              </w:rPr>
              <w:t>6.</w:t>
            </w:r>
            <w:r w:rsidR="00BC227E" w:rsidRPr="00A32ADA">
              <w:rPr>
                <w:rFonts w:asciiTheme="majorHAnsi" w:hAnsiTheme="majorHAnsi"/>
                <w:noProof/>
                <w:sz w:val="22"/>
                <w:szCs w:val="22"/>
                <w:lang w:eastAsia="en-AU"/>
              </w:rPr>
              <w:tab/>
            </w:r>
            <w:r w:rsidR="00BC227E" w:rsidRPr="00A32ADA">
              <w:rPr>
                <w:rStyle w:val="Hyperlink"/>
                <w:rFonts w:asciiTheme="majorHAnsi" w:hAnsiTheme="majorHAnsi"/>
                <w:noProof/>
              </w:rPr>
              <w:t>References</w:t>
            </w:r>
            <w:r w:rsidR="00BC227E" w:rsidRPr="00A32ADA">
              <w:rPr>
                <w:rFonts w:asciiTheme="majorHAnsi" w:hAnsiTheme="majorHAnsi"/>
                <w:noProof/>
                <w:webHidden/>
              </w:rPr>
              <w:tab/>
            </w:r>
            <w:r w:rsidR="004C264D" w:rsidRPr="00A32ADA">
              <w:rPr>
                <w:rFonts w:asciiTheme="majorHAnsi" w:hAnsiTheme="majorHAnsi"/>
                <w:noProof/>
                <w:webHidden/>
              </w:rPr>
              <w:fldChar w:fldCharType="begin"/>
            </w:r>
            <w:r w:rsidR="00BC227E" w:rsidRPr="00A32ADA">
              <w:rPr>
                <w:rFonts w:asciiTheme="majorHAnsi" w:hAnsiTheme="majorHAnsi"/>
                <w:noProof/>
                <w:webHidden/>
              </w:rPr>
              <w:instrText xml:space="preserve"> PAGEREF _Toc419889964 \h </w:instrText>
            </w:r>
            <w:r w:rsidR="004C264D" w:rsidRPr="00A32ADA">
              <w:rPr>
                <w:rFonts w:asciiTheme="majorHAnsi" w:hAnsiTheme="majorHAnsi"/>
                <w:noProof/>
                <w:webHidden/>
              </w:rPr>
            </w:r>
            <w:r w:rsidR="004C264D" w:rsidRPr="00A32ADA">
              <w:rPr>
                <w:rFonts w:asciiTheme="majorHAnsi" w:hAnsiTheme="majorHAnsi"/>
                <w:noProof/>
                <w:webHidden/>
              </w:rPr>
              <w:fldChar w:fldCharType="separate"/>
            </w:r>
            <w:r w:rsidR="00AC51AA">
              <w:rPr>
                <w:rFonts w:asciiTheme="majorHAnsi" w:hAnsiTheme="majorHAnsi"/>
                <w:noProof/>
                <w:webHidden/>
              </w:rPr>
              <w:t>1</w:t>
            </w:r>
            <w:r w:rsidR="004C264D" w:rsidRPr="00A32ADA">
              <w:rPr>
                <w:rFonts w:asciiTheme="majorHAnsi" w:hAnsiTheme="majorHAnsi"/>
                <w:noProof/>
                <w:webHidden/>
              </w:rPr>
              <w:fldChar w:fldCharType="end"/>
            </w:r>
          </w:hyperlink>
          <w:r w:rsidR="004C264D" w:rsidRPr="00A32ADA">
            <w:rPr>
              <w:rFonts w:asciiTheme="majorHAnsi" w:hAnsiTheme="majorHAnsi"/>
            </w:rPr>
            <w:fldChar w:fldCharType="end"/>
          </w:r>
        </w:p>
      </w:sdtContent>
    </w:sdt>
    <w:p w14:paraId="0B0902EC" w14:textId="77777777" w:rsidR="007B0AF3" w:rsidRDefault="007B0AF3" w:rsidP="00F35135">
      <w:pPr>
        <w:pStyle w:val="PolicyHeading2-Accessible"/>
      </w:pPr>
      <w:bookmarkStart w:id="6" w:name="_Toc419889959"/>
      <w:r>
        <w:t>Overview</w:t>
      </w:r>
      <w:bookmarkEnd w:id="6"/>
    </w:p>
    <w:p w14:paraId="73C1D805" w14:textId="4B49D121" w:rsidR="007B0AF3" w:rsidRPr="007B0AF3" w:rsidRDefault="007B0AF3" w:rsidP="00723477">
      <w:pPr>
        <w:pStyle w:val="Policy-BodyText"/>
        <w:ind w:left="1134" w:hanging="567"/>
      </w:pPr>
      <w:r>
        <w:t xml:space="preserve">The </w:t>
      </w:r>
      <w:r w:rsidR="007900B2" w:rsidRPr="006F7C13">
        <w:t>procedure provides guidance on how the internal audit function operates</w:t>
      </w:r>
      <w:r w:rsidR="007900B2">
        <w:t xml:space="preserve"> within the Education Directorate </w:t>
      </w:r>
      <w:r w:rsidR="007900B2" w:rsidRPr="0085275E">
        <w:t>(the Directorate).</w:t>
      </w:r>
    </w:p>
    <w:p w14:paraId="6E89322C" w14:textId="77777777" w:rsidR="007B0AF3" w:rsidRDefault="007B0AF3" w:rsidP="00F35135">
      <w:pPr>
        <w:pStyle w:val="PolicyHeading2-Accessible"/>
      </w:pPr>
      <w:bookmarkStart w:id="7" w:name="_Toc419889960"/>
      <w:r>
        <w:t>Rationale</w:t>
      </w:r>
      <w:bookmarkEnd w:id="7"/>
    </w:p>
    <w:p w14:paraId="799635FA" w14:textId="199BF112" w:rsidR="00723477" w:rsidRPr="005C7F8F" w:rsidRDefault="00723477" w:rsidP="00723477">
      <w:pPr>
        <w:pStyle w:val="Policy-BodyText"/>
        <w:ind w:left="1134" w:hanging="567"/>
        <w:rPr>
          <w:i/>
          <w:iCs/>
        </w:rPr>
      </w:pPr>
      <w:r w:rsidRPr="00723477">
        <w:t xml:space="preserve">This procedure is established to guide the internal audit activity within the Directorate, in accordance with </w:t>
      </w:r>
      <w:r w:rsidRPr="008E6990">
        <w:t xml:space="preserve">Standard 2040 </w:t>
      </w:r>
      <w:r w:rsidR="0093471B">
        <w:t>(</w:t>
      </w:r>
      <w:r w:rsidRPr="008E6990">
        <w:t>Policies and Procedures</w:t>
      </w:r>
      <w:r w:rsidR="0093471B">
        <w:t>)</w:t>
      </w:r>
      <w:r w:rsidRPr="005C7F8F">
        <w:rPr>
          <w:i/>
          <w:iCs/>
        </w:rPr>
        <w:t xml:space="preserve"> of the International Standards for the Professional Practice of Internal Auditing. </w:t>
      </w:r>
    </w:p>
    <w:p w14:paraId="3936D646" w14:textId="2509C39B" w:rsidR="007B0AF3" w:rsidRDefault="007B0AF3" w:rsidP="00F35135">
      <w:pPr>
        <w:pStyle w:val="PolicyHeading2-Accessible"/>
      </w:pPr>
      <w:bookmarkStart w:id="8" w:name="_Toc419889961"/>
      <w:r w:rsidRPr="00F35135">
        <w:t>Procedures</w:t>
      </w:r>
      <w:bookmarkEnd w:id="8"/>
    </w:p>
    <w:p w14:paraId="66B16001" w14:textId="16285D86" w:rsidR="005C7F8F" w:rsidRPr="005C7F8F" w:rsidRDefault="005C7F8F" w:rsidP="005C7F8F">
      <w:pPr>
        <w:pStyle w:val="Policy-BodyText"/>
        <w:numPr>
          <w:ilvl w:val="0"/>
          <w:numId w:val="0"/>
        </w:numPr>
        <w:ind w:firstLine="567"/>
        <w:rPr>
          <w:b/>
          <w:bCs/>
        </w:rPr>
      </w:pPr>
      <w:r w:rsidRPr="005C7F8F">
        <w:rPr>
          <w:b/>
          <w:bCs/>
        </w:rPr>
        <w:t xml:space="preserve">Annual </w:t>
      </w:r>
      <w:r w:rsidR="00ED1F48">
        <w:rPr>
          <w:b/>
          <w:bCs/>
        </w:rPr>
        <w:t>Audit and Assurance</w:t>
      </w:r>
      <w:r w:rsidRPr="005C7F8F">
        <w:rPr>
          <w:b/>
          <w:bCs/>
        </w:rPr>
        <w:t xml:space="preserve"> Program</w:t>
      </w:r>
    </w:p>
    <w:p w14:paraId="20935E18" w14:textId="795447B1" w:rsidR="00A37B15" w:rsidRDefault="00D42B3F" w:rsidP="00A37B15">
      <w:pPr>
        <w:pStyle w:val="Policy-BodyText"/>
        <w:ind w:left="1134" w:hanging="567"/>
      </w:pPr>
      <w:r w:rsidRPr="00374791">
        <w:t>The Chief Internal Auditor</w:t>
      </w:r>
      <w:r w:rsidR="00A37B15" w:rsidRPr="00374791">
        <w:t xml:space="preserve"> </w:t>
      </w:r>
      <w:r w:rsidR="0042372D">
        <w:t>prepares an Annual Audit &amp; Assurance Program to be presented to the Director-General for approval and to the Audit Committee for endorsement.</w:t>
      </w:r>
    </w:p>
    <w:p w14:paraId="1D53EF65" w14:textId="42AAE96A" w:rsidR="00EE17FB" w:rsidRPr="00374791" w:rsidRDefault="00EE17FB" w:rsidP="00A37B15">
      <w:pPr>
        <w:pStyle w:val="Policy-BodyText"/>
        <w:ind w:left="1134" w:hanging="567"/>
      </w:pPr>
      <w:r>
        <w:t>The Annual Audit &amp; Assurance Program will be reviewed</w:t>
      </w:r>
      <w:r w:rsidR="00FA5F7E">
        <w:t xml:space="preserve"> and may be </w:t>
      </w:r>
      <w:r>
        <w:t xml:space="preserve">adjusted </w:t>
      </w:r>
      <w:r w:rsidR="00BA1262">
        <w:t xml:space="preserve">on a six-monthly basis to ensure continual alignment to the Directorate’s strategic </w:t>
      </w:r>
      <w:r w:rsidR="00A61D9A">
        <w:t>goals</w:t>
      </w:r>
      <w:r w:rsidR="00BA1262">
        <w:t xml:space="preserve"> in consideration of changes to </w:t>
      </w:r>
      <w:r w:rsidR="008E6990">
        <w:t>the</w:t>
      </w:r>
      <w:r w:rsidR="00BA1262">
        <w:t xml:space="preserve"> risk profile and management priorities. </w:t>
      </w:r>
      <w:r w:rsidR="00FA5F7E">
        <w:t>Any</w:t>
      </w:r>
      <w:r w:rsidR="00A61D9A">
        <w:t xml:space="preserve"> outcomes of this review are subject to the Director-General’s approval and Audit Committee </w:t>
      </w:r>
      <w:r w:rsidR="00717B58">
        <w:t>Chair</w:t>
      </w:r>
      <w:r w:rsidR="00A61D9A">
        <w:t xml:space="preserve"> endorsement.</w:t>
      </w:r>
    </w:p>
    <w:p w14:paraId="508D927D" w14:textId="734447B3" w:rsidR="00A37B15" w:rsidRDefault="00A37B15" w:rsidP="00A37B15">
      <w:pPr>
        <w:pStyle w:val="Policy-BodyText"/>
        <w:ind w:left="1134" w:hanging="567"/>
      </w:pPr>
      <w:r w:rsidRPr="00374791">
        <w:t xml:space="preserve">In accordance with the </w:t>
      </w:r>
      <w:r w:rsidRPr="004F6605">
        <w:rPr>
          <w:i/>
          <w:iCs/>
        </w:rPr>
        <w:t>Public Sector Internal Audit Better Practice Guide</w:t>
      </w:r>
      <w:r w:rsidRPr="00374791">
        <w:t xml:space="preserve"> (Australian National Audit Office</w:t>
      </w:r>
      <w:r w:rsidR="00FC7CBF">
        <w:t xml:space="preserve"> (2021)</w:t>
      </w:r>
      <w:r w:rsidRPr="00374791">
        <w:t xml:space="preserve">) and </w:t>
      </w:r>
      <w:r w:rsidR="00254498" w:rsidRPr="003C7740">
        <w:rPr>
          <w:i/>
          <w:iCs/>
        </w:rPr>
        <w:t>Effective Internal Audit</w:t>
      </w:r>
      <w:r w:rsidR="002C672A" w:rsidRPr="003C7740">
        <w:rPr>
          <w:i/>
          <w:iCs/>
        </w:rPr>
        <w:t xml:space="preserve">ing in the Public Sector </w:t>
      </w:r>
      <w:r w:rsidR="009C4AE3" w:rsidRPr="003C7740">
        <w:rPr>
          <w:i/>
          <w:iCs/>
        </w:rPr>
        <w:t>– a Good Practice Guide</w:t>
      </w:r>
      <w:r w:rsidR="009C4AE3">
        <w:t xml:space="preserve"> </w:t>
      </w:r>
      <w:r w:rsidRPr="00374791">
        <w:t>(issued by the Institute of Internal Auditors</w:t>
      </w:r>
      <w:r w:rsidR="00CF279F">
        <w:t xml:space="preserve"> (March 202</w:t>
      </w:r>
      <w:r w:rsidR="003B4B41">
        <w:t>0</w:t>
      </w:r>
      <w:r w:rsidR="00CF279F">
        <w:t>)</w:t>
      </w:r>
      <w:r w:rsidRPr="00374791">
        <w:t xml:space="preserve">), the following approach </w:t>
      </w:r>
      <w:r>
        <w:t xml:space="preserve">will be used </w:t>
      </w:r>
      <w:r w:rsidRPr="00374791">
        <w:t>to</w:t>
      </w:r>
      <w:r w:rsidR="009E67DB">
        <w:t xml:space="preserve"> help guide the</w:t>
      </w:r>
      <w:r w:rsidRPr="00374791">
        <w:t xml:space="preserve"> develop</w:t>
      </w:r>
      <w:r w:rsidR="009E67DB">
        <w:t>ment of</w:t>
      </w:r>
      <w:r w:rsidRPr="00374791">
        <w:t xml:space="preserve"> the plan:</w:t>
      </w:r>
    </w:p>
    <w:p w14:paraId="60808802" w14:textId="01CD72B8" w:rsidR="0074130E" w:rsidRDefault="00A37B15" w:rsidP="00716A0E">
      <w:pPr>
        <w:pStyle w:val="Bulletpointslevel3"/>
      </w:pPr>
      <w:r w:rsidRPr="00A37B15">
        <w:t>Consultation with</w:t>
      </w:r>
      <w:r w:rsidR="00344E97">
        <w:t xml:space="preserve"> all members of</w:t>
      </w:r>
      <w:r w:rsidRPr="00A37B15">
        <w:t xml:space="preserve"> </w:t>
      </w:r>
      <w:r w:rsidR="00344E97">
        <w:t xml:space="preserve">CORPEX, the Executive Governance Committee (EGC), </w:t>
      </w:r>
      <w:r w:rsidRPr="00A37B15">
        <w:t>the</w:t>
      </w:r>
      <w:r w:rsidR="00FB3CEF">
        <w:t xml:space="preserve"> Director-General</w:t>
      </w:r>
      <w:r w:rsidR="001C0176">
        <w:t xml:space="preserve"> and </w:t>
      </w:r>
      <w:r w:rsidR="00FB3CEF">
        <w:t>Audit Committee</w:t>
      </w:r>
      <w:r w:rsidR="00344E97">
        <w:t xml:space="preserve"> </w:t>
      </w:r>
      <w:r w:rsidRPr="00A37B15">
        <w:t xml:space="preserve">to identify areas of </w:t>
      </w:r>
      <w:r w:rsidR="003A53EB">
        <w:t xml:space="preserve">risk </w:t>
      </w:r>
      <w:r w:rsidRPr="00A37B15">
        <w:t>or concern;</w:t>
      </w:r>
    </w:p>
    <w:p w14:paraId="32F236CB" w14:textId="51C2425D" w:rsidR="00C00130" w:rsidRPr="00C00130" w:rsidRDefault="00C00130" w:rsidP="00716A0E">
      <w:pPr>
        <w:pStyle w:val="Bulletpointslevel3"/>
      </w:pPr>
      <w:r w:rsidRPr="00C00130">
        <w:t>Review</w:t>
      </w:r>
      <w:r w:rsidR="001360F4">
        <w:t>ing</w:t>
      </w:r>
      <w:r w:rsidRPr="00C00130">
        <w:t xml:space="preserve"> the Directorate’s Strategic Risk Register</w:t>
      </w:r>
      <w:r w:rsidR="00A14613">
        <w:t xml:space="preserve"> and associated controls</w:t>
      </w:r>
      <w:r w:rsidRPr="00C00130">
        <w:t xml:space="preserve"> to identify areas of importance and risk to the Directorate and/or where the potential for loss or failure is greatest; </w:t>
      </w:r>
    </w:p>
    <w:p w14:paraId="112CDBDF" w14:textId="583277F5" w:rsidR="00C00130" w:rsidRPr="00C00130" w:rsidRDefault="00C00130" w:rsidP="002E7138">
      <w:pPr>
        <w:pStyle w:val="Bulletpointslevel3"/>
      </w:pPr>
      <w:r w:rsidRPr="00C00130">
        <w:lastRenderedPageBreak/>
        <w:t>Review</w:t>
      </w:r>
      <w:r w:rsidR="004E3DCD">
        <w:t>ing</w:t>
      </w:r>
      <w:r w:rsidRPr="00C00130">
        <w:t xml:space="preserve"> the Directorate’s Strategic Plan to ensure the </w:t>
      </w:r>
      <w:r w:rsidR="00A03A66">
        <w:t xml:space="preserve">Audit and Assurance Program </w:t>
      </w:r>
      <w:r w:rsidRPr="00C00130">
        <w:t xml:space="preserve">aligns </w:t>
      </w:r>
      <w:r w:rsidR="00A03A66">
        <w:t>with and responds to</w:t>
      </w:r>
      <w:r w:rsidRPr="00C00130">
        <w:t xml:space="preserve"> the Directorate’s strategic directions and objectives; </w:t>
      </w:r>
    </w:p>
    <w:p w14:paraId="00FBBBFE" w14:textId="0D04CD1A" w:rsidR="00C00130" w:rsidRPr="00C00130" w:rsidRDefault="00C00130" w:rsidP="002E7138">
      <w:pPr>
        <w:pStyle w:val="Bulletpointslevel3"/>
      </w:pPr>
      <w:r w:rsidRPr="00C00130">
        <w:t>Mapping the Directorate’s assurance coverage by reviewing internal and external audit activities over three years</w:t>
      </w:r>
      <w:r w:rsidR="00D12391">
        <w:t xml:space="preserve"> </w:t>
      </w:r>
      <w:r w:rsidR="00C430CE">
        <w:t xml:space="preserve">and </w:t>
      </w:r>
      <w:r w:rsidR="00D12391">
        <w:t xml:space="preserve">the </w:t>
      </w:r>
      <w:r w:rsidR="00991A11">
        <w:t xml:space="preserve">Directorate’s </w:t>
      </w:r>
      <w:r w:rsidR="004C5976">
        <w:t>Assurance Map</w:t>
      </w:r>
      <w:r w:rsidRPr="00C00130">
        <w:t xml:space="preserve"> to identify </w:t>
      </w:r>
      <w:r w:rsidR="00186AE4">
        <w:t xml:space="preserve">and respond to </w:t>
      </w:r>
      <w:r w:rsidRPr="00C00130">
        <w:t xml:space="preserve">gaps in assurance coverage; and </w:t>
      </w:r>
    </w:p>
    <w:p w14:paraId="54679D0E" w14:textId="583B61BF" w:rsidR="00C00130" w:rsidRDefault="00C00130" w:rsidP="002E7138">
      <w:pPr>
        <w:pStyle w:val="Bulletpointslevel3"/>
      </w:pPr>
      <w:r w:rsidRPr="00C00130">
        <w:t>Review</w:t>
      </w:r>
      <w:r w:rsidR="00C430CE">
        <w:t>ing</w:t>
      </w:r>
      <w:r w:rsidRPr="00C00130">
        <w:t xml:space="preserve"> the ACT Audit Office’s Performance Audit Program and Potential Audits and other relevant publications</w:t>
      </w:r>
      <w:r w:rsidR="00C430CE">
        <w:t xml:space="preserve"> (such as </w:t>
      </w:r>
      <w:r w:rsidR="003C45FA">
        <w:t xml:space="preserve">the </w:t>
      </w:r>
      <w:r w:rsidR="002E7138">
        <w:t>ACT Audit Office</w:t>
      </w:r>
      <w:r w:rsidR="003C45FA">
        <w:t xml:space="preserve"> Insights Publications)</w:t>
      </w:r>
      <w:r w:rsidRPr="00C00130">
        <w:t xml:space="preserve">, to ensure that potential duplication and gaps in overall audit coverage are known, and to identify </w:t>
      </w:r>
      <w:r w:rsidR="004819A3">
        <w:t xml:space="preserve">potential </w:t>
      </w:r>
      <w:r w:rsidRPr="00C00130">
        <w:t xml:space="preserve">opportunities for the </w:t>
      </w:r>
      <w:r w:rsidR="00750DF6">
        <w:t xml:space="preserve">ACT Audit Office </w:t>
      </w:r>
      <w:r w:rsidRPr="00C00130">
        <w:t>to rely on the work of</w:t>
      </w:r>
      <w:r w:rsidR="004819A3">
        <w:t xml:space="preserve"> the</w:t>
      </w:r>
      <w:r w:rsidRPr="00C00130">
        <w:t xml:space="preserve"> internal audit</w:t>
      </w:r>
      <w:r w:rsidR="004819A3">
        <w:t xml:space="preserve"> function.</w:t>
      </w:r>
    </w:p>
    <w:p w14:paraId="008F3F6D" w14:textId="32966B44" w:rsidR="00D14026" w:rsidRDefault="00D14026" w:rsidP="00D14026">
      <w:pPr>
        <w:pStyle w:val="PolicySubHeading3-Accessible"/>
        <w:spacing w:after="240" w:line="240" w:lineRule="auto"/>
        <w:ind w:left="567"/>
        <w:jc w:val="both"/>
      </w:pPr>
      <w:r>
        <w:t xml:space="preserve">           </w:t>
      </w:r>
      <w:bookmarkStart w:id="9" w:name="_Toc22886853"/>
      <w:r>
        <w:t>Resourcing, Conflict of Interest and Confidentiality</w:t>
      </w:r>
      <w:bookmarkEnd w:id="9"/>
    </w:p>
    <w:p w14:paraId="77277C16" w14:textId="2C69336E" w:rsidR="00D14026" w:rsidRPr="00D14026" w:rsidRDefault="00412B3D" w:rsidP="002A2FCE">
      <w:pPr>
        <w:numPr>
          <w:ilvl w:val="1"/>
          <w:numId w:val="3"/>
        </w:numPr>
        <w:spacing w:after="240"/>
        <w:ind w:left="1134" w:hanging="567"/>
        <w:jc w:val="both"/>
        <w:rPr>
          <w:rFonts w:ascii="Calibri" w:hAnsi="Calibri"/>
        </w:rPr>
      </w:pPr>
      <w:r>
        <w:rPr>
          <w:rFonts w:ascii="Calibri" w:hAnsi="Calibri"/>
        </w:rPr>
        <w:t>Internal</w:t>
      </w:r>
      <w:r w:rsidR="00D14026" w:rsidRPr="00D14026">
        <w:rPr>
          <w:rFonts w:ascii="Calibri" w:hAnsi="Calibri"/>
        </w:rPr>
        <w:t xml:space="preserve"> audit </w:t>
      </w:r>
      <w:r w:rsidR="00D52052">
        <w:rPr>
          <w:rFonts w:ascii="Calibri" w:hAnsi="Calibri"/>
        </w:rPr>
        <w:t>activities are</w:t>
      </w:r>
      <w:r w:rsidR="00D14026" w:rsidRPr="00D14026">
        <w:rPr>
          <w:rFonts w:ascii="Calibri" w:hAnsi="Calibri"/>
        </w:rPr>
        <w:t xml:space="preserve"> </w:t>
      </w:r>
      <w:r w:rsidR="008E7560">
        <w:rPr>
          <w:rFonts w:ascii="Calibri" w:hAnsi="Calibri"/>
        </w:rPr>
        <w:t xml:space="preserve">predominately </w:t>
      </w:r>
      <w:r w:rsidR="00D14026" w:rsidRPr="00D14026">
        <w:rPr>
          <w:rFonts w:ascii="Calibri" w:hAnsi="Calibri"/>
        </w:rPr>
        <w:t>undertaken by outsourced internal audit service providers.</w:t>
      </w:r>
    </w:p>
    <w:p w14:paraId="4FCFE342" w14:textId="07563E27" w:rsidR="0069128C" w:rsidRPr="00D14026" w:rsidRDefault="0069128C" w:rsidP="002A2FCE">
      <w:pPr>
        <w:numPr>
          <w:ilvl w:val="1"/>
          <w:numId w:val="3"/>
        </w:numPr>
        <w:spacing w:after="240"/>
        <w:ind w:left="1134" w:hanging="567"/>
        <w:jc w:val="both"/>
        <w:rPr>
          <w:rFonts w:ascii="Calibri" w:hAnsi="Calibri"/>
        </w:rPr>
      </w:pPr>
      <w:r w:rsidRPr="00D14026">
        <w:rPr>
          <w:rFonts w:ascii="Calibri" w:hAnsi="Calibri"/>
        </w:rPr>
        <w:t xml:space="preserve">Based on the audit scope, focus and objectives, the skill set necessary to complete the internal audit and the budget available for the audit, a suitable Internal Audit Service Provider is selected from the Whole of Government </w:t>
      </w:r>
      <w:r w:rsidR="00D0606A">
        <w:rPr>
          <w:rFonts w:ascii="Calibri" w:hAnsi="Calibri"/>
        </w:rPr>
        <w:t>panel arrangements</w:t>
      </w:r>
      <w:r w:rsidR="00D0606A" w:rsidRPr="00D14026">
        <w:rPr>
          <w:rFonts w:ascii="Calibri" w:hAnsi="Calibri"/>
        </w:rPr>
        <w:t xml:space="preserve"> </w:t>
      </w:r>
      <w:r w:rsidRPr="00D14026">
        <w:rPr>
          <w:rFonts w:ascii="Calibri" w:hAnsi="Calibri"/>
        </w:rPr>
        <w:t xml:space="preserve">– </w:t>
      </w:r>
      <w:r w:rsidR="00D0606A">
        <w:rPr>
          <w:rFonts w:ascii="Calibri" w:hAnsi="Calibri"/>
        </w:rPr>
        <w:t xml:space="preserve">Professional and </w:t>
      </w:r>
      <w:r w:rsidR="0008782A">
        <w:rPr>
          <w:rFonts w:ascii="Calibri" w:hAnsi="Calibri"/>
        </w:rPr>
        <w:t>C</w:t>
      </w:r>
      <w:r w:rsidR="00D0606A">
        <w:rPr>
          <w:rFonts w:ascii="Calibri" w:hAnsi="Calibri"/>
        </w:rPr>
        <w:t xml:space="preserve">onsulting </w:t>
      </w:r>
      <w:r w:rsidR="0008782A">
        <w:rPr>
          <w:rFonts w:ascii="Calibri" w:hAnsi="Calibri"/>
        </w:rPr>
        <w:t>S</w:t>
      </w:r>
      <w:r w:rsidR="00D0606A">
        <w:rPr>
          <w:rFonts w:ascii="Calibri" w:hAnsi="Calibri"/>
        </w:rPr>
        <w:t>ervices</w:t>
      </w:r>
      <w:r w:rsidR="00A22975">
        <w:rPr>
          <w:rFonts w:ascii="Calibri" w:hAnsi="Calibri"/>
        </w:rPr>
        <w:t xml:space="preserve"> Panel</w:t>
      </w:r>
      <w:r w:rsidR="005179D6">
        <w:rPr>
          <w:rFonts w:ascii="Calibri" w:hAnsi="Calibri"/>
        </w:rPr>
        <w:t>,</w:t>
      </w:r>
      <w:r w:rsidR="00A22975">
        <w:rPr>
          <w:rFonts w:ascii="Calibri" w:hAnsi="Calibri"/>
        </w:rPr>
        <w:t xml:space="preserve"> Risk &amp; Audit</w:t>
      </w:r>
      <w:r w:rsidR="005179D6">
        <w:rPr>
          <w:rFonts w:ascii="Calibri" w:hAnsi="Calibri"/>
        </w:rPr>
        <w:t xml:space="preserve"> </w:t>
      </w:r>
      <w:r w:rsidRPr="00D14026">
        <w:rPr>
          <w:rFonts w:ascii="Calibri" w:hAnsi="Calibri"/>
        </w:rPr>
        <w:t xml:space="preserve">in accordance with the relevant procurement guidelines. </w:t>
      </w:r>
      <w:r w:rsidR="0079568F">
        <w:rPr>
          <w:rFonts w:ascii="Calibri" w:hAnsi="Calibri"/>
        </w:rPr>
        <w:t xml:space="preserve">A multi-year agreement with one service provider will be considered as an option </w:t>
      </w:r>
      <w:r w:rsidR="00931F32">
        <w:rPr>
          <w:rFonts w:ascii="Calibri" w:hAnsi="Calibri"/>
        </w:rPr>
        <w:t xml:space="preserve">ahead of </w:t>
      </w:r>
      <w:r w:rsidR="0079568F">
        <w:rPr>
          <w:rFonts w:ascii="Calibri" w:hAnsi="Calibri"/>
        </w:rPr>
        <w:t xml:space="preserve">the </w:t>
      </w:r>
      <w:r w:rsidR="00A57A98">
        <w:rPr>
          <w:rFonts w:ascii="Calibri" w:hAnsi="Calibri"/>
        </w:rPr>
        <w:t xml:space="preserve">commencement of the </w:t>
      </w:r>
      <w:r w:rsidR="0079568F">
        <w:rPr>
          <w:rFonts w:ascii="Calibri" w:hAnsi="Calibri"/>
        </w:rPr>
        <w:t>2024-25 Audit and Assurance Program.</w:t>
      </w:r>
      <w:r w:rsidRPr="00D14026">
        <w:rPr>
          <w:rFonts w:ascii="Calibri" w:hAnsi="Calibri"/>
        </w:rPr>
        <w:t xml:space="preserve">  </w:t>
      </w:r>
    </w:p>
    <w:p w14:paraId="0A25C19E" w14:textId="1FA81810" w:rsidR="00CE2909" w:rsidRPr="00D14026" w:rsidRDefault="00CE2909" w:rsidP="002A2FCE">
      <w:pPr>
        <w:numPr>
          <w:ilvl w:val="1"/>
          <w:numId w:val="3"/>
        </w:numPr>
        <w:spacing w:after="240"/>
        <w:ind w:left="1134" w:hanging="567"/>
        <w:jc w:val="both"/>
        <w:rPr>
          <w:rFonts w:ascii="Calibri" w:hAnsi="Calibri"/>
        </w:rPr>
      </w:pPr>
      <w:r w:rsidRPr="00D14026">
        <w:rPr>
          <w:rFonts w:ascii="Calibri" w:hAnsi="Calibri"/>
        </w:rPr>
        <w:t>Prior to</w:t>
      </w:r>
      <w:r w:rsidR="006A3ECC">
        <w:rPr>
          <w:rFonts w:ascii="Calibri" w:hAnsi="Calibri"/>
        </w:rPr>
        <w:t xml:space="preserve"> </w:t>
      </w:r>
      <w:r w:rsidR="0063377A">
        <w:rPr>
          <w:rFonts w:ascii="Calibri" w:hAnsi="Calibri"/>
        </w:rPr>
        <w:t>each audit starting</w:t>
      </w:r>
      <w:r w:rsidRPr="00D14026">
        <w:rPr>
          <w:rFonts w:ascii="Calibri" w:hAnsi="Calibri"/>
        </w:rPr>
        <w:t xml:space="preserve">, the </w:t>
      </w:r>
      <w:r w:rsidR="0040345B">
        <w:rPr>
          <w:rFonts w:ascii="Calibri" w:hAnsi="Calibri"/>
        </w:rPr>
        <w:t>Chief Internal Auditor will agree a budgeted hours and price</w:t>
      </w:r>
      <w:r w:rsidR="00916524">
        <w:rPr>
          <w:rFonts w:ascii="Calibri" w:hAnsi="Calibri"/>
        </w:rPr>
        <w:t>. Any proposed v</w:t>
      </w:r>
      <w:r w:rsidRPr="00D14026">
        <w:rPr>
          <w:rFonts w:ascii="Calibri" w:hAnsi="Calibri"/>
        </w:rPr>
        <w:t xml:space="preserve">ariations to the budgeted hours or price must be requested in writing and negotiated with the Chief Internal Auditor as soon as possible and before the budgeted hours are exceeded. The Chief Internal Auditor may authorise or reject any variation at </w:t>
      </w:r>
      <w:r w:rsidR="007625AA">
        <w:rPr>
          <w:rFonts w:ascii="Calibri" w:hAnsi="Calibri"/>
        </w:rPr>
        <w:t>their</w:t>
      </w:r>
      <w:r w:rsidRPr="00D14026">
        <w:rPr>
          <w:rFonts w:ascii="Calibri" w:hAnsi="Calibri"/>
        </w:rPr>
        <w:t xml:space="preserve"> discretion. </w:t>
      </w:r>
    </w:p>
    <w:p w14:paraId="2DD28B0B" w14:textId="164579EA" w:rsidR="004865ED" w:rsidRPr="00D14026" w:rsidRDefault="004865ED" w:rsidP="002A2FCE">
      <w:pPr>
        <w:numPr>
          <w:ilvl w:val="1"/>
          <w:numId w:val="3"/>
        </w:numPr>
        <w:spacing w:after="240"/>
        <w:ind w:left="1134" w:hanging="567"/>
        <w:jc w:val="both"/>
        <w:rPr>
          <w:rFonts w:ascii="Calibri" w:hAnsi="Calibri"/>
        </w:rPr>
      </w:pPr>
      <w:r w:rsidRPr="00D14026">
        <w:rPr>
          <w:rFonts w:ascii="Calibri" w:hAnsi="Calibri"/>
        </w:rPr>
        <w:t xml:space="preserve">Outsourced service providers </w:t>
      </w:r>
      <w:r w:rsidR="003C7F0E">
        <w:rPr>
          <w:rFonts w:ascii="Calibri" w:hAnsi="Calibri"/>
        </w:rPr>
        <w:t xml:space="preserve">must </w:t>
      </w:r>
      <w:r w:rsidRPr="00D14026">
        <w:rPr>
          <w:rFonts w:ascii="Calibri" w:hAnsi="Calibri"/>
        </w:rPr>
        <w:t xml:space="preserve">demonstrate their professional competence through relevant </w:t>
      </w:r>
      <w:r w:rsidR="002C47BD">
        <w:rPr>
          <w:rFonts w:ascii="Calibri" w:hAnsi="Calibri"/>
        </w:rPr>
        <w:t xml:space="preserve">professional </w:t>
      </w:r>
      <w:r w:rsidRPr="00D14026">
        <w:rPr>
          <w:rFonts w:ascii="Calibri" w:hAnsi="Calibri"/>
        </w:rPr>
        <w:t>experience and appropriate professional certifications and qualifications</w:t>
      </w:r>
      <w:r w:rsidR="00792E19">
        <w:rPr>
          <w:rFonts w:ascii="Calibri" w:hAnsi="Calibri"/>
        </w:rPr>
        <w:t xml:space="preserve"> (</w:t>
      </w:r>
      <w:r w:rsidRPr="00D14026">
        <w:rPr>
          <w:rFonts w:ascii="Calibri" w:hAnsi="Calibri"/>
        </w:rPr>
        <w:t>such as</w:t>
      </w:r>
      <w:r w:rsidR="00792E19">
        <w:rPr>
          <w:rFonts w:ascii="Calibri" w:hAnsi="Calibri"/>
        </w:rPr>
        <w:t>, but not limited to,</w:t>
      </w:r>
      <w:r w:rsidRPr="00D14026">
        <w:rPr>
          <w:rFonts w:ascii="Calibri" w:hAnsi="Calibri"/>
        </w:rPr>
        <w:t xml:space="preserve"> the Certified Internal Auditor designation and</w:t>
      </w:r>
      <w:r w:rsidR="00792E19">
        <w:rPr>
          <w:rFonts w:ascii="Calibri" w:hAnsi="Calibri"/>
        </w:rPr>
        <w:t>/or</w:t>
      </w:r>
      <w:r w:rsidRPr="00D14026">
        <w:rPr>
          <w:rFonts w:ascii="Calibri" w:hAnsi="Calibri"/>
        </w:rPr>
        <w:t xml:space="preserve"> other designations offered by the Institute of Internal Auditors and other appropriate professional organisations</w:t>
      </w:r>
      <w:r w:rsidR="00792E19">
        <w:rPr>
          <w:rFonts w:ascii="Calibri" w:hAnsi="Calibri"/>
        </w:rPr>
        <w:t>)</w:t>
      </w:r>
      <w:r w:rsidRPr="00D14026">
        <w:rPr>
          <w:rFonts w:ascii="Calibri" w:hAnsi="Calibri"/>
        </w:rPr>
        <w:t xml:space="preserve">. The providers are responsible for the provision of suitably qualified audit staff and their professional conduct. Before the commencement of the engagement, the providers must detail all </w:t>
      </w:r>
      <w:r w:rsidR="00ED5E42">
        <w:rPr>
          <w:rFonts w:ascii="Calibri" w:hAnsi="Calibri"/>
        </w:rPr>
        <w:t xml:space="preserve">proposed </w:t>
      </w:r>
      <w:r w:rsidRPr="00D14026">
        <w:rPr>
          <w:rFonts w:ascii="Calibri" w:hAnsi="Calibri"/>
        </w:rPr>
        <w:t>staff</w:t>
      </w:r>
      <w:r w:rsidR="00ED5E42">
        <w:rPr>
          <w:rFonts w:ascii="Calibri" w:hAnsi="Calibri"/>
        </w:rPr>
        <w:t xml:space="preserve"> for approval </w:t>
      </w:r>
      <w:r w:rsidRPr="00D14026">
        <w:rPr>
          <w:rFonts w:ascii="Calibri" w:hAnsi="Calibri"/>
        </w:rPr>
        <w:t xml:space="preserve">by the Chief Internal Auditor. </w:t>
      </w:r>
    </w:p>
    <w:p w14:paraId="7B2C5C58" w14:textId="5749CE85" w:rsidR="004865ED" w:rsidRPr="00D14026" w:rsidRDefault="004865ED" w:rsidP="002A2FCE">
      <w:pPr>
        <w:numPr>
          <w:ilvl w:val="1"/>
          <w:numId w:val="3"/>
        </w:numPr>
        <w:spacing w:after="240"/>
        <w:ind w:left="1134" w:hanging="567"/>
        <w:jc w:val="both"/>
        <w:rPr>
          <w:rFonts w:ascii="Calibri" w:hAnsi="Calibri"/>
        </w:rPr>
      </w:pPr>
      <w:r w:rsidRPr="00D14026">
        <w:rPr>
          <w:rFonts w:ascii="Calibri" w:hAnsi="Calibri"/>
        </w:rPr>
        <w:t xml:space="preserve">The outsourced service provider is to provide an undertaking at the commencement of the contractual period that no </w:t>
      </w:r>
      <w:r w:rsidR="00E40C11">
        <w:rPr>
          <w:rFonts w:ascii="Calibri" w:hAnsi="Calibri"/>
        </w:rPr>
        <w:t xml:space="preserve">actual or perceived </w:t>
      </w:r>
      <w:r w:rsidRPr="00D14026">
        <w:rPr>
          <w:rFonts w:ascii="Calibri" w:hAnsi="Calibri"/>
        </w:rPr>
        <w:t xml:space="preserve">conflict of interest exists, or is likely to occur, in relation to the audit services to be provided. If at a later stage, audit staff from the outsourced service provider become aware of a situation in which a conflict of interest or bias is present or may reasonably be inferred, they must immediately advise the Chief Internal Auditor, and apply mitigation strategies in consultation with the Chief Internal Auditor. </w:t>
      </w:r>
    </w:p>
    <w:p w14:paraId="789FC20B" w14:textId="5E0F444D" w:rsidR="0069128C" w:rsidRPr="00D14026" w:rsidRDefault="00204458" w:rsidP="002A2FCE">
      <w:pPr>
        <w:numPr>
          <w:ilvl w:val="1"/>
          <w:numId w:val="3"/>
        </w:numPr>
        <w:spacing w:after="240"/>
        <w:ind w:left="1134" w:hanging="567"/>
        <w:jc w:val="both"/>
        <w:rPr>
          <w:rFonts w:ascii="Calibri" w:hAnsi="Calibri"/>
        </w:rPr>
      </w:pPr>
      <w:r w:rsidRPr="00D14026">
        <w:rPr>
          <w:rFonts w:ascii="Calibri" w:hAnsi="Calibri"/>
        </w:rPr>
        <w:t xml:space="preserve">The outsourced service provider is to provide a deed of confidentiality at the commencement of the contractual period that they are responsible and accountable for </w:t>
      </w:r>
      <w:r w:rsidRPr="00D14026">
        <w:rPr>
          <w:rFonts w:ascii="Calibri" w:hAnsi="Calibri"/>
        </w:rPr>
        <w:lastRenderedPageBreak/>
        <w:t>maintaining the confidentiality of the information they access during the course of their work</w:t>
      </w:r>
      <w:r w:rsidR="00EA72E0">
        <w:rPr>
          <w:rFonts w:ascii="Calibri" w:hAnsi="Calibri"/>
        </w:rPr>
        <w:t>.</w:t>
      </w:r>
    </w:p>
    <w:p w14:paraId="06F0E06C" w14:textId="0346FFE2" w:rsidR="00204458" w:rsidRPr="00D14026" w:rsidRDefault="00204458" w:rsidP="002A2FCE">
      <w:pPr>
        <w:numPr>
          <w:ilvl w:val="1"/>
          <w:numId w:val="3"/>
        </w:numPr>
        <w:spacing w:after="240"/>
        <w:ind w:left="1134" w:hanging="567"/>
        <w:jc w:val="both"/>
        <w:rPr>
          <w:rFonts w:ascii="Calibri" w:hAnsi="Calibri"/>
        </w:rPr>
      </w:pPr>
      <w:r w:rsidRPr="00D14026">
        <w:rPr>
          <w:rFonts w:ascii="Calibri" w:hAnsi="Calibri"/>
        </w:rPr>
        <w:t xml:space="preserve">Internal auditors and outsourced service providers must suitably </w:t>
      </w:r>
      <w:r w:rsidR="00C13DC6">
        <w:rPr>
          <w:rFonts w:ascii="Calibri" w:hAnsi="Calibri"/>
        </w:rPr>
        <w:t xml:space="preserve">safeguard </w:t>
      </w:r>
      <w:r w:rsidRPr="00D14026">
        <w:rPr>
          <w:rFonts w:ascii="Calibri" w:hAnsi="Calibri"/>
        </w:rPr>
        <w:t xml:space="preserve">all </w:t>
      </w:r>
      <w:r w:rsidR="006A774C">
        <w:rPr>
          <w:rFonts w:ascii="Calibri" w:hAnsi="Calibri"/>
        </w:rPr>
        <w:t xml:space="preserve">Directorate </w:t>
      </w:r>
      <w:r w:rsidRPr="00D14026">
        <w:rPr>
          <w:rFonts w:ascii="Calibri" w:hAnsi="Calibri"/>
        </w:rPr>
        <w:t xml:space="preserve">records, documentation and information from access by unauthorised </w:t>
      </w:r>
      <w:r w:rsidR="00412B3D" w:rsidRPr="00D14026">
        <w:rPr>
          <w:rFonts w:ascii="Calibri" w:hAnsi="Calibri"/>
        </w:rPr>
        <w:t>persons.</w:t>
      </w:r>
    </w:p>
    <w:p w14:paraId="5A4DFEF1" w14:textId="5AFEF623" w:rsidR="00204458" w:rsidRPr="00D14026" w:rsidRDefault="0013288F" w:rsidP="002A2FCE">
      <w:pPr>
        <w:numPr>
          <w:ilvl w:val="1"/>
          <w:numId w:val="3"/>
        </w:numPr>
        <w:spacing w:after="240"/>
        <w:ind w:left="1134" w:hanging="567"/>
        <w:jc w:val="both"/>
        <w:rPr>
          <w:rFonts w:ascii="Calibri" w:hAnsi="Calibri"/>
        </w:rPr>
      </w:pPr>
      <w:r>
        <w:rPr>
          <w:rFonts w:ascii="Calibri" w:hAnsi="Calibri"/>
        </w:rPr>
        <w:t>No audit documentation wil</w:t>
      </w:r>
      <w:r w:rsidR="00354615">
        <w:rPr>
          <w:rFonts w:ascii="Calibri" w:hAnsi="Calibri"/>
        </w:rPr>
        <w:t>l be released to any external part</w:t>
      </w:r>
      <w:r w:rsidR="00F90E0A">
        <w:rPr>
          <w:rFonts w:ascii="Calibri" w:hAnsi="Calibri"/>
        </w:rPr>
        <w:t>ies</w:t>
      </w:r>
      <w:r w:rsidR="006F412A">
        <w:rPr>
          <w:rFonts w:ascii="Calibri" w:hAnsi="Calibri"/>
        </w:rPr>
        <w:t xml:space="preserve"> without the </w:t>
      </w:r>
      <w:r w:rsidR="00204458" w:rsidRPr="00D14026">
        <w:rPr>
          <w:rFonts w:ascii="Calibri" w:hAnsi="Calibri"/>
        </w:rPr>
        <w:t xml:space="preserve">written approval of the </w:t>
      </w:r>
      <w:r w:rsidR="004C6D42">
        <w:rPr>
          <w:rFonts w:ascii="Calibri" w:hAnsi="Calibri"/>
        </w:rPr>
        <w:t xml:space="preserve">Director-General (or </w:t>
      </w:r>
      <w:r w:rsidR="003753DD">
        <w:rPr>
          <w:rFonts w:ascii="Calibri" w:hAnsi="Calibri"/>
        </w:rPr>
        <w:t xml:space="preserve">nominated delegate) </w:t>
      </w:r>
      <w:r w:rsidR="00204458" w:rsidRPr="00D14026">
        <w:rPr>
          <w:rFonts w:ascii="Calibri" w:hAnsi="Calibri"/>
        </w:rPr>
        <w:t>and where necessary the Directorate’s legal counsel</w:t>
      </w:r>
      <w:r w:rsidR="006F412A">
        <w:rPr>
          <w:rFonts w:ascii="Calibri" w:hAnsi="Calibri"/>
        </w:rPr>
        <w:t>.</w:t>
      </w:r>
      <w:r w:rsidR="00204458" w:rsidRPr="00D14026">
        <w:rPr>
          <w:rFonts w:ascii="Calibri" w:hAnsi="Calibri"/>
        </w:rPr>
        <w:t xml:space="preserve"> </w:t>
      </w:r>
    </w:p>
    <w:p w14:paraId="32552AA5" w14:textId="599EE955" w:rsidR="008C3FA1" w:rsidRPr="00405D99" w:rsidRDefault="008C3FA1" w:rsidP="008C3FA1">
      <w:pPr>
        <w:pStyle w:val="PolicySubHeading3-Accessible"/>
        <w:spacing w:after="240" w:line="240" w:lineRule="auto"/>
        <w:jc w:val="both"/>
      </w:pPr>
      <w:bookmarkStart w:id="10" w:name="_Toc22886854"/>
      <w:r w:rsidRPr="00405D99">
        <w:t>An Internal Audit Process – Overview</w:t>
      </w:r>
      <w:bookmarkEnd w:id="10"/>
    </w:p>
    <w:p w14:paraId="61971B4A" w14:textId="3A993A53" w:rsidR="008C3FA1" w:rsidRDefault="008C3FA1" w:rsidP="008C3FA1">
      <w:pPr>
        <w:pStyle w:val="Policy-BodyText"/>
        <w:tabs>
          <w:tab w:val="num" w:pos="567"/>
          <w:tab w:val="left" w:pos="1134"/>
        </w:tabs>
        <w:spacing w:after="240"/>
        <w:ind w:left="0" w:firstLine="567"/>
        <w:jc w:val="both"/>
      </w:pPr>
      <w:r w:rsidRPr="00405D99">
        <w:t xml:space="preserve">An internal audit is conducted as follows: </w:t>
      </w:r>
    </w:p>
    <w:tbl>
      <w:tblPr>
        <w:tblStyle w:val="TableGrid"/>
        <w:tblW w:w="0" w:type="auto"/>
        <w:tblInd w:w="562" w:type="dxa"/>
        <w:shd w:val="clear" w:color="auto" w:fill="F2F2F2" w:themeFill="background1" w:themeFillShade="F2"/>
        <w:tblLook w:val="04A0" w:firstRow="1" w:lastRow="0" w:firstColumn="1" w:lastColumn="0" w:noHBand="0" w:noVBand="1"/>
      </w:tblPr>
      <w:tblGrid>
        <w:gridCol w:w="2084"/>
        <w:gridCol w:w="7090"/>
      </w:tblGrid>
      <w:tr w:rsidR="00966041" w:rsidRPr="00966041" w14:paraId="13DE9882" w14:textId="77777777" w:rsidTr="00AF02A3">
        <w:tc>
          <w:tcPr>
            <w:tcW w:w="1502" w:type="dxa"/>
            <w:shd w:val="clear" w:color="auto" w:fill="F2F2F2" w:themeFill="background1" w:themeFillShade="F2"/>
          </w:tcPr>
          <w:p w14:paraId="24404659" w14:textId="559A565B" w:rsidR="00966041" w:rsidRPr="00AF02A3" w:rsidRDefault="00966041" w:rsidP="00966041">
            <w:pPr>
              <w:pStyle w:val="ListParagraph"/>
              <w:numPr>
                <w:ilvl w:val="0"/>
                <w:numId w:val="35"/>
              </w:numPr>
              <w:spacing w:after="200"/>
              <w:rPr>
                <w:rFonts w:asciiTheme="majorHAnsi" w:hAnsiTheme="majorHAnsi" w:cstheme="majorHAnsi"/>
                <w:i/>
                <w:iCs/>
              </w:rPr>
            </w:pPr>
            <w:r w:rsidRPr="00AF02A3">
              <w:rPr>
                <w:rFonts w:asciiTheme="majorHAnsi" w:hAnsiTheme="majorHAnsi" w:cstheme="majorHAnsi"/>
                <w:i/>
                <w:iCs/>
              </w:rPr>
              <w:t>Planning</w:t>
            </w:r>
            <w:r w:rsidR="00454289" w:rsidRPr="00AF02A3">
              <w:rPr>
                <w:rFonts w:asciiTheme="majorHAnsi" w:hAnsiTheme="majorHAnsi" w:cstheme="majorHAnsi"/>
                <w:i/>
                <w:iCs/>
              </w:rPr>
              <w:t xml:space="preserve"> and scope</w:t>
            </w:r>
          </w:p>
          <w:p w14:paraId="50D77CE7" w14:textId="77777777" w:rsidR="00966041" w:rsidRPr="00AF02A3" w:rsidRDefault="00966041">
            <w:pPr>
              <w:rPr>
                <w:rFonts w:asciiTheme="majorHAnsi" w:hAnsiTheme="majorHAnsi" w:cstheme="majorHAnsi"/>
              </w:rPr>
            </w:pPr>
          </w:p>
        </w:tc>
        <w:tc>
          <w:tcPr>
            <w:tcW w:w="7670" w:type="dxa"/>
            <w:shd w:val="clear" w:color="auto" w:fill="F2F2F2" w:themeFill="background1" w:themeFillShade="F2"/>
          </w:tcPr>
          <w:p w14:paraId="564435DC" w14:textId="20498AA7" w:rsidR="00A20F26" w:rsidRDefault="00A20F26" w:rsidP="00D11EFB">
            <w:pPr>
              <w:pStyle w:val="ListParagraph"/>
              <w:numPr>
                <w:ilvl w:val="0"/>
                <w:numId w:val="48"/>
              </w:numPr>
              <w:rPr>
                <w:rFonts w:asciiTheme="majorHAnsi" w:hAnsiTheme="majorHAnsi" w:cstheme="majorHAnsi"/>
                <w:sz w:val="20"/>
                <w:szCs w:val="18"/>
              </w:rPr>
            </w:pPr>
            <w:r w:rsidRPr="004B2B98">
              <w:rPr>
                <w:rFonts w:asciiTheme="majorHAnsi" w:hAnsiTheme="majorHAnsi" w:cstheme="majorHAnsi"/>
                <w:sz w:val="20"/>
                <w:szCs w:val="18"/>
              </w:rPr>
              <w:t>Internal Audits can be selected from the annual Audit and Assurance program, or they may be management-initiated</w:t>
            </w:r>
            <w:r>
              <w:rPr>
                <w:rFonts w:asciiTheme="majorHAnsi" w:hAnsiTheme="majorHAnsi" w:cstheme="majorHAnsi"/>
                <w:sz w:val="20"/>
                <w:szCs w:val="18"/>
              </w:rPr>
              <w:t xml:space="preserve"> reviews.</w:t>
            </w:r>
          </w:p>
          <w:p w14:paraId="49F6FD57" w14:textId="47B68236" w:rsidR="00D11EFB" w:rsidRDefault="00D11EFB" w:rsidP="00D11EFB">
            <w:pPr>
              <w:pStyle w:val="ListParagraph"/>
              <w:numPr>
                <w:ilvl w:val="0"/>
                <w:numId w:val="48"/>
              </w:numPr>
              <w:rPr>
                <w:rFonts w:asciiTheme="majorHAnsi" w:hAnsiTheme="majorHAnsi" w:cstheme="majorHAnsi"/>
                <w:sz w:val="20"/>
                <w:szCs w:val="18"/>
              </w:rPr>
            </w:pPr>
            <w:r>
              <w:rPr>
                <w:rFonts w:asciiTheme="majorHAnsi" w:hAnsiTheme="majorHAnsi" w:cstheme="majorHAnsi"/>
                <w:sz w:val="20"/>
                <w:szCs w:val="18"/>
              </w:rPr>
              <w:t>Research is undertaken to define</w:t>
            </w:r>
            <w:r w:rsidR="00A20F26">
              <w:rPr>
                <w:rFonts w:asciiTheme="majorHAnsi" w:hAnsiTheme="majorHAnsi" w:cstheme="majorHAnsi"/>
                <w:sz w:val="20"/>
                <w:szCs w:val="18"/>
              </w:rPr>
              <w:t xml:space="preserve"> the</w:t>
            </w:r>
            <w:r>
              <w:rPr>
                <w:rFonts w:asciiTheme="majorHAnsi" w:hAnsiTheme="majorHAnsi" w:cstheme="majorHAnsi"/>
                <w:sz w:val="20"/>
                <w:szCs w:val="18"/>
              </w:rPr>
              <w:t xml:space="preserve"> audit objective</w:t>
            </w:r>
            <w:r w:rsidR="00F65A5E">
              <w:rPr>
                <w:rFonts w:asciiTheme="majorHAnsi" w:hAnsiTheme="majorHAnsi" w:cstheme="majorHAnsi"/>
                <w:sz w:val="20"/>
                <w:szCs w:val="18"/>
              </w:rPr>
              <w:t>, scope and criteria</w:t>
            </w:r>
            <w:r w:rsidR="00753D6A">
              <w:rPr>
                <w:rFonts w:asciiTheme="majorHAnsi" w:hAnsiTheme="majorHAnsi" w:cstheme="majorHAnsi"/>
                <w:sz w:val="20"/>
                <w:szCs w:val="18"/>
              </w:rPr>
              <w:t xml:space="preserve"> to inform the Terms of Reference. </w:t>
            </w:r>
          </w:p>
          <w:p w14:paraId="43A66915" w14:textId="43F68E37" w:rsidR="001A6A59" w:rsidRDefault="001A6A59" w:rsidP="00D11EFB">
            <w:pPr>
              <w:pStyle w:val="ListParagraph"/>
              <w:numPr>
                <w:ilvl w:val="0"/>
                <w:numId w:val="48"/>
              </w:numPr>
              <w:rPr>
                <w:rFonts w:asciiTheme="majorHAnsi" w:hAnsiTheme="majorHAnsi" w:cstheme="majorHAnsi"/>
                <w:sz w:val="20"/>
                <w:szCs w:val="18"/>
              </w:rPr>
            </w:pPr>
            <w:r>
              <w:rPr>
                <w:rFonts w:asciiTheme="majorHAnsi" w:hAnsiTheme="majorHAnsi" w:cstheme="majorHAnsi"/>
                <w:sz w:val="20"/>
                <w:szCs w:val="18"/>
              </w:rPr>
              <w:t>Key stakeholders are i</w:t>
            </w:r>
            <w:r w:rsidR="008550C6">
              <w:rPr>
                <w:rFonts w:asciiTheme="majorHAnsi" w:hAnsiTheme="majorHAnsi" w:cstheme="majorHAnsi"/>
                <w:sz w:val="20"/>
                <w:szCs w:val="18"/>
              </w:rPr>
              <w:t>dentified and timeframes are estimated.</w:t>
            </w:r>
          </w:p>
          <w:p w14:paraId="1B9A91F8" w14:textId="1AC7D93E" w:rsidR="00966041" w:rsidRPr="00877CE0" w:rsidRDefault="00C70F0A" w:rsidP="00877CE0">
            <w:pPr>
              <w:pStyle w:val="ListParagraph"/>
              <w:numPr>
                <w:ilvl w:val="0"/>
                <w:numId w:val="48"/>
              </w:numPr>
              <w:rPr>
                <w:rFonts w:asciiTheme="majorHAnsi" w:hAnsiTheme="majorHAnsi" w:cstheme="majorHAnsi"/>
                <w:sz w:val="20"/>
                <w:szCs w:val="18"/>
              </w:rPr>
            </w:pPr>
            <w:r>
              <w:rPr>
                <w:rFonts w:asciiTheme="majorHAnsi" w:hAnsiTheme="majorHAnsi" w:cstheme="majorHAnsi"/>
                <w:sz w:val="20"/>
                <w:szCs w:val="18"/>
              </w:rPr>
              <w:t xml:space="preserve">Terms of Reference </w:t>
            </w:r>
            <w:r w:rsidR="00F8212B" w:rsidRPr="004B2B98">
              <w:rPr>
                <w:rFonts w:asciiTheme="majorHAnsi" w:hAnsiTheme="majorHAnsi" w:cstheme="majorHAnsi"/>
                <w:sz w:val="20"/>
                <w:szCs w:val="18"/>
              </w:rPr>
              <w:t>submitted for approval to the Audit Sponsor, usually the Executive Branch or Group manager for the area to be audited</w:t>
            </w:r>
            <w:r w:rsidR="00F8212B">
              <w:rPr>
                <w:rFonts w:asciiTheme="majorHAnsi" w:hAnsiTheme="majorHAnsi" w:cstheme="majorHAnsi"/>
                <w:sz w:val="20"/>
                <w:szCs w:val="18"/>
              </w:rPr>
              <w:t>.</w:t>
            </w:r>
          </w:p>
        </w:tc>
      </w:tr>
      <w:tr w:rsidR="00966041" w:rsidRPr="00966041" w14:paraId="0990462B" w14:textId="77777777" w:rsidTr="00AF02A3">
        <w:tc>
          <w:tcPr>
            <w:tcW w:w="1502" w:type="dxa"/>
            <w:shd w:val="clear" w:color="auto" w:fill="F2F2F2" w:themeFill="background1" w:themeFillShade="F2"/>
          </w:tcPr>
          <w:p w14:paraId="5D8D7CA8" w14:textId="77777777" w:rsidR="00966041" w:rsidRPr="00AF02A3" w:rsidRDefault="00966041" w:rsidP="00966041">
            <w:pPr>
              <w:pStyle w:val="ListParagraph"/>
              <w:numPr>
                <w:ilvl w:val="0"/>
                <w:numId w:val="35"/>
              </w:numPr>
              <w:spacing w:after="200"/>
              <w:rPr>
                <w:rFonts w:asciiTheme="majorHAnsi" w:hAnsiTheme="majorHAnsi" w:cstheme="majorHAnsi"/>
                <w:i/>
                <w:iCs/>
              </w:rPr>
            </w:pPr>
            <w:r w:rsidRPr="00AF02A3">
              <w:rPr>
                <w:rFonts w:asciiTheme="majorHAnsi" w:hAnsiTheme="majorHAnsi" w:cstheme="majorHAnsi"/>
                <w:i/>
                <w:iCs/>
              </w:rPr>
              <w:t>Entry meeting</w:t>
            </w:r>
          </w:p>
        </w:tc>
        <w:tc>
          <w:tcPr>
            <w:tcW w:w="7670" w:type="dxa"/>
            <w:shd w:val="clear" w:color="auto" w:fill="F2F2F2" w:themeFill="background1" w:themeFillShade="F2"/>
          </w:tcPr>
          <w:p w14:paraId="17F4132C" w14:textId="3981EFB8" w:rsidR="00966041" w:rsidRPr="00AF02A3" w:rsidRDefault="004729C6" w:rsidP="00877CE0">
            <w:pPr>
              <w:pStyle w:val="ListParagraph"/>
              <w:numPr>
                <w:ilvl w:val="0"/>
                <w:numId w:val="49"/>
              </w:numPr>
              <w:rPr>
                <w:rFonts w:asciiTheme="majorHAnsi" w:hAnsiTheme="majorHAnsi" w:cstheme="majorHAnsi"/>
                <w:sz w:val="20"/>
                <w:szCs w:val="18"/>
              </w:rPr>
            </w:pPr>
            <w:r>
              <w:rPr>
                <w:rFonts w:asciiTheme="majorHAnsi" w:hAnsiTheme="majorHAnsi" w:cstheme="majorHAnsi"/>
                <w:sz w:val="20"/>
                <w:szCs w:val="18"/>
              </w:rPr>
              <w:t xml:space="preserve">An entry meeting is held with key stakeholders </w:t>
            </w:r>
            <w:r w:rsidR="00385CDB">
              <w:rPr>
                <w:rFonts w:asciiTheme="majorHAnsi" w:hAnsiTheme="majorHAnsi" w:cstheme="majorHAnsi"/>
                <w:sz w:val="20"/>
                <w:szCs w:val="18"/>
              </w:rPr>
              <w:t xml:space="preserve">including, but not limited to, </w:t>
            </w:r>
            <w:r>
              <w:rPr>
                <w:rFonts w:asciiTheme="majorHAnsi" w:hAnsiTheme="majorHAnsi" w:cstheme="majorHAnsi"/>
                <w:sz w:val="20"/>
                <w:szCs w:val="18"/>
              </w:rPr>
              <w:t>the Audit Sponsor, the business unit subject</w:t>
            </w:r>
            <w:r w:rsidR="00385CDB">
              <w:rPr>
                <w:rFonts w:asciiTheme="majorHAnsi" w:hAnsiTheme="majorHAnsi" w:cstheme="majorHAnsi"/>
                <w:sz w:val="20"/>
                <w:szCs w:val="18"/>
              </w:rPr>
              <w:t>ed</w:t>
            </w:r>
            <w:r>
              <w:rPr>
                <w:rFonts w:asciiTheme="majorHAnsi" w:hAnsiTheme="majorHAnsi" w:cstheme="majorHAnsi"/>
                <w:sz w:val="20"/>
                <w:szCs w:val="18"/>
              </w:rPr>
              <w:t xml:space="preserve"> to the audit</w:t>
            </w:r>
            <w:r w:rsidR="00385CDB">
              <w:rPr>
                <w:rFonts w:asciiTheme="majorHAnsi" w:hAnsiTheme="majorHAnsi" w:cstheme="majorHAnsi"/>
                <w:sz w:val="20"/>
                <w:szCs w:val="18"/>
              </w:rPr>
              <w:t xml:space="preserve">, the internal audit service provider, the Chief Internal Auditor and members of the Audit and Assurance section. </w:t>
            </w:r>
          </w:p>
        </w:tc>
      </w:tr>
      <w:tr w:rsidR="00966041" w:rsidRPr="00966041" w14:paraId="5C583D14" w14:textId="77777777" w:rsidTr="00AF02A3">
        <w:tc>
          <w:tcPr>
            <w:tcW w:w="1502" w:type="dxa"/>
            <w:shd w:val="clear" w:color="auto" w:fill="F2F2F2" w:themeFill="background1" w:themeFillShade="F2"/>
          </w:tcPr>
          <w:p w14:paraId="7EE0A886" w14:textId="3D7574E8" w:rsidR="00966041" w:rsidRPr="00AF02A3" w:rsidRDefault="00966041" w:rsidP="00966041">
            <w:pPr>
              <w:pStyle w:val="ListParagraph"/>
              <w:numPr>
                <w:ilvl w:val="0"/>
                <w:numId w:val="35"/>
              </w:numPr>
              <w:spacing w:after="200"/>
              <w:rPr>
                <w:rFonts w:asciiTheme="majorHAnsi" w:hAnsiTheme="majorHAnsi" w:cstheme="majorHAnsi"/>
                <w:i/>
                <w:iCs/>
              </w:rPr>
            </w:pPr>
            <w:r w:rsidRPr="00AF02A3">
              <w:rPr>
                <w:rFonts w:asciiTheme="majorHAnsi" w:hAnsiTheme="majorHAnsi" w:cstheme="majorHAnsi"/>
                <w:i/>
                <w:iCs/>
              </w:rPr>
              <w:t xml:space="preserve">Fieldwork and </w:t>
            </w:r>
            <w:r w:rsidR="00825BCE" w:rsidRPr="00AF02A3">
              <w:rPr>
                <w:rFonts w:asciiTheme="majorHAnsi" w:hAnsiTheme="majorHAnsi" w:cstheme="majorHAnsi"/>
                <w:i/>
                <w:iCs/>
              </w:rPr>
              <w:t>D</w:t>
            </w:r>
            <w:r w:rsidRPr="00AF02A3">
              <w:rPr>
                <w:rFonts w:asciiTheme="majorHAnsi" w:hAnsiTheme="majorHAnsi" w:cstheme="majorHAnsi"/>
                <w:i/>
                <w:iCs/>
              </w:rPr>
              <w:t>ocumentation</w:t>
            </w:r>
          </w:p>
          <w:p w14:paraId="0BAE12C5" w14:textId="77777777" w:rsidR="00966041" w:rsidRPr="00AF02A3" w:rsidRDefault="00966041">
            <w:pPr>
              <w:rPr>
                <w:rFonts w:asciiTheme="majorHAnsi" w:hAnsiTheme="majorHAnsi" w:cstheme="majorHAnsi"/>
              </w:rPr>
            </w:pPr>
          </w:p>
        </w:tc>
        <w:tc>
          <w:tcPr>
            <w:tcW w:w="7670" w:type="dxa"/>
            <w:shd w:val="clear" w:color="auto" w:fill="F2F2F2" w:themeFill="background1" w:themeFillShade="F2"/>
          </w:tcPr>
          <w:p w14:paraId="63CAF870" w14:textId="216BDE10" w:rsidR="00084A94" w:rsidRDefault="00084A94" w:rsidP="00084A94">
            <w:pPr>
              <w:pStyle w:val="ListParagraph"/>
              <w:numPr>
                <w:ilvl w:val="0"/>
                <w:numId w:val="49"/>
              </w:numPr>
              <w:rPr>
                <w:rFonts w:asciiTheme="majorHAnsi" w:hAnsiTheme="majorHAnsi" w:cstheme="majorHAnsi"/>
                <w:sz w:val="20"/>
                <w:szCs w:val="18"/>
              </w:rPr>
            </w:pPr>
            <w:r>
              <w:rPr>
                <w:rFonts w:asciiTheme="majorHAnsi" w:hAnsiTheme="majorHAnsi" w:cstheme="majorHAnsi"/>
                <w:sz w:val="20"/>
                <w:szCs w:val="18"/>
              </w:rPr>
              <w:t xml:space="preserve">Information and data gathering </w:t>
            </w:r>
            <w:r w:rsidR="00BA06A2">
              <w:rPr>
                <w:rFonts w:asciiTheme="majorHAnsi" w:hAnsiTheme="majorHAnsi" w:cstheme="majorHAnsi"/>
                <w:sz w:val="20"/>
                <w:szCs w:val="18"/>
              </w:rPr>
              <w:t>and analysis phase</w:t>
            </w:r>
            <w:r w:rsidR="00A57AE8">
              <w:rPr>
                <w:rFonts w:asciiTheme="majorHAnsi" w:hAnsiTheme="majorHAnsi" w:cstheme="majorHAnsi"/>
                <w:sz w:val="20"/>
                <w:szCs w:val="18"/>
              </w:rPr>
              <w:t xml:space="preserve"> (including sampling, data analytics and/or observations</w:t>
            </w:r>
            <w:r w:rsidR="00DB4ACF">
              <w:rPr>
                <w:rFonts w:asciiTheme="majorHAnsi" w:hAnsiTheme="majorHAnsi" w:cstheme="majorHAnsi"/>
                <w:sz w:val="20"/>
                <w:szCs w:val="18"/>
              </w:rPr>
              <w:t xml:space="preserve">) to </w:t>
            </w:r>
            <w:r w:rsidR="003F36F0" w:rsidRPr="004B2B98">
              <w:rPr>
                <w:rFonts w:asciiTheme="majorHAnsi" w:hAnsiTheme="majorHAnsi" w:cstheme="majorHAnsi"/>
                <w:sz w:val="20"/>
                <w:szCs w:val="18"/>
              </w:rPr>
              <w:t>assess the effectiveness of controls and accuracy of information</w:t>
            </w:r>
            <w:r w:rsidR="003D3E99">
              <w:rPr>
                <w:rFonts w:asciiTheme="majorHAnsi" w:hAnsiTheme="majorHAnsi" w:cstheme="majorHAnsi"/>
                <w:sz w:val="20"/>
                <w:szCs w:val="18"/>
              </w:rPr>
              <w:t>.</w:t>
            </w:r>
          </w:p>
          <w:p w14:paraId="7927C1AC" w14:textId="77777777" w:rsidR="00091944" w:rsidRDefault="00B3449C" w:rsidP="00084A94">
            <w:pPr>
              <w:pStyle w:val="ListParagraph"/>
              <w:numPr>
                <w:ilvl w:val="0"/>
                <w:numId w:val="49"/>
              </w:numPr>
              <w:rPr>
                <w:rFonts w:asciiTheme="majorHAnsi" w:hAnsiTheme="majorHAnsi" w:cstheme="majorHAnsi"/>
                <w:sz w:val="20"/>
                <w:szCs w:val="18"/>
              </w:rPr>
            </w:pPr>
            <w:r>
              <w:rPr>
                <w:rFonts w:asciiTheme="majorHAnsi" w:hAnsiTheme="majorHAnsi" w:cstheme="majorHAnsi"/>
                <w:sz w:val="20"/>
                <w:szCs w:val="18"/>
              </w:rPr>
              <w:t>Interviews with key personnel take place</w:t>
            </w:r>
            <w:r w:rsidR="003D3E99">
              <w:rPr>
                <w:rFonts w:asciiTheme="majorHAnsi" w:hAnsiTheme="majorHAnsi" w:cstheme="majorHAnsi"/>
                <w:sz w:val="20"/>
                <w:szCs w:val="18"/>
              </w:rPr>
              <w:t xml:space="preserve">. </w:t>
            </w:r>
          </w:p>
          <w:p w14:paraId="3012CD3C" w14:textId="35423A73" w:rsidR="00966041" w:rsidRPr="00AF02A3" w:rsidRDefault="00091944" w:rsidP="00877CE0">
            <w:pPr>
              <w:pStyle w:val="ListParagraph"/>
              <w:numPr>
                <w:ilvl w:val="0"/>
                <w:numId w:val="49"/>
              </w:numPr>
              <w:rPr>
                <w:rFonts w:asciiTheme="majorHAnsi" w:hAnsiTheme="majorHAnsi" w:cstheme="majorHAnsi"/>
                <w:sz w:val="20"/>
                <w:szCs w:val="18"/>
              </w:rPr>
            </w:pPr>
            <w:r>
              <w:rPr>
                <w:rFonts w:asciiTheme="majorHAnsi" w:hAnsiTheme="majorHAnsi" w:cstheme="majorHAnsi"/>
                <w:sz w:val="20"/>
                <w:szCs w:val="18"/>
              </w:rPr>
              <w:t>Audit working papers prepared and completed (test plans</w:t>
            </w:r>
            <w:r w:rsidR="00512614">
              <w:rPr>
                <w:rFonts w:asciiTheme="majorHAnsi" w:hAnsiTheme="majorHAnsi" w:cstheme="majorHAnsi"/>
                <w:sz w:val="20"/>
                <w:szCs w:val="18"/>
              </w:rPr>
              <w:t>) to verify findings</w:t>
            </w:r>
            <w:r w:rsidR="00635814">
              <w:rPr>
                <w:rFonts w:asciiTheme="majorHAnsi" w:hAnsiTheme="majorHAnsi" w:cstheme="majorHAnsi"/>
                <w:sz w:val="20"/>
                <w:szCs w:val="18"/>
              </w:rPr>
              <w:t xml:space="preserve"> and evidence base.</w:t>
            </w:r>
            <w:r w:rsidR="00B3449C">
              <w:rPr>
                <w:rFonts w:asciiTheme="majorHAnsi" w:hAnsiTheme="majorHAnsi" w:cstheme="majorHAnsi"/>
                <w:sz w:val="20"/>
                <w:szCs w:val="18"/>
              </w:rPr>
              <w:t xml:space="preserve"> </w:t>
            </w:r>
          </w:p>
        </w:tc>
      </w:tr>
      <w:tr w:rsidR="00966041" w:rsidRPr="00966041" w14:paraId="78C42589" w14:textId="77777777" w:rsidTr="00AF02A3">
        <w:tc>
          <w:tcPr>
            <w:tcW w:w="1502" w:type="dxa"/>
            <w:shd w:val="clear" w:color="auto" w:fill="F2F2F2" w:themeFill="background1" w:themeFillShade="F2"/>
          </w:tcPr>
          <w:p w14:paraId="402C10A4" w14:textId="77777777" w:rsidR="00966041" w:rsidRPr="00AF02A3" w:rsidRDefault="00966041" w:rsidP="00966041">
            <w:pPr>
              <w:pStyle w:val="ListParagraph"/>
              <w:numPr>
                <w:ilvl w:val="0"/>
                <w:numId w:val="35"/>
              </w:numPr>
              <w:spacing w:after="200"/>
              <w:rPr>
                <w:rFonts w:asciiTheme="majorHAnsi" w:hAnsiTheme="majorHAnsi" w:cstheme="majorHAnsi"/>
                <w:i/>
                <w:iCs/>
              </w:rPr>
            </w:pPr>
            <w:r w:rsidRPr="00AF02A3">
              <w:rPr>
                <w:rFonts w:asciiTheme="majorHAnsi" w:hAnsiTheme="majorHAnsi" w:cstheme="majorHAnsi"/>
                <w:i/>
                <w:iCs/>
              </w:rPr>
              <w:t xml:space="preserve">Evaluation </w:t>
            </w:r>
          </w:p>
          <w:p w14:paraId="75873E63" w14:textId="77777777" w:rsidR="00966041" w:rsidRPr="00AF02A3" w:rsidRDefault="00966041">
            <w:pPr>
              <w:rPr>
                <w:rFonts w:asciiTheme="majorHAnsi" w:hAnsiTheme="majorHAnsi" w:cstheme="majorHAnsi"/>
              </w:rPr>
            </w:pPr>
          </w:p>
        </w:tc>
        <w:tc>
          <w:tcPr>
            <w:tcW w:w="7670" w:type="dxa"/>
            <w:shd w:val="clear" w:color="auto" w:fill="F2F2F2" w:themeFill="background1" w:themeFillShade="F2"/>
          </w:tcPr>
          <w:p w14:paraId="39A243AC" w14:textId="2D3A16DD" w:rsidR="00882571" w:rsidRDefault="00882571" w:rsidP="00882571">
            <w:pPr>
              <w:pStyle w:val="ListParagraph"/>
              <w:numPr>
                <w:ilvl w:val="0"/>
                <w:numId w:val="50"/>
              </w:numPr>
              <w:rPr>
                <w:rFonts w:asciiTheme="majorHAnsi" w:hAnsiTheme="majorHAnsi" w:cstheme="majorHAnsi"/>
                <w:sz w:val="20"/>
                <w:szCs w:val="18"/>
              </w:rPr>
            </w:pPr>
            <w:r>
              <w:rPr>
                <w:rFonts w:asciiTheme="majorHAnsi" w:hAnsiTheme="majorHAnsi" w:cstheme="majorHAnsi"/>
                <w:sz w:val="20"/>
                <w:szCs w:val="18"/>
              </w:rPr>
              <w:t xml:space="preserve">Assessment of </w:t>
            </w:r>
            <w:r w:rsidR="00B22B78">
              <w:rPr>
                <w:rFonts w:asciiTheme="majorHAnsi" w:hAnsiTheme="majorHAnsi" w:cstheme="majorHAnsi"/>
                <w:sz w:val="20"/>
                <w:szCs w:val="18"/>
              </w:rPr>
              <w:t xml:space="preserve">the </w:t>
            </w:r>
            <w:r w:rsidR="00B22B78" w:rsidRPr="004B2B98">
              <w:rPr>
                <w:rFonts w:asciiTheme="majorHAnsi" w:hAnsiTheme="majorHAnsi" w:cstheme="majorHAnsi"/>
                <w:sz w:val="20"/>
                <w:szCs w:val="18"/>
              </w:rPr>
              <w:t>effectiveness of the internal controls in place to mitigate risks</w:t>
            </w:r>
            <w:r w:rsidR="00244D90">
              <w:rPr>
                <w:rFonts w:asciiTheme="majorHAnsi" w:hAnsiTheme="majorHAnsi" w:cstheme="majorHAnsi"/>
                <w:sz w:val="20"/>
                <w:szCs w:val="18"/>
              </w:rPr>
              <w:t xml:space="preserve">. </w:t>
            </w:r>
          </w:p>
          <w:p w14:paraId="607161DC" w14:textId="3D29F2C0" w:rsidR="00966041" w:rsidRPr="00877CE0" w:rsidRDefault="00AD4895" w:rsidP="00877CE0">
            <w:pPr>
              <w:pStyle w:val="ListParagraph"/>
              <w:numPr>
                <w:ilvl w:val="0"/>
                <w:numId w:val="50"/>
              </w:numPr>
              <w:rPr>
                <w:rFonts w:asciiTheme="majorHAnsi" w:hAnsiTheme="majorHAnsi" w:cstheme="majorHAnsi"/>
                <w:sz w:val="20"/>
                <w:szCs w:val="18"/>
              </w:rPr>
            </w:pPr>
            <w:r w:rsidRPr="00877CE0">
              <w:rPr>
                <w:rFonts w:asciiTheme="majorHAnsi" w:hAnsiTheme="majorHAnsi" w:cstheme="majorHAnsi"/>
                <w:sz w:val="20"/>
                <w:szCs w:val="18"/>
              </w:rPr>
              <w:t>Identify any gaps in controls.</w:t>
            </w:r>
          </w:p>
        </w:tc>
      </w:tr>
      <w:tr w:rsidR="00966041" w:rsidRPr="00966041" w14:paraId="57C164DA" w14:textId="77777777" w:rsidTr="00AF02A3">
        <w:tc>
          <w:tcPr>
            <w:tcW w:w="1502" w:type="dxa"/>
            <w:shd w:val="clear" w:color="auto" w:fill="F2F2F2" w:themeFill="background1" w:themeFillShade="F2"/>
          </w:tcPr>
          <w:p w14:paraId="17E0F933" w14:textId="77777777" w:rsidR="00966041" w:rsidRPr="00AF02A3" w:rsidRDefault="00966041" w:rsidP="00966041">
            <w:pPr>
              <w:pStyle w:val="ListParagraph"/>
              <w:numPr>
                <w:ilvl w:val="0"/>
                <w:numId w:val="35"/>
              </w:numPr>
              <w:spacing w:after="200"/>
              <w:rPr>
                <w:rFonts w:asciiTheme="majorHAnsi" w:hAnsiTheme="majorHAnsi" w:cstheme="majorHAnsi"/>
                <w:i/>
                <w:iCs/>
              </w:rPr>
            </w:pPr>
            <w:r w:rsidRPr="00AF02A3">
              <w:rPr>
                <w:rFonts w:asciiTheme="majorHAnsi" w:hAnsiTheme="majorHAnsi" w:cstheme="majorHAnsi"/>
                <w:i/>
                <w:iCs/>
              </w:rPr>
              <w:t>Reporting</w:t>
            </w:r>
          </w:p>
          <w:p w14:paraId="2CC4D9E4" w14:textId="77777777" w:rsidR="00966041" w:rsidRPr="00AF02A3" w:rsidRDefault="00966041">
            <w:pPr>
              <w:rPr>
                <w:rFonts w:asciiTheme="majorHAnsi" w:hAnsiTheme="majorHAnsi" w:cstheme="majorHAnsi"/>
              </w:rPr>
            </w:pPr>
          </w:p>
        </w:tc>
        <w:tc>
          <w:tcPr>
            <w:tcW w:w="7670" w:type="dxa"/>
            <w:shd w:val="clear" w:color="auto" w:fill="F2F2F2" w:themeFill="background1" w:themeFillShade="F2"/>
          </w:tcPr>
          <w:p w14:paraId="7913ABB5" w14:textId="7F17FC4E" w:rsidR="00EE12E1" w:rsidRDefault="00EE12E1" w:rsidP="00EE12E1">
            <w:pPr>
              <w:pStyle w:val="ListParagraph"/>
              <w:numPr>
                <w:ilvl w:val="0"/>
                <w:numId w:val="51"/>
              </w:numPr>
              <w:rPr>
                <w:rFonts w:asciiTheme="majorHAnsi" w:hAnsiTheme="majorHAnsi" w:cstheme="majorHAnsi"/>
                <w:sz w:val="20"/>
                <w:szCs w:val="18"/>
              </w:rPr>
            </w:pPr>
            <w:r>
              <w:rPr>
                <w:rFonts w:asciiTheme="majorHAnsi" w:hAnsiTheme="majorHAnsi" w:cstheme="majorHAnsi"/>
                <w:sz w:val="20"/>
                <w:szCs w:val="18"/>
              </w:rPr>
              <w:t>Draft report is prep</w:t>
            </w:r>
            <w:r w:rsidR="00FD0710">
              <w:rPr>
                <w:rFonts w:asciiTheme="majorHAnsi" w:hAnsiTheme="majorHAnsi" w:cstheme="majorHAnsi"/>
                <w:sz w:val="20"/>
                <w:szCs w:val="18"/>
              </w:rPr>
              <w:t>ared</w:t>
            </w:r>
            <w:r w:rsidR="0046649A">
              <w:rPr>
                <w:rFonts w:asciiTheme="majorHAnsi" w:hAnsiTheme="majorHAnsi" w:cstheme="majorHAnsi"/>
                <w:sz w:val="20"/>
                <w:szCs w:val="18"/>
              </w:rPr>
              <w:t xml:space="preserve"> for </w:t>
            </w:r>
            <w:r w:rsidR="00796013">
              <w:rPr>
                <w:rFonts w:asciiTheme="majorHAnsi" w:hAnsiTheme="majorHAnsi" w:cstheme="majorHAnsi"/>
                <w:sz w:val="20"/>
                <w:szCs w:val="18"/>
              </w:rPr>
              <w:t>shari</w:t>
            </w:r>
            <w:r w:rsidR="00066407">
              <w:rPr>
                <w:rFonts w:asciiTheme="majorHAnsi" w:hAnsiTheme="majorHAnsi" w:cstheme="majorHAnsi"/>
                <w:sz w:val="20"/>
                <w:szCs w:val="18"/>
              </w:rPr>
              <w:t>ng with the A</w:t>
            </w:r>
            <w:r w:rsidR="0046649A" w:rsidRPr="004B2B98">
              <w:rPr>
                <w:rFonts w:asciiTheme="majorHAnsi" w:hAnsiTheme="majorHAnsi" w:cstheme="majorHAnsi"/>
                <w:sz w:val="20"/>
                <w:szCs w:val="18"/>
              </w:rPr>
              <w:t xml:space="preserve">udit </w:t>
            </w:r>
            <w:r w:rsidR="00066407">
              <w:rPr>
                <w:rFonts w:asciiTheme="majorHAnsi" w:hAnsiTheme="majorHAnsi" w:cstheme="majorHAnsi"/>
                <w:sz w:val="20"/>
                <w:szCs w:val="18"/>
              </w:rPr>
              <w:t>S</w:t>
            </w:r>
            <w:r w:rsidR="0046649A" w:rsidRPr="004B2B98">
              <w:rPr>
                <w:rFonts w:asciiTheme="majorHAnsi" w:hAnsiTheme="majorHAnsi" w:cstheme="majorHAnsi"/>
                <w:sz w:val="20"/>
                <w:szCs w:val="18"/>
              </w:rPr>
              <w:t>ponsor and key stakeholders, and includes an executive summary, details of the audit procedures performed, identifies any issues and recommendations for improvement</w:t>
            </w:r>
            <w:r w:rsidR="00E54026">
              <w:rPr>
                <w:rFonts w:asciiTheme="majorHAnsi" w:hAnsiTheme="majorHAnsi" w:cstheme="majorHAnsi"/>
                <w:sz w:val="20"/>
                <w:szCs w:val="18"/>
              </w:rPr>
              <w:t xml:space="preserve">. </w:t>
            </w:r>
          </w:p>
          <w:p w14:paraId="16E7DACB" w14:textId="212FC189" w:rsidR="00966041" w:rsidRPr="00877CE0" w:rsidRDefault="00EC6610" w:rsidP="00877CE0">
            <w:pPr>
              <w:pStyle w:val="ListParagraph"/>
              <w:numPr>
                <w:ilvl w:val="0"/>
                <w:numId w:val="51"/>
              </w:numPr>
              <w:rPr>
                <w:rFonts w:asciiTheme="majorHAnsi" w:hAnsiTheme="majorHAnsi" w:cstheme="majorHAnsi"/>
                <w:sz w:val="20"/>
                <w:szCs w:val="18"/>
              </w:rPr>
            </w:pPr>
            <w:r>
              <w:rPr>
                <w:rFonts w:asciiTheme="majorHAnsi" w:hAnsiTheme="majorHAnsi" w:cstheme="majorHAnsi"/>
                <w:sz w:val="20"/>
                <w:szCs w:val="18"/>
              </w:rPr>
              <w:t>Comments on the draft report will be considered by the auditors.</w:t>
            </w:r>
          </w:p>
        </w:tc>
      </w:tr>
      <w:tr w:rsidR="00966041" w:rsidRPr="00966041" w14:paraId="7111F7E8" w14:textId="77777777" w:rsidTr="00AF02A3">
        <w:tc>
          <w:tcPr>
            <w:tcW w:w="1502" w:type="dxa"/>
            <w:shd w:val="clear" w:color="auto" w:fill="F2F2F2" w:themeFill="background1" w:themeFillShade="F2"/>
          </w:tcPr>
          <w:p w14:paraId="082BC6FC" w14:textId="5F1F39EE" w:rsidR="00966041" w:rsidRPr="00AF02A3" w:rsidRDefault="00966041">
            <w:pPr>
              <w:pStyle w:val="ListParagraph"/>
              <w:numPr>
                <w:ilvl w:val="0"/>
                <w:numId w:val="35"/>
              </w:numPr>
              <w:spacing w:after="200"/>
              <w:rPr>
                <w:rFonts w:asciiTheme="majorHAnsi" w:hAnsiTheme="majorHAnsi" w:cstheme="majorHAnsi"/>
                <w:i/>
              </w:rPr>
            </w:pPr>
            <w:r w:rsidRPr="00AF02A3">
              <w:rPr>
                <w:rFonts w:asciiTheme="majorHAnsi" w:hAnsiTheme="majorHAnsi" w:cstheme="majorHAnsi"/>
                <w:i/>
              </w:rPr>
              <w:t>Debriefing</w:t>
            </w:r>
            <w:r w:rsidR="00DF7511" w:rsidRPr="00AF02A3">
              <w:rPr>
                <w:rFonts w:asciiTheme="majorHAnsi" w:hAnsiTheme="majorHAnsi" w:cstheme="majorHAnsi"/>
                <w:i/>
              </w:rPr>
              <w:t xml:space="preserve"> / Exit Meeting</w:t>
            </w:r>
          </w:p>
        </w:tc>
        <w:tc>
          <w:tcPr>
            <w:tcW w:w="7670" w:type="dxa"/>
            <w:shd w:val="clear" w:color="auto" w:fill="F2F2F2" w:themeFill="background1" w:themeFillShade="F2"/>
          </w:tcPr>
          <w:p w14:paraId="01AEAAC0" w14:textId="0FE72B29" w:rsidR="00405F53" w:rsidRPr="004B2B98" w:rsidRDefault="00C46F06" w:rsidP="00877CE0">
            <w:pPr>
              <w:pStyle w:val="ListParagraph"/>
              <w:numPr>
                <w:ilvl w:val="0"/>
                <w:numId w:val="49"/>
              </w:numPr>
              <w:rPr>
                <w:rFonts w:asciiTheme="majorHAnsi" w:hAnsiTheme="majorHAnsi" w:cstheme="majorHAnsi"/>
                <w:sz w:val="20"/>
                <w:szCs w:val="18"/>
              </w:rPr>
            </w:pPr>
            <w:r>
              <w:rPr>
                <w:rFonts w:asciiTheme="majorHAnsi" w:hAnsiTheme="majorHAnsi" w:cstheme="majorHAnsi"/>
                <w:sz w:val="20"/>
                <w:szCs w:val="18"/>
              </w:rPr>
              <w:t>Ex</w:t>
            </w:r>
            <w:r w:rsidR="002E1816">
              <w:rPr>
                <w:rFonts w:asciiTheme="majorHAnsi" w:hAnsiTheme="majorHAnsi" w:cstheme="majorHAnsi"/>
                <w:sz w:val="20"/>
                <w:szCs w:val="18"/>
              </w:rPr>
              <w:t xml:space="preserve">it meeting </w:t>
            </w:r>
            <w:r w:rsidR="00820B05">
              <w:rPr>
                <w:rFonts w:asciiTheme="majorHAnsi" w:hAnsiTheme="majorHAnsi" w:cstheme="majorHAnsi"/>
                <w:sz w:val="20"/>
                <w:szCs w:val="18"/>
              </w:rPr>
              <w:t xml:space="preserve">held </w:t>
            </w:r>
            <w:r w:rsidR="00AC577F">
              <w:rPr>
                <w:rFonts w:asciiTheme="majorHAnsi" w:hAnsiTheme="majorHAnsi" w:cstheme="majorHAnsi"/>
                <w:sz w:val="20"/>
                <w:szCs w:val="18"/>
              </w:rPr>
              <w:t>wit</w:t>
            </w:r>
            <w:r w:rsidR="00405F53">
              <w:rPr>
                <w:rFonts w:asciiTheme="majorHAnsi" w:hAnsiTheme="majorHAnsi" w:cstheme="majorHAnsi"/>
                <w:sz w:val="20"/>
                <w:szCs w:val="18"/>
              </w:rPr>
              <w:t xml:space="preserve">h the Audit Sponsor, the business unit subjected to the audit, the internal audit service provider, the Chief Internal Auditor and members of the Audit and Assurance section. </w:t>
            </w:r>
          </w:p>
          <w:p w14:paraId="127D6ED7" w14:textId="09EE768F" w:rsidR="00966041" w:rsidRPr="00877CE0" w:rsidRDefault="00405F53" w:rsidP="00877CE0">
            <w:pPr>
              <w:pStyle w:val="ListParagraph"/>
              <w:numPr>
                <w:ilvl w:val="0"/>
                <w:numId w:val="52"/>
              </w:numPr>
              <w:rPr>
                <w:rFonts w:asciiTheme="majorHAnsi" w:hAnsiTheme="majorHAnsi" w:cstheme="majorHAnsi"/>
                <w:sz w:val="20"/>
                <w:szCs w:val="18"/>
              </w:rPr>
            </w:pPr>
            <w:r>
              <w:rPr>
                <w:rFonts w:asciiTheme="majorHAnsi" w:hAnsiTheme="majorHAnsi" w:cstheme="majorHAnsi"/>
                <w:sz w:val="20"/>
                <w:szCs w:val="18"/>
              </w:rPr>
              <w:t>Dis</w:t>
            </w:r>
            <w:r w:rsidR="00817E9E">
              <w:rPr>
                <w:rFonts w:asciiTheme="majorHAnsi" w:hAnsiTheme="majorHAnsi" w:cstheme="majorHAnsi"/>
                <w:sz w:val="20"/>
                <w:szCs w:val="18"/>
              </w:rPr>
              <w:t xml:space="preserve">cussion of key findings and </w:t>
            </w:r>
            <w:r w:rsidR="00E07744">
              <w:rPr>
                <w:rFonts w:asciiTheme="majorHAnsi" w:hAnsiTheme="majorHAnsi" w:cstheme="majorHAnsi"/>
                <w:sz w:val="20"/>
                <w:szCs w:val="18"/>
              </w:rPr>
              <w:t xml:space="preserve">proposed audit recommendations. </w:t>
            </w:r>
          </w:p>
        </w:tc>
      </w:tr>
      <w:tr w:rsidR="00966041" w:rsidRPr="00966041" w14:paraId="4E0B204D" w14:textId="77777777" w:rsidTr="00AF02A3">
        <w:tc>
          <w:tcPr>
            <w:tcW w:w="1502" w:type="dxa"/>
            <w:shd w:val="clear" w:color="auto" w:fill="F2F2F2" w:themeFill="background1" w:themeFillShade="F2"/>
          </w:tcPr>
          <w:p w14:paraId="59607C43" w14:textId="77777777" w:rsidR="00966041" w:rsidRPr="00AF02A3" w:rsidRDefault="00966041" w:rsidP="00966041">
            <w:pPr>
              <w:pStyle w:val="ListParagraph"/>
              <w:numPr>
                <w:ilvl w:val="0"/>
                <w:numId w:val="35"/>
              </w:numPr>
              <w:spacing w:after="200"/>
              <w:rPr>
                <w:rFonts w:asciiTheme="majorHAnsi" w:hAnsiTheme="majorHAnsi" w:cstheme="majorHAnsi"/>
                <w:i/>
              </w:rPr>
            </w:pPr>
            <w:r w:rsidRPr="00AF02A3">
              <w:rPr>
                <w:rFonts w:asciiTheme="majorHAnsi" w:hAnsiTheme="majorHAnsi" w:cstheme="majorHAnsi"/>
                <w:i/>
              </w:rPr>
              <w:t>Management comments</w:t>
            </w:r>
          </w:p>
          <w:p w14:paraId="658BEF47" w14:textId="77777777" w:rsidR="00966041" w:rsidRPr="00AF02A3" w:rsidRDefault="00966041">
            <w:pPr>
              <w:rPr>
                <w:rFonts w:asciiTheme="majorHAnsi" w:hAnsiTheme="majorHAnsi" w:cstheme="majorHAnsi"/>
                <w:i/>
              </w:rPr>
            </w:pPr>
          </w:p>
        </w:tc>
        <w:tc>
          <w:tcPr>
            <w:tcW w:w="7670" w:type="dxa"/>
            <w:shd w:val="clear" w:color="auto" w:fill="F2F2F2" w:themeFill="background1" w:themeFillShade="F2"/>
          </w:tcPr>
          <w:p w14:paraId="5D12F9C5" w14:textId="22F5DD5E" w:rsidR="00D74C47" w:rsidRDefault="00181818" w:rsidP="00181818">
            <w:pPr>
              <w:pStyle w:val="ListParagraph"/>
              <w:numPr>
                <w:ilvl w:val="0"/>
                <w:numId w:val="52"/>
              </w:numPr>
              <w:rPr>
                <w:rFonts w:asciiTheme="majorHAnsi" w:hAnsiTheme="majorHAnsi" w:cstheme="majorHAnsi"/>
                <w:sz w:val="20"/>
                <w:szCs w:val="18"/>
              </w:rPr>
            </w:pPr>
            <w:r>
              <w:rPr>
                <w:rFonts w:asciiTheme="majorHAnsi" w:hAnsiTheme="majorHAnsi" w:cstheme="majorHAnsi"/>
                <w:sz w:val="20"/>
                <w:szCs w:val="18"/>
              </w:rPr>
              <w:t xml:space="preserve">Management comments are requested on the draft audit report. </w:t>
            </w:r>
          </w:p>
          <w:p w14:paraId="446767EF" w14:textId="25B08127" w:rsidR="00966041" w:rsidRPr="00877CE0" w:rsidRDefault="00275CD6" w:rsidP="00877CE0">
            <w:pPr>
              <w:pStyle w:val="ListParagraph"/>
              <w:numPr>
                <w:ilvl w:val="0"/>
                <w:numId w:val="52"/>
              </w:numPr>
              <w:rPr>
                <w:rFonts w:asciiTheme="majorHAnsi" w:hAnsiTheme="majorHAnsi" w:cstheme="majorHAnsi"/>
                <w:sz w:val="20"/>
                <w:szCs w:val="18"/>
              </w:rPr>
            </w:pPr>
            <w:r>
              <w:rPr>
                <w:rFonts w:asciiTheme="majorHAnsi" w:hAnsiTheme="majorHAnsi" w:cstheme="majorHAnsi"/>
                <w:sz w:val="20"/>
                <w:szCs w:val="18"/>
              </w:rPr>
              <w:t xml:space="preserve">Management comments are required to be drafted in </w:t>
            </w:r>
            <w:r w:rsidRPr="00AF02A3">
              <w:rPr>
                <w:rFonts w:asciiTheme="majorHAnsi" w:hAnsiTheme="majorHAnsi" w:cstheme="majorHAnsi"/>
                <w:b/>
                <w:bCs/>
                <w:sz w:val="20"/>
                <w:szCs w:val="18"/>
              </w:rPr>
              <w:t>t</w:t>
            </w:r>
            <w:r w:rsidR="00DF053C" w:rsidRPr="00AF02A3">
              <w:rPr>
                <w:rFonts w:asciiTheme="majorHAnsi" w:hAnsiTheme="majorHAnsi" w:cstheme="majorHAnsi"/>
                <w:b/>
                <w:bCs/>
                <w:sz w:val="20"/>
                <w:szCs w:val="18"/>
              </w:rPr>
              <w:t>wo weeks</w:t>
            </w:r>
            <w:r w:rsidR="00DF053C" w:rsidRPr="004B2B98">
              <w:rPr>
                <w:rFonts w:asciiTheme="majorHAnsi" w:hAnsiTheme="majorHAnsi" w:cstheme="majorHAnsi"/>
                <w:sz w:val="20"/>
                <w:szCs w:val="18"/>
              </w:rPr>
              <w:t>, and the Audit Sponsor is</w:t>
            </w:r>
            <w:r w:rsidR="003079AB">
              <w:rPr>
                <w:rFonts w:asciiTheme="majorHAnsi" w:hAnsiTheme="majorHAnsi" w:cstheme="majorHAnsi"/>
                <w:sz w:val="20"/>
                <w:szCs w:val="18"/>
              </w:rPr>
              <w:t xml:space="preserve"> required</w:t>
            </w:r>
            <w:r w:rsidR="00DF053C" w:rsidRPr="004B2B98">
              <w:rPr>
                <w:rFonts w:asciiTheme="majorHAnsi" w:hAnsiTheme="majorHAnsi" w:cstheme="majorHAnsi"/>
                <w:sz w:val="20"/>
                <w:szCs w:val="18"/>
              </w:rPr>
              <w:t xml:space="preserve"> to clear those comments within </w:t>
            </w:r>
            <w:r w:rsidR="00DF053C" w:rsidRPr="00AF02A3">
              <w:rPr>
                <w:rFonts w:asciiTheme="majorHAnsi" w:hAnsiTheme="majorHAnsi" w:cstheme="majorHAnsi"/>
                <w:b/>
                <w:bCs/>
                <w:sz w:val="20"/>
                <w:szCs w:val="18"/>
              </w:rPr>
              <w:t>one week.</w:t>
            </w:r>
            <w:r w:rsidR="003079AB">
              <w:rPr>
                <w:rFonts w:asciiTheme="majorHAnsi" w:hAnsiTheme="majorHAnsi" w:cstheme="majorHAnsi"/>
                <w:b/>
                <w:bCs/>
                <w:sz w:val="20"/>
                <w:szCs w:val="18"/>
              </w:rPr>
              <w:t xml:space="preserve"> </w:t>
            </w:r>
            <w:r w:rsidR="003079AB" w:rsidRPr="00AF02A3">
              <w:rPr>
                <w:rFonts w:asciiTheme="majorHAnsi" w:hAnsiTheme="majorHAnsi" w:cstheme="majorHAnsi"/>
                <w:sz w:val="20"/>
                <w:szCs w:val="18"/>
              </w:rPr>
              <w:t>Failure to meet this deadline will require a</w:t>
            </w:r>
            <w:r w:rsidR="00F56EA7" w:rsidRPr="00AF02A3">
              <w:rPr>
                <w:rFonts w:asciiTheme="majorHAnsi" w:hAnsiTheme="majorHAnsi" w:cstheme="majorHAnsi"/>
                <w:sz w:val="20"/>
                <w:szCs w:val="18"/>
              </w:rPr>
              <w:t>n explanation to the Chair of the Audit Committee.</w:t>
            </w:r>
            <w:r w:rsidR="00F56EA7">
              <w:rPr>
                <w:rFonts w:asciiTheme="majorHAnsi" w:hAnsiTheme="majorHAnsi" w:cstheme="majorHAnsi"/>
                <w:b/>
                <w:bCs/>
                <w:sz w:val="20"/>
                <w:szCs w:val="18"/>
              </w:rPr>
              <w:t xml:space="preserve"> </w:t>
            </w:r>
          </w:p>
        </w:tc>
      </w:tr>
      <w:tr w:rsidR="00966041" w:rsidRPr="00966041" w14:paraId="748FDB08" w14:textId="77777777" w:rsidTr="00AF02A3">
        <w:tc>
          <w:tcPr>
            <w:tcW w:w="1502" w:type="dxa"/>
            <w:shd w:val="clear" w:color="auto" w:fill="F2F2F2" w:themeFill="background1" w:themeFillShade="F2"/>
          </w:tcPr>
          <w:p w14:paraId="1BE31A11" w14:textId="77777777" w:rsidR="00966041" w:rsidRPr="00AF02A3" w:rsidRDefault="00966041" w:rsidP="00966041">
            <w:pPr>
              <w:pStyle w:val="ListParagraph"/>
              <w:numPr>
                <w:ilvl w:val="0"/>
                <w:numId w:val="35"/>
              </w:numPr>
              <w:spacing w:after="200"/>
              <w:rPr>
                <w:rFonts w:asciiTheme="majorHAnsi" w:hAnsiTheme="majorHAnsi" w:cstheme="majorHAnsi"/>
                <w:i/>
              </w:rPr>
            </w:pPr>
            <w:r w:rsidRPr="00AF02A3">
              <w:rPr>
                <w:rFonts w:asciiTheme="majorHAnsi" w:hAnsiTheme="majorHAnsi" w:cstheme="majorHAnsi"/>
                <w:i/>
              </w:rPr>
              <w:t>Endorsement</w:t>
            </w:r>
          </w:p>
          <w:p w14:paraId="726BCDD2" w14:textId="77777777" w:rsidR="00966041" w:rsidRPr="00AF02A3" w:rsidRDefault="00966041">
            <w:pPr>
              <w:rPr>
                <w:rFonts w:asciiTheme="majorHAnsi" w:hAnsiTheme="majorHAnsi" w:cstheme="majorHAnsi"/>
                <w:i/>
              </w:rPr>
            </w:pPr>
          </w:p>
        </w:tc>
        <w:tc>
          <w:tcPr>
            <w:tcW w:w="7670" w:type="dxa"/>
            <w:shd w:val="clear" w:color="auto" w:fill="F2F2F2" w:themeFill="background1" w:themeFillShade="F2"/>
          </w:tcPr>
          <w:p w14:paraId="3A11FF6C" w14:textId="4060E727" w:rsidR="00866D06" w:rsidRDefault="007139A7" w:rsidP="00A52BC9">
            <w:pPr>
              <w:pStyle w:val="ListParagraph"/>
              <w:numPr>
                <w:ilvl w:val="0"/>
                <w:numId w:val="53"/>
              </w:numPr>
              <w:rPr>
                <w:rFonts w:asciiTheme="majorHAnsi" w:hAnsiTheme="majorHAnsi" w:cstheme="majorHAnsi"/>
                <w:sz w:val="20"/>
                <w:szCs w:val="18"/>
              </w:rPr>
            </w:pPr>
            <w:r>
              <w:rPr>
                <w:rFonts w:asciiTheme="majorHAnsi" w:hAnsiTheme="majorHAnsi" w:cstheme="majorHAnsi"/>
                <w:sz w:val="20"/>
                <w:szCs w:val="18"/>
              </w:rPr>
              <w:t xml:space="preserve">The Audit Committee </w:t>
            </w:r>
            <w:r w:rsidR="00573D5B">
              <w:rPr>
                <w:rFonts w:asciiTheme="majorHAnsi" w:hAnsiTheme="majorHAnsi" w:cstheme="majorHAnsi"/>
                <w:sz w:val="20"/>
                <w:szCs w:val="18"/>
              </w:rPr>
              <w:t>discusses and endorses</w:t>
            </w:r>
            <w:r w:rsidR="001760A9">
              <w:rPr>
                <w:rFonts w:asciiTheme="majorHAnsi" w:hAnsiTheme="majorHAnsi" w:cstheme="majorHAnsi"/>
                <w:sz w:val="20"/>
                <w:szCs w:val="18"/>
              </w:rPr>
              <w:t xml:space="preserve"> the draft aud</w:t>
            </w:r>
            <w:r w:rsidR="00D46EA9">
              <w:rPr>
                <w:rFonts w:asciiTheme="majorHAnsi" w:hAnsiTheme="majorHAnsi" w:cstheme="majorHAnsi"/>
                <w:sz w:val="20"/>
                <w:szCs w:val="18"/>
              </w:rPr>
              <w:t>it report</w:t>
            </w:r>
            <w:r w:rsidR="000E5C98">
              <w:rPr>
                <w:rFonts w:asciiTheme="majorHAnsi" w:hAnsiTheme="majorHAnsi" w:cstheme="majorHAnsi"/>
                <w:sz w:val="20"/>
                <w:szCs w:val="18"/>
              </w:rPr>
              <w:t xml:space="preserve"> </w:t>
            </w:r>
            <w:r w:rsidR="000F5DAB">
              <w:rPr>
                <w:rFonts w:asciiTheme="majorHAnsi" w:hAnsiTheme="majorHAnsi" w:cstheme="majorHAnsi"/>
                <w:sz w:val="20"/>
                <w:szCs w:val="18"/>
              </w:rPr>
              <w:t>at</w:t>
            </w:r>
            <w:r w:rsidR="000E5C98">
              <w:rPr>
                <w:rFonts w:asciiTheme="majorHAnsi" w:hAnsiTheme="majorHAnsi" w:cstheme="majorHAnsi"/>
                <w:sz w:val="20"/>
                <w:szCs w:val="18"/>
              </w:rPr>
              <w:t xml:space="preserve"> a quarterly meeting or out of session. </w:t>
            </w:r>
          </w:p>
          <w:p w14:paraId="2CC3F4B7" w14:textId="16F0D980" w:rsidR="00966041" w:rsidRPr="00877CE0" w:rsidRDefault="000F5DAB" w:rsidP="00877CE0">
            <w:pPr>
              <w:pStyle w:val="ListParagraph"/>
              <w:numPr>
                <w:ilvl w:val="0"/>
                <w:numId w:val="53"/>
              </w:numPr>
              <w:rPr>
                <w:rFonts w:asciiTheme="majorHAnsi" w:hAnsiTheme="majorHAnsi" w:cstheme="majorHAnsi"/>
                <w:sz w:val="20"/>
                <w:szCs w:val="18"/>
              </w:rPr>
            </w:pPr>
            <w:r>
              <w:rPr>
                <w:rFonts w:asciiTheme="majorHAnsi" w:hAnsiTheme="majorHAnsi" w:cstheme="majorHAnsi"/>
                <w:sz w:val="20"/>
                <w:szCs w:val="18"/>
              </w:rPr>
              <w:t xml:space="preserve">Following endorsement, the report is made final. </w:t>
            </w:r>
          </w:p>
        </w:tc>
      </w:tr>
      <w:tr w:rsidR="00966041" w:rsidRPr="00966041" w14:paraId="61836A69" w14:textId="77777777" w:rsidTr="00AF02A3">
        <w:tc>
          <w:tcPr>
            <w:tcW w:w="1502" w:type="dxa"/>
            <w:shd w:val="clear" w:color="auto" w:fill="F2F2F2" w:themeFill="background1" w:themeFillShade="F2"/>
          </w:tcPr>
          <w:p w14:paraId="4DD2B7D8" w14:textId="3F345AEA" w:rsidR="00966041" w:rsidRPr="00AF02A3" w:rsidRDefault="00966041" w:rsidP="00966041">
            <w:pPr>
              <w:pStyle w:val="ListParagraph"/>
              <w:numPr>
                <w:ilvl w:val="0"/>
                <w:numId w:val="35"/>
              </w:numPr>
              <w:spacing w:after="200"/>
              <w:rPr>
                <w:rFonts w:asciiTheme="majorHAnsi" w:hAnsiTheme="majorHAnsi" w:cstheme="majorHAnsi"/>
                <w:i/>
              </w:rPr>
            </w:pPr>
            <w:r w:rsidRPr="00AF02A3">
              <w:rPr>
                <w:rFonts w:asciiTheme="majorHAnsi" w:hAnsiTheme="majorHAnsi" w:cstheme="majorHAnsi"/>
                <w:i/>
              </w:rPr>
              <w:lastRenderedPageBreak/>
              <w:t xml:space="preserve">Follow-up </w:t>
            </w:r>
            <w:r w:rsidR="00825BCE" w:rsidRPr="00AF02A3">
              <w:rPr>
                <w:rFonts w:asciiTheme="majorHAnsi" w:hAnsiTheme="majorHAnsi" w:cstheme="majorHAnsi"/>
                <w:i/>
              </w:rPr>
              <w:t>/ Monitoring and Reporting</w:t>
            </w:r>
          </w:p>
          <w:p w14:paraId="27E3AFB7" w14:textId="77777777" w:rsidR="00966041" w:rsidRPr="00AF02A3" w:rsidRDefault="00966041">
            <w:pPr>
              <w:rPr>
                <w:rFonts w:asciiTheme="majorHAnsi" w:hAnsiTheme="majorHAnsi" w:cstheme="majorHAnsi"/>
                <w:i/>
              </w:rPr>
            </w:pPr>
          </w:p>
        </w:tc>
        <w:tc>
          <w:tcPr>
            <w:tcW w:w="7670" w:type="dxa"/>
            <w:shd w:val="clear" w:color="auto" w:fill="F2F2F2" w:themeFill="background1" w:themeFillShade="F2"/>
          </w:tcPr>
          <w:p w14:paraId="64D8B594" w14:textId="664E5342" w:rsidR="00966041" w:rsidRDefault="008E74A4" w:rsidP="008E74A4">
            <w:pPr>
              <w:pStyle w:val="ListParagraph"/>
              <w:numPr>
                <w:ilvl w:val="0"/>
                <w:numId w:val="54"/>
              </w:numPr>
              <w:rPr>
                <w:rFonts w:asciiTheme="majorHAnsi" w:hAnsiTheme="majorHAnsi" w:cstheme="majorHAnsi"/>
                <w:sz w:val="20"/>
                <w:szCs w:val="18"/>
              </w:rPr>
            </w:pPr>
            <w:r>
              <w:rPr>
                <w:rFonts w:asciiTheme="majorHAnsi" w:hAnsiTheme="majorHAnsi" w:cstheme="majorHAnsi"/>
                <w:sz w:val="20"/>
                <w:szCs w:val="18"/>
              </w:rPr>
              <w:t xml:space="preserve">The final audit report is provided to the </w:t>
            </w:r>
            <w:r w:rsidR="00966041" w:rsidRPr="00AF02A3">
              <w:rPr>
                <w:rFonts w:asciiTheme="majorHAnsi" w:hAnsiTheme="majorHAnsi" w:cstheme="majorHAnsi"/>
                <w:sz w:val="20"/>
                <w:szCs w:val="18"/>
              </w:rPr>
              <w:t xml:space="preserve">Director-General and Executive Governance Committee for information. </w:t>
            </w:r>
          </w:p>
          <w:p w14:paraId="4BA92D7B" w14:textId="30F72975" w:rsidR="00B81676" w:rsidRDefault="00B81676" w:rsidP="008E74A4">
            <w:pPr>
              <w:pStyle w:val="ListParagraph"/>
              <w:numPr>
                <w:ilvl w:val="0"/>
                <w:numId w:val="54"/>
              </w:numPr>
              <w:rPr>
                <w:rFonts w:asciiTheme="majorHAnsi" w:hAnsiTheme="majorHAnsi" w:cstheme="majorHAnsi"/>
                <w:sz w:val="20"/>
                <w:szCs w:val="18"/>
              </w:rPr>
            </w:pPr>
            <w:r>
              <w:rPr>
                <w:rFonts w:asciiTheme="majorHAnsi" w:hAnsiTheme="majorHAnsi" w:cstheme="majorHAnsi"/>
                <w:sz w:val="20"/>
                <w:szCs w:val="18"/>
              </w:rPr>
              <w:t>Aud</w:t>
            </w:r>
            <w:r w:rsidR="00BA4121">
              <w:rPr>
                <w:rFonts w:asciiTheme="majorHAnsi" w:hAnsiTheme="majorHAnsi" w:cstheme="majorHAnsi"/>
                <w:sz w:val="20"/>
                <w:szCs w:val="18"/>
              </w:rPr>
              <w:t xml:space="preserve">it recommendations are added to and tracked through a register – quarterly updates are required. </w:t>
            </w:r>
          </w:p>
          <w:p w14:paraId="68BACE26" w14:textId="7121D14D" w:rsidR="00966041" w:rsidRPr="00877CE0" w:rsidRDefault="00D840EA" w:rsidP="00877CE0">
            <w:pPr>
              <w:pStyle w:val="ListParagraph"/>
              <w:numPr>
                <w:ilvl w:val="0"/>
                <w:numId w:val="54"/>
              </w:numPr>
              <w:rPr>
                <w:rFonts w:asciiTheme="majorHAnsi" w:hAnsiTheme="majorHAnsi" w:cstheme="majorHAnsi"/>
                <w:sz w:val="20"/>
                <w:szCs w:val="18"/>
              </w:rPr>
            </w:pPr>
            <w:r w:rsidRPr="004B2B98">
              <w:rPr>
                <w:rFonts w:asciiTheme="majorHAnsi" w:hAnsiTheme="majorHAnsi" w:cstheme="majorHAnsi"/>
                <w:sz w:val="20"/>
                <w:szCs w:val="18"/>
              </w:rPr>
              <w:t>Monitoring of recommendations is reported to the Audit Committee and to the Executive Governance Committee.</w:t>
            </w:r>
          </w:p>
        </w:tc>
      </w:tr>
    </w:tbl>
    <w:p w14:paraId="7F14D471" w14:textId="77777777" w:rsidR="00705921" w:rsidRDefault="00705921" w:rsidP="005D414A">
      <w:pPr>
        <w:pStyle w:val="Policy-BodyText"/>
        <w:numPr>
          <w:ilvl w:val="0"/>
          <w:numId w:val="0"/>
        </w:numPr>
      </w:pPr>
    </w:p>
    <w:p w14:paraId="32A09911" w14:textId="5E4B5D9D" w:rsidR="002A2FCE" w:rsidRPr="002A2FCE" w:rsidRDefault="002A2FCE" w:rsidP="002A2FCE">
      <w:pPr>
        <w:tabs>
          <w:tab w:val="left" w:pos="426"/>
        </w:tabs>
        <w:spacing w:before="120" w:after="240"/>
        <w:ind w:left="567" w:hanging="567"/>
        <w:jc w:val="both"/>
        <w:outlineLvl w:val="2"/>
        <w:rPr>
          <w:rFonts w:ascii="Calibri" w:hAnsi="Calibri"/>
          <w:b/>
          <w:color w:val="262626" w:themeColor="text1" w:themeTint="D9"/>
          <w:szCs w:val="28"/>
        </w:rPr>
      </w:pPr>
      <w:bookmarkStart w:id="11" w:name="_Toc22886855"/>
      <w:r>
        <w:rPr>
          <w:rFonts w:ascii="Calibri" w:hAnsi="Calibri"/>
          <w:b/>
          <w:color w:val="262626" w:themeColor="text1" w:themeTint="D9"/>
          <w:szCs w:val="28"/>
        </w:rPr>
        <w:t xml:space="preserve">       </w:t>
      </w:r>
      <w:r w:rsidR="00454289">
        <w:rPr>
          <w:rFonts w:ascii="Calibri" w:hAnsi="Calibri"/>
          <w:b/>
          <w:color w:val="262626" w:themeColor="text1" w:themeTint="D9"/>
          <w:szCs w:val="28"/>
        </w:rPr>
        <w:t xml:space="preserve">Planning </w:t>
      </w:r>
      <w:bookmarkEnd w:id="11"/>
      <w:r w:rsidR="00454289">
        <w:rPr>
          <w:rFonts w:ascii="Calibri" w:hAnsi="Calibri"/>
          <w:b/>
          <w:color w:val="262626" w:themeColor="text1" w:themeTint="D9"/>
          <w:szCs w:val="28"/>
        </w:rPr>
        <w:t>and scope</w:t>
      </w:r>
    </w:p>
    <w:p w14:paraId="5FCF8E96" w14:textId="02EC7CD4" w:rsidR="002A2FCE" w:rsidRPr="008D3413" w:rsidRDefault="002A2FCE" w:rsidP="002A2FCE">
      <w:pPr>
        <w:pStyle w:val="Policy-BodyText"/>
        <w:tabs>
          <w:tab w:val="left" w:pos="567"/>
          <w:tab w:val="num" w:pos="709"/>
          <w:tab w:val="left" w:pos="993"/>
        </w:tabs>
        <w:spacing w:after="240"/>
        <w:ind w:left="993" w:hanging="567"/>
        <w:jc w:val="both"/>
      </w:pPr>
      <w:r w:rsidRPr="008D3413">
        <w:t xml:space="preserve">In planning each </w:t>
      </w:r>
      <w:r w:rsidR="0036537E">
        <w:t>audit activity</w:t>
      </w:r>
      <w:r w:rsidRPr="008D3413">
        <w:t xml:space="preserve">, the internal auditors will consider: </w:t>
      </w:r>
    </w:p>
    <w:p w14:paraId="1D9F1901" w14:textId="77777777" w:rsidR="002A2FCE" w:rsidRPr="002A2FCE" w:rsidRDefault="002A2FCE" w:rsidP="0000067D">
      <w:pPr>
        <w:pStyle w:val="Bulletpointslevel3"/>
      </w:pPr>
      <w:r w:rsidRPr="002A2FCE">
        <w:t xml:space="preserve">the objectives of the activity being reviewed and the means by which the activity controls its performance and achievement of those objectives; </w:t>
      </w:r>
    </w:p>
    <w:p w14:paraId="7B8EF056" w14:textId="77777777" w:rsidR="002A2FCE" w:rsidRPr="002A2FCE" w:rsidRDefault="002A2FCE" w:rsidP="0000067D">
      <w:pPr>
        <w:pStyle w:val="Bulletpointslevel3"/>
      </w:pPr>
      <w:r w:rsidRPr="002A2FCE">
        <w:t xml:space="preserve">the significant risks to the activity, its objectives, resources, and operations and the means by which the potential impact and/or likelihood of risk is kept to an acceptable level; </w:t>
      </w:r>
    </w:p>
    <w:p w14:paraId="35A6FD31" w14:textId="77777777" w:rsidR="002A2FCE" w:rsidRPr="002A2FCE" w:rsidRDefault="002A2FCE" w:rsidP="0000067D">
      <w:pPr>
        <w:pStyle w:val="Bulletpointslevel3"/>
      </w:pPr>
      <w:r w:rsidRPr="002A2FCE">
        <w:t xml:space="preserve">the adequacy and effectiveness of the activity’s risk management and control systems compared to a relevant control framework or model; </w:t>
      </w:r>
    </w:p>
    <w:p w14:paraId="624C14A5" w14:textId="77777777" w:rsidR="002A2FCE" w:rsidRPr="002A2FCE" w:rsidRDefault="002A2FCE" w:rsidP="0000067D">
      <w:pPr>
        <w:pStyle w:val="Bulletpointslevel3"/>
      </w:pPr>
      <w:r w:rsidRPr="002A2FCE">
        <w:t xml:space="preserve">whether the scope is relevant to the risks identified when developing the internal audit plan; and </w:t>
      </w:r>
    </w:p>
    <w:p w14:paraId="1BC0E199" w14:textId="3AB36337" w:rsidR="002A2FCE" w:rsidRDefault="002A2FCE" w:rsidP="0000067D">
      <w:pPr>
        <w:pStyle w:val="Bulletpointslevel3"/>
      </w:pPr>
      <w:r w:rsidRPr="002A2FCE">
        <w:t xml:space="preserve">the opportunities for making significant improvements to the activity’s risk management and control systems. </w:t>
      </w:r>
    </w:p>
    <w:p w14:paraId="44D67998" w14:textId="1AFD5D5B" w:rsidR="002A2FCE" w:rsidRPr="008D3413" w:rsidRDefault="008D0F4A" w:rsidP="002A2FCE">
      <w:pPr>
        <w:pStyle w:val="Policy-BodyText"/>
        <w:tabs>
          <w:tab w:val="left" w:pos="567"/>
          <w:tab w:val="num" w:pos="709"/>
          <w:tab w:val="left" w:pos="993"/>
          <w:tab w:val="num" w:pos="1702"/>
        </w:tabs>
        <w:spacing w:after="240"/>
        <w:ind w:left="993" w:hanging="567"/>
        <w:jc w:val="both"/>
      </w:pPr>
      <w:bookmarkStart w:id="12" w:name="_Toc526779906"/>
      <w:r>
        <w:t>P</w:t>
      </w:r>
      <w:r w:rsidR="002A2FCE" w:rsidRPr="002A2FCE">
        <w:t xml:space="preserve">reliminary </w:t>
      </w:r>
      <w:bookmarkEnd w:id="12"/>
      <w:r w:rsidR="002A2FCE" w:rsidRPr="002A2FCE">
        <w:t xml:space="preserve">scoping </w:t>
      </w:r>
      <w:r>
        <w:t xml:space="preserve">will be undertaken to </w:t>
      </w:r>
      <w:r w:rsidR="002A2FCE">
        <w:t>a</w:t>
      </w:r>
      <w:r w:rsidR="002A2FCE" w:rsidRPr="008D3413">
        <w:t>scertain and map business units’ current practice</w:t>
      </w:r>
      <w:r w:rsidR="000E71CE">
        <w:t>/s</w:t>
      </w:r>
      <w:r w:rsidR="002A2FCE" w:rsidRPr="008D3413">
        <w:t>, and determin</w:t>
      </w:r>
      <w:r w:rsidR="000E71CE">
        <w:t>e</w:t>
      </w:r>
      <w:r w:rsidR="002A2FCE" w:rsidRPr="008D3413">
        <w:t xml:space="preserve"> if the process is compliant with policy, or if better practice in terms of controls than what is prescribed in legislation or policy. </w:t>
      </w:r>
    </w:p>
    <w:p w14:paraId="7303A62A" w14:textId="6B0BF849" w:rsidR="002A2FCE" w:rsidRPr="008D3413" w:rsidRDefault="002A2FCE" w:rsidP="002A2FCE">
      <w:pPr>
        <w:pStyle w:val="Policy-BodyText"/>
        <w:tabs>
          <w:tab w:val="left" w:pos="567"/>
          <w:tab w:val="num" w:pos="709"/>
          <w:tab w:val="left" w:pos="993"/>
          <w:tab w:val="num" w:pos="1702"/>
        </w:tabs>
        <w:spacing w:after="240"/>
        <w:ind w:left="993" w:hanging="567"/>
        <w:jc w:val="both"/>
      </w:pPr>
      <w:r w:rsidRPr="008D3413">
        <w:t>For each internal audit</w:t>
      </w:r>
      <w:r w:rsidR="00282411">
        <w:t xml:space="preserve"> activity</w:t>
      </w:r>
      <w:r w:rsidRPr="008D3413">
        <w:t xml:space="preserve">, the </w:t>
      </w:r>
      <w:bookmarkStart w:id="13" w:name="_Hlk519524620"/>
      <w:r w:rsidRPr="008D3413">
        <w:t xml:space="preserve">internal auditors </w:t>
      </w:r>
      <w:bookmarkEnd w:id="13"/>
      <w:r w:rsidRPr="008D3413">
        <w:t xml:space="preserve">will determine the risks to be included in the scope of the internal audit. The internal audit fieldwork will be aimed at determining the presence and effectiveness of controls in place to mitigate these potential risks. </w:t>
      </w:r>
    </w:p>
    <w:p w14:paraId="6E0A9350" w14:textId="0BABD81C" w:rsidR="002A2FCE" w:rsidRPr="002A2FCE" w:rsidRDefault="002A2FCE" w:rsidP="0000067D">
      <w:pPr>
        <w:pStyle w:val="Bulletpointslevel3"/>
      </w:pPr>
      <w:r w:rsidRPr="002A2FCE">
        <w:t xml:space="preserve">Scoping/planning meeting: to determine the objectives and scope of each </w:t>
      </w:r>
      <w:r w:rsidR="00282411">
        <w:t>internal audit activity</w:t>
      </w:r>
      <w:r w:rsidRPr="002A2FCE">
        <w:t xml:space="preserve">, the internal auditors will conduct a planning meeting with the management of the </w:t>
      </w:r>
      <w:r w:rsidR="00282411">
        <w:t xml:space="preserve">business </w:t>
      </w:r>
      <w:r w:rsidR="00912575">
        <w:t>unit</w:t>
      </w:r>
      <w:r w:rsidR="00912575" w:rsidRPr="002A2FCE">
        <w:t xml:space="preserve"> being</w:t>
      </w:r>
      <w:r w:rsidRPr="002A2FCE">
        <w:t xml:space="preserve"> audited/reviewed. </w:t>
      </w:r>
    </w:p>
    <w:p w14:paraId="26C26038" w14:textId="229C9657" w:rsidR="002A2FCE" w:rsidRPr="002A2FCE" w:rsidRDefault="002A2FCE" w:rsidP="0000067D">
      <w:pPr>
        <w:pStyle w:val="Bulletpointslevel3"/>
      </w:pPr>
      <w:r w:rsidRPr="002A2FCE">
        <w:t xml:space="preserve">Audit criteria: the internal auditors should clarify the specific explicit and implicit criteria against which evidence collected will be evaluated. Criteria are explicit when they are clearly set out in policies, manuals, standard operating procedures, standards, laws and/or regulations. </w:t>
      </w:r>
    </w:p>
    <w:p w14:paraId="6E631190" w14:textId="100670BF"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w:t>
      </w:r>
      <w:bookmarkStart w:id="14" w:name="_Hlk519508807"/>
      <w:r w:rsidRPr="00EC6BFB">
        <w:t xml:space="preserve">internal auditors </w:t>
      </w:r>
      <w:bookmarkEnd w:id="14"/>
      <w:r w:rsidRPr="00EC6BFB">
        <w:t xml:space="preserve">will prepare an </w:t>
      </w:r>
      <w:r w:rsidR="00063F07">
        <w:t>a</w:t>
      </w:r>
      <w:r w:rsidRPr="00EC6BFB">
        <w:t xml:space="preserve">udit </w:t>
      </w:r>
      <w:r w:rsidR="0031515D">
        <w:t>Terms of Reference</w:t>
      </w:r>
      <w:r w:rsidRPr="00EC6BFB">
        <w:t xml:space="preserve"> that will normally include the: </w:t>
      </w:r>
    </w:p>
    <w:p w14:paraId="69A5B812" w14:textId="77777777" w:rsidR="00EC6BFB" w:rsidRPr="00EC6BFB" w:rsidRDefault="00EC6BFB" w:rsidP="00D60536">
      <w:pPr>
        <w:pStyle w:val="Bulletpointslevel3"/>
      </w:pPr>
      <w:r w:rsidRPr="00EC6BFB">
        <w:t xml:space="preserve">Overview of the area to be audited/reviewed; </w:t>
      </w:r>
    </w:p>
    <w:p w14:paraId="159386FF" w14:textId="77777777" w:rsidR="00EC6BFB" w:rsidRPr="00EC6BFB" w:rsidRDefault="00EC6BFB" w:rsidP="00D60536">
      <w:pPr>
        <w:pStyle w:val="Bulletpointslevel3"/>
      </w:pPr>
      <w:r w:rsidRPr="00EC6BFB">
        <w:t xml:space="preserve">Background on why the audit is taking place; </w:t>
      </w:r>
    </w:p>
    <w:p w14:paraId="57AEB329" w14:textId="77777777" w:rsidR="00EC6BFB" w:rsidRPr="00EC6BFB" w:rsidRDefault="00EC6BFB" w:rsidP="00D60536">
      <w:pPr>
        <w:pStyle w:val="Bulletpointslevel3"/>
      </w:pPr>
      <w:r w:rsidRPr="00EC6BFB">
        <w:t xml:space="preserve">Objectives of the audit; </w:t>
      </w:r>
    </w:p>
    <w:p w14:paraId="641C1385" w14:textId="77777777" w:rsidR="00EC6BFB" w:rsidRPr="00EC6BFB" w:rsidRDefault="00EC6BFB" w:rsidP="00D60536">
      <w:pPr>
        <w:pStyle w:val="Bulletpointslevel3"/>
      </w:pPr>
      <w:r w:rsidRPr="00EC6BFB">
        <w:t xml:space="preserve">Scope of the audit i.e. the processes the audit will include and exclude; </w:t>
      </w:r>
    </w:p>
    <w:p w14:paraId="2425B72D" w14:textId="77777777" w:rsidR="00EC6BFB" w:rsidRPr="00EC6BFB" w:rsidRDefault="00EC6BFB" w:rsidP="00D60536">
      <w:pPr>
        <w:pStyle w:val="Bulletpointslevel3"/>
      </w:pPr>
      <w:r w:rsidRPr="00EC6BFB">
        <w:t xml:space="preserve">Audit standards that will be followed including the type of engagement; </w:t>
      </w:r>
    </w:p>
    <w:p w14:paraId="55F0F55D" w14:textId="77777777" w:rsidR="00EC6BFB" w:rsidRPr="00EC6BFB" w:rsidRDefault="00EC6BFB" w:rsidP="00D60536">
      <w:pPr>
        <w:pStyle w:val="Bulletpointslevel3"/>
      </w:pPr>
      <w:r w:rsidRPr="00EC6BFB">
        <w:lastRenderedPageBreak/>
        <w:t xml:space="preserve">Audit methodology/approach to be taken; </w:t>
      </w:r>
    </w:p>
    <w:p w14:paraId="1801DD95" w14:textId="77777777" w:rsidR="00EC6BFB" w:rsidRPr="00EC6BFB" w:rsidRDefault="00EC6BFB" w:rsidP="00D60536">
      <w:pPr>
        <w:pStyle w:val="Bulletpointslevel3"/>
      </w:pPr>
      <w:r w:rsidRPr="00EC6BFB">
        <w:t xml:space="preserve">Key deliverables of the project; </w:t>
      </w:r>
    </w:p>
    <w:p w14:paraId="1A9E6D14" w14:textId="77777777" w:rsidR="00EC6BFB" w:rsidRPr="00EC6BFB" w:rsidRDefault="00EC6BFB" w:rsidP="00D60536">
      <w:pPr>
        <w:pStyle w:val="Bulletpointslevel3"/>
      </w:pPr>
      <w:r w:rsidRPr="00EC6BFB">
        <w:t xml:space="preserve">Professional standards that will be followed; </w:t>
      </w:r>
    </w:p>
    <w:p w14:paraId="4ACB6AD6" w14:textId="77777777" w:rsidR="00EC6BFB" w:rsidRPr="00EC6BFB" w:rsidRDefault="00EC6BFB" w:rsidP="00D60536">
      <w:pPr>
        <w:pStyle w:val="Bulletpointslevel3"/>
      </w:pPr>
      <w:r w:rsidRPr="00EC6BFB">
        <w:t xml:space="preserve">Resources that will be used on the audit and the cost; and </w:t>
      </w:r>
    </w:p>
    <w:p w14:paraId="78CE7406" w14:textId="27629F39" w:rsidR="00EC6BFB" w:rsidRDefault="00EC6BFB" w:rsidP="00D60536">
      <w:pPr>
        <w:pStyle w:val="Bulletpointslevel3"/>
      </w:pPr>
      <w:r w:rsidRPr="00EC6BFB">
        <w:t>Timing for the commencement of field work, draft report for discussion and final report for tabling.</w:t>
      </w:r>
    </w:p>
    <w:p w14:paraId="2345F3AE" w14:textId="3D3CC25C"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draft </w:t>
      </w:r>
      <w:r w:rsidR="00F4666A">
        <w:t>a</w:t>
      </w:r>
      <w:r w:rsidRPr="00EC6BFB">
        <w:t xml:space="preserve">udit </w:t>
      </w:r>
      <w:r w:rsidR="00F4666A">
        <w:t>Terms of Reference</w:t>
      </w:r>
      <w:r w:rsidRPr="00EC6BFB">
        <w:t xml:space="preserve"> is sent to the Chief Internal Auditor for approval and then to the Audit Sponsor for approval. Upon receiving the draft </w:t>
      </w:r>
      <w:r w:rsidR="001478B3">
        <w:t>a</w:t>
      </w:r>
      <w:r w:rsidRPr="00EC6BFB">
        <w:t>udit</w:t>
      </w:r>
      <w:r w:rsidR="001478B3">
        <w:t xml:space="preserve"> Terms of Reference</w:t>
      </w:r>
      <w:r w:rsidRPr="00EC6BFB">
        <w:t xml:space="preserve">, the Audit Sponsor is required to provide comments </w:t>
      </w:r>
      <w:r w:rsidR="001478B3">
        <w:t xml:space="preserve">and </w:t>
      </w:r>
      <w:r w:rsidRPr="00EC6BFB">
        <w:t xml:space="preserve">approval within </w:t>
      </w:r>
      <w:r w:rsidRPr="00EC6BFB">
        <w:rPr>
          <w:b/>
          <w:bCs/>
          <w:u w:val="single"/>
        </w:rPr>
        <w:t>one week</w:t>
      </w:r>
      <w:r w:rsidRPr="00EC6BFB">
        <w:t xml:space="preserve">. </w:t>
      </w:r>
    </w:p>
    <w:p w14:paraId="4DA22A75" w14:textId="77CAE4AE" w:rsidR="00EC6BFB" w:rsidRPr="00EC6BFB" w:rsidRDefault="00EC6BFB" w:rsidP="00EC6BFB">
      <w:pPr>
        <w:tabs>
          <w:tab w:val="left" w:pos="426"/>
        </w:tabs>
        <w:spacing w:before="120" w:after="240"/>
        <w:ind w:left="567" w:hanging="567"/>
        <w:jc w:val="both"/>
        <w:outlineLvl w:val="2"/>
        <w:rPr>
          <w:rFonts w:ascii="Calibri" w:hAnsi="Calibri"/>
          <w:b/>
          <w:color w:val="262626" w:themeColor="text1" w:themeTint="D9"/>
          <w:szCs w:val="28"/>
        </w:rPr>
      </w:pPr>
      <w:bookmarkStart w:id="15" w:name="_Toc526779910"/>
      <w:bookmarkStart w:id="16" w:name="_Toc22886856"/>
      <w:r>
        <w:rPr>
          <w:rFonts w:ascii="Calibri" w:hAnsi="Calibri"/>
          <w:b/>
          <w:color w:val="262626" w:themeColor="text1" w:themeTint="D9"/>
          <w:szCs w:val="28"/>
        </w:rPr>
        <w:t xml:space="preserve">        </w:t>
      </w:r>
      <w:r w:rsidRPr="00EC6BFB">
        <w:rPr>
          <w:rFonts w:ascii="Calibri" w:hAnsi="Calibri"/>
          <w:b/>
          <w:color w:val="262626" w:themeColor="text1" w:themeTint="D9"/>
          <w:szCs w:val="28"/>
        </w:rPr>
        <w:t>Entry Meeting</w:t>
      </w:r>
      <w:bookmarkEnd w:id="15"/>
      <w:bookmarkEnd w:id="16"/>
      <w:r w:rsidRPr="00EC6BFB">
        <w:rPr>
          <w:rFonts w:ascii="Calibri" w:hAnsi="Calibri"/>
          <w:b/>
          <w:color w:val="262626" w:themeColor="text1" w:themeTint="D9"/>
          <w:szCs w:val="28"/>
        </w:rPr>
        <w:t xml:space="preserve"> </w:t>
      </w:r>
    </w:p>
    <w:p w14:paraId="6143B8F2" w14:textId="7C1CC0ED" w:rsidR="00EC6BFB" w:rsidRPr="00EC6BFB" w:rsidRDefault="00EC6BFB" w:rsidP="00EC6BFB">
      <w:pPr>
        <w:pStyle w:val="Policy-BodyText"/>
        <w:tabs>
          <w:tab w:val="left" w:pos="567"/>
          <w:tab w:val="num" w:pos="709"/>
          <w:tab w:val="left" w:pos="993"/>
        </w:tabs>
        <w:spacing w:after="240"/>
        <w:ind w:left="993" w:hanging="567"/>
        <w:jc w:val="both"/>
      </w:pPr>
      <w:r w:rsidRPr="00EC6BFB">
        <w:t xml:space="preserve">The </w:t>
      </w:r>
      <w:r w:rsidR="00733777">
        <w:t>purpose of an entry meeting is</w:t>
      </w:r>
      <w:r w:rsidRPr="00EC6BFB">
        <w:t xml:space="preserve"> to: </w:t>
      </w:r>
    </w:p>
    <w:p w14:paraId="7E1B1213" w14:textId="28F288BE" w:rsidR="00EC6BFB" w:rsidRPr="00EC6BFB" w:rsidRDefault="00EC6BFB" w:rsidP="00D60536">
      <w:pPr>
        <w:pStyle w:val="Bulletpointslevel3"/>
      </w:pPr>
      <w:r w:rsidRPr="00EC6BFB">
        <w:t xml:space="preserve">ensure all relevant staff of the audited area are aware that the audit is taking place and know who the </w:t>
      </w:r>
      <w:r w:rsidR="00D27541">
        <w:t xml:space="preserve">internal </w:t>
      </w:r>
      <w:r w:rsidRPr="00EC6BFB">
        <w:t xml:space="preserve">auditors are; </w:t>
      </w:r>
    </w:p>
    <w:p w14:paraId="6F914DE6" w14:textId="1E90FF04" w:rsidR="00EC6BFB" w:rsidRPr="00EC6BFB" w:rsidRDefault="00EC6BFB" w:rsidP="00D60536">
      <w:pPr>
        <w:pStyle w:val="Bulletpointslevel3"/>
      </w:pPr>
      <w:r w:rsidRPr="00EC6BFB">
        <w:t>confirm the audit time</w:t>
      </w:r>
      <w:r w:rsidR="00441B44">
        <w:t>frames</w:t>
      </w:r>
      <w:r w:rsidRPr="00EC6BFB">
        <w:t xml:space="preserve">; and </w:t>
      </w:r>
    </w:p>
    <w:p w14:paraId="0AA278B4" w14:textId="5B5F0990" w:rsidR="00441B44" w:rsidRPr="00441B44" w:rsidRDefault="00EC6BFB" w:rsidP="00D60536">
      <w:pPr>
        <w:pStyle w:val="Bulletpointslevel3"/>
      </w:pPr>
      <w:r w:rsidRPr="00EC6BFB">
        <w:t xml:space="preserve">signal the commencement of audit fieldwork. </w:t>
      </w:r>
    </w:p>
    <w:p w14:paraId="55743D17" w14:textId="6A5B3D4A" w:rsidR="00EC6BFB" w:rsidRPr="00EC6BFB" w:rsidRDefault="00EC6BFB" w:rsidP="00EC6BFB">
      <w:pPr>
        <w:pStyle w:val="Policy-BodyText"/>
        <w:tabs>
          <w:tab w:val="left" w:pos="567"/>
          <w:tab w:val="num" w:pos="709"/>
          <w:tab w:val="left" w:pos="993"/>
        </w:tabs>
        <w:spacing w:after="240"/>
        <w:ind w:left="993" w:hanging="567"/>
        <w:jc w:val="both"/>
      </w:pPr>
      <w:r w:rsidRPr="00EC6BFB">
        <w:t>The entry meeting will be attended by the internal auditors</w:t>
      </w:r>
      <w:r w:rsidR="00D27541">
        <w:t xml:space="preserve"> and key stakeholders</w:t>
      </w:r>
      <w:r w:rsidRPr="00EC6BFB">
        <w:t xml:space="preserve"> from the area to be audited. It will be chaired by the Chief Internal Auditor</w:t>
      </w:r>
      <w:r w:rsidR="00D27541">
        <w:t xml:space="preserve"> and the </w:t>
      </w:r>
      <w:r w:rsidR="00E0310D">
        <w:t>A</w:t>
      </w:r>
      <w:r w:rsidR="00D27541">
        <w:t xml:space="preserve">udit </w:t>
      </w:r>
      <w:r w:rsidR="00E0310D">
        <w:t>S</w:t>
      </w:r>
      <w:r w:rsidR="00D27541">
        <w:t>ponsor will be invited</w:t>
      </w:r>
      <w:r w:rsidR="00187440">
        <w:t>.</w:t>
      </w:r>
      <w:r w:rsidR="00D27541">
        <w:t xml:space="preserve"> </w:t>
      </w:r>
    </w:p>
    <w:p w14:paraId="6627CB90" w14:textId="5A3F9268" w:rsidR="0093305A" w:rsidRPr="0093305A" w:rsidRDefault="0096778D" w:rsidP="0096778D">
      <w:pPr>
        <w:tabs>
          <w:tab w:val="left" w:pos="426"/>
        </w:tabs>
        <w:spacing w:before="120" w:after="240"/>
        <w:jc w:val="both"/>
        <w:outlineLvl w:val="2"/>
        <w:rPr>
          <w:rFonts w:ascii="Calibri" w:hAnsi="Calibri"/>
          <w:b/>
          <w:color w:val="262626" w:themeColor="text1" w:themeTint="D9"/>
          <w:szCs w:val="28"/>
        </w:rPr>
      </w:pPr>
      <w:bookmarkStart w:id="17" w:name="_Toc22886857"/>
      <w:r>
        <w:rPr>
          <w:rFonts w:ascii="Calibri" w:hAnsi="Calibri"/>
          <w:b/>
          <w:color w:val="262626" w:themeColor="text1" w:themeTint="D9"/>
          <w:szCs w:val="28"/>
        </w:rPr>
        <w:t xml:space="preserve">        </w:t>
      </w:r>
      <w:r w:rsidR="0093305A" w:rsidRPr="0093305A">
        <w:rPr>
          <w:rFonts w:ascii="Calibri" w:hAnsi="Calibri"/>
          <w:b/>
          <w:color w:val="262626" w:themeColor="text1" w:themeTint="D9"/>
          <w:szCs w:val="28"/>
        </w:rPr>
        <w:t>Audit Fieldwork</w:t>
      </w:r>
      <w:bookmarkEnd w:id="17"/>
      <w:r w:rsidR="00F52B35">
        <w:rPr>
          <w:rFonts w:ascii="Calibri" w:hAnsi="Calibri"/>
          <w:b/>
          <w:color w:val="262626" w:themeColor="text1" w:themeTint="D9"/>
          <w:szCs w:val="28"/>
        </w:rPr>
        <w:t xml:space="preserve"> and Documentation</w:t>
      </w:r>
    </w:p>
    <w:p w14:paraId="1A4F4A79" w14:textId="1956AE17" w:rsidR="0093305A" w:rsidRPr="0093305A" w:rsidRDefault="008D517E" w:rsidP="0093305A">
      <w:pPr>
        <w:pStyle w:val="Policy-BodyText"/>
        <w:tabs>
          <w:tab w:val="left" w:pos="567"/>
          <w:tab w:val="num" w:pos="709"/>
          <w:tab w:val="left" w:pos="993"/>
          <w:tab w:val="num" w:pos="1702"/>
        </w:tabs>
        <w:spacing w:after="240"/>
        <w:ind w:left="993" w:hanging="567"/>
        <w:jc w:val="both"/>
      </w:pPr>
      <w:r>
        <w:t>A</w:t>
      </w:r>
      <w:r w:rsidR="0093305A" w:rsidRPr="0093305A">
        <w:t xml:space="preserve"> risk assessment is conducted at the activity level to identify and evaluate risk exposures and determine audit objectives. It involves considering business process risks, quality of management and/or individual performance. The risks that threaten the objectives of each process to be audited should be identified and classified. The audit will concentrate on those processes which are assessed as moderate or higher risk. </w:t>
      </w:r>
    </w:p>
    <w:p w14:paraId="6EE8BD59" w14:textId="56CFA4F6" w:rsidR="0093305A" w:rsidRPr="0093305A" w:rsidRDefault="0066113F" w:rsidP="0093305A">
      <w:pPr>
        <w:pStyle w:val="Policy-BodyText"/>
        <w:tabs>
          <w:tab w:val="left" w:pos="567"/>
          <w:tab w:val="num" w:pos="709"/>
          <w:tab w:val="left" w:pos="993"/>
          <w:tab w:val="num" w:pos="1702"/>
        </w:tabs>
        <w:spacing w:after="240"/>
        <w:ind w:left="993" w:hanging="567"/>
        <w:jc w:val="both"/>
      </w:pPr>
      <w:r>
        <w:t>The internal auditors must obtain an understanding of the internal control system</w:t>
      </w:r>
      <w:r w:rsidR="00343A36">
        <w:t xml:space="preserve"> to </w:t>
      </w:r>
      <w:r w:rsidR="007413B5">
        <w:t>make a preliminary assessment as to</w:t>
      </w:r>
      <w:r w:rsidR="00343A36">
        <w:t xml:space="preserve"> whether </w:t>
      </w:r>
      <w:r w:rsidR="007413B5">
        <w:t>those controls</w:t>
      </w:r>
      <w:r w:rsidR="00343A36">
        <w:t xml:space="preserve"> are effective in mitigating risks</w:t>
      </w:r>
      <w:r>
        <w:t xml:space="preserve">. </w:t>
      </w:r>
      <w:r w:rsidR="0030621F">
        <w:t xml:space="preserve">This can occur through the gathering, testing and analysis of information </w:t>
      </w:r>
      <w:r w:rsidR="00F17B48">
        <w:t xml:space="preserve">using various </w:t>
      </w:r>
      <w:r w:rsidR="007413B5">
        <w:t xml:space="preserve">auditing </w:t>
      </w:r>
      <w:r w:rsidR="00F17B48">
        <w:t xml:space="preserve">techniques. Audit techniques can include </w:t>
      </w:r>
      <w:r w:rsidR="007413B5">
        <w:t xml:space="preserve">(but are not limited to) </w:t>
      </w:r>
      <w:r w:rsidR="00B12617">
        <w:t>conducting interviews, reviewing documents,</w:t>
      </w:r>
      <w:r w:rsidR="007413B5">
        <w:t xml:space="preserve"> analysing data,</w:t>
      </w:r>
      <w:r w:rsidR="00B12617">
        <w:t xml:space="preserve"> requesting questionnaires</w:t>
      </w:r>
      <w:r w:rsidR="00D63264">
        <w:t xml:space="preserve"> and observations in walk-throughs. </w:t>
      </w:r>
    </w:p>
    <w:p w14:paraId="05A75484" w14:textId="6062C49B" w:rsidR="0093305A" w:rsidRPr="00D418BD" w:rsidRDefault="0093305A" w:rsidP="0093305A">
      <w:pPr>
        <w:pStyle w:val="Policy-BodyText"/>
        <w:tabs>
          <w:tab w:val="left" w:pos="567"/>
          <w:tab w:val="num" w:pos="709"/>
          <w:tab w:val="left" w:pos="993"/>
          <w:tab w:val="num" w:pos="1702"/>
        </w:tabs>
        <w:spacing w:after="240"/>
        <w:ind w:left="993" w:hanging="567"/>
        <w:jc w:val="both"/>
      </w:pPr>
      <w:r w:rsidRPr="0093305A">
        <w:t xml:space="preserve">To test the existence and/or effectiveness of controls in place to treat identified risks, the internal auditors follow </w:t>
      </w:r>
      <w:r w:rsidR="007413B5">
        <w:t xml:space="preserve">a </w:t>
      </w:r>
      <w:r w:rsidRPr="0093305A">
        <w:t>documented audit testing program</w:t>
      </w:r>
      <w:r w:rsidR="007413B5">
        <w:t>. The program</w:t>
      </w:r>
      <w:r w:rsidRPr="0093305A">
        <w:t xml:space="preserve"> involve</w:t>
      </w:r>
      <w:r w:rsidR="00365A72">
        <w:t>s</w:t>
      </w:r>
      <w:r w:rsidRPr="0093305A">
        <w:t xml:space="preserve"> reviewing and documenting current processes and conducting sample testing</w:t>
      </w:r>
      <w:r>
        <w:t xml:space="preserve"> </w:t>
      </w:r>
      <w:r w:rsidRPr="00D418BD">
        <w:t xml:space="preserve">where appropriate. </w:t>
      </w:r>
    </w:p>
    <w:p w14:paraId="7FB195F6" w14:textId="77777777" w:rsidR="0093305A" w:rsidRPr="00D418BD" w:rsidRDefault="0093305A" w:rsidP="0093305A">
      <w:pPr>
        <w:pStyle w:val="Policy-BodyText"/>
        <w:tabs>
          <w:tab w:val="left" w:pos="567"/>
          <w:tab w:val="num" w:pos="709"/>
          <w:tab w:val="left" w:pos="993"/>
          <w:tab w:val="num" w:pos="1702"/>
        </w:tabs>
        <w:spacing w:after="240"/>
        <w:ind w:left="993" w:hanging="567"/>
        <w:jc w:val="both"/>
      </w:pPr>
      <w:r w:rsidRPr="00D418BD">
        <w:t xml:space="preserve">The structure of the audit testing program should be made up of the following: </w:t>
      </w:r>
    </w:p>
    <w:p w14:paraId="5AD300F7" w14:textId="77777777" w:rsidR="0093305A" w:rsidRPr="0093305A" w:rsidRDefault="0093305A" w:rsidP="00DF21C6">
      <w:pPr>
        <w:pStyle w:val="Bulletpointslevel3"/>
      </w:pPr>
      <w:r w:rsidRPr="0093305A">
        <w:t xml:space="preserve">Audit objective; </w:t>
      </w:r>
    </w:p>
    <w:p w14:paraId="6BD8F4A5" w14:textId="77777777" w:rsidR="0093305A" w:rsidRPr="0093305A" w:rsidRDefault="0093305A" w:rsidP="00DF21C6">
      <w:pPr>
        <w:pStyle w:val="Bulletpointslevel3"/>
      </w:pPr>
      <w:r w:rsidRPr="0093305A">
        <w:t xml:space="preserve">Audit scope; </w:t>
      </w:r>
    </w:p>
    <w:p w14:paraId="7D2E53E0" w14:textId="77777777" w:rsidR="0093305A" w:rsidRPr="0093305A" w:rsidRDefault="0093305A" w:rsidP="00DF21C6">
      <w:pPr>
        <w:pStyle w:val="Bulletpointslevel3"/>
      </w:pPr>
      <w:r w:rsidRPr="0093305A">
        <w:lastRenderedPageBreak/>
        <w:t xml:space="preserve">Risk and control analysis; </w:t>
      </w:r>
    </w:p>
    <w:p w14:paraId="7554B4FA" w14:textId="77777777" w:rsidR="0093305A" w:rsidRPr="0093305A" w:rsidRDefault="0093305A" w:rsidP="00DF21C6">
      <w:pPr>
        <w:pStyle w:val="Bulletpointslevel3"/>
      </w:pPr>
      <w:r w:rsidRPr="0093305A">
        <w:t xml:space="preserve">Audit criteria; and </w:t>
      </w:r>
    </w:p>
    <w:p w14:paraId="158A4AFA" w14:textId="3995D8F3" w:rsidR="0093305A" w:rsidRPr="0093305A" w:rsidRDefault="0093305A" w:rsidP="00DF21C6">
      <w:pPr>
        <w:pStyle w:val="Bulletpointslevel3"/>
      </w:pPr>
      <w:r w:rsidRPr="0093305A">
        <w:t xml:space="preserve">Previous audit recommendations – in cases where previous audits are relevant. The internal auditors and/or outsourced service providers will then verify that the matters have been addressed or are being addressed. </w:t>
      </w:r>
    </w:p>
    <w:p w14:paraId="756B1236" w14:textId="77777777" w:rsidR="0093305A" w:rsidRPr="00790C7C" w:rsidRDefault="0093305A" w:rsidP="0093305A">
      <w:pPr>
        <w:pStyle w:val="Policy-BodyText"/>
        <w:tabs>
          <w:tab w:val="left" w:pos="567"/>
          <w:tab w:val="num" w:pos="709"/>
          <w:tab w:val="left" w:pos="993"/>
          <w:tab w:val="num" w:pos="1702"/>
        </w:tabs>
        <w:spacing w:after="240"/>
        <w:ind w:left="993" w:hanging="567"/>
        <w:jc w:val="both"/>
      </w:pPr>
      <w:r w:rsidRPr="00790C7C">
        <w:t xml:space="preserve">Internal Audit sampling will be conducted in line with sampling methodologies. </w:t>
      </w:r>
    </w:p>
    <w:p w14:paraId="27A6A711" w14:textId="00B67767" w:rsidR="0093305A" w:rsidRPr="00790C7C" w:rsidRDefault="00F1502D" w:rsidP="0093305A">
      <w:pPr>
        <w:pStyle w:val="Policy-BodyText"/>
        <w:tabs>
          <w:tab w:val="left" w:pos="567"/>
          <w:tab w:val="num" w:pos="709"/>
          <w:tab w:val="left" w:pos="993"/>
          <w:tab w:val="num" w:pos="1702"/>
        </w:tabs>
        <w:spacing w:after="240"/>
        <w:ind w:left="993" w:hanging="567"/>
        <w:jc w:val="both"/>
      </w:pPr>
      <w:r w:rsidRPr="00790C7C">
        <w:t>During</w:t>
      </w:r>
      <w:r w:rsidR="0093305A" w:rsidRPr="00790C7C">
        <w:t xml:space="preserve"> the audit</w:t>
      </w:r>
      <w:r w:rsidR="0093305A">
        <w:t xml:space="preserve"> </w:t>
      </w:r>
      <w:r w:rsidR="0093305A" w:rsidRPr="00790C7C">
        <w:t>field</w:t>
      </w:r>
      <w:r w:rsidR="0093305A">
        <w:t>work</w:t>
      </w:r>
      <w:r w:rsidR="0093305A" w:rsidRPr="00790C7C">
        <w:t xml:space="preserve">, the </w:t>
      </w:r>
      <w:bookmarkStart w:id="18" w:name="_Hlk519509261"/>
      <w:r w:rsidR="0093305A" w:rsidRPr="00790C7C">
        <w:t xml:space="preserve">internal auditors </w:t>
      </w:r>
      <w:bookmarkEnd w:id="18"/>
      <w:r w:rsidR="0093305A" w:rsidRPr="00790C7C">
        <w:t>will communicate matters of significance with the Chief Internal Auditor</w:t>
      </w:r>
      <w:r w:rsidR="0093305A">
        <w:t xml:space="preserve"> and Audit Sponsor</w:t>
      </w:r>
      <w:r w:rsidR="0093305A" w:rsidRPr="00790C7C">
        <w:t xml:space="preserve"> to minimise the possibility of "surprises" at the end of the audit. This may be done informally (e.g. emails, discussions) or via formal meetings. </w:t>
      </w:r>
    </w:p>
    <w:p w14:paraId="3F63FDFC" w14:textId="754786F7" w:rsidR="0093305A" w:rsidRPr="00D418BD" w:rsidRDefault="0093305A" w:rsidP="0093305A">
      <w:pPr>
        <w:pStyle w:val="Policy-BodyText"/>
        <w:tabs>
          <w:tab w:val="left" w:pos="567"/>
          <w:tab w:val="num" w:pos="709"/>
          <w:tab w:val="left" w:pos="993"/>
          <w:tab w:val="num" w:pos="1702"/>
        </w:tabs>
        <w:spacing w:after="240"/>
        <w:ind w:left="993" w:hanging="567"/>
        <w:jc w:val="both"/>
      </w:pPr>
      <w:r w:rsidRPr="00D418BD">
        <w:t xml:space="preserve">Audit evidence refers to all the information used by the internal auditors in arriving at the </w:t>
      </w:r>
      <w:r>
        <w:t xml:space="preserve">findings and </w:t>
      </w:r>
      <w:r w:rsidRPr="00D418BD">
        <w:t xml:space="preserve">recommendations. </w:t>
      </w:r>
      <w:r w:rsidR="006E3A72">
        <w:t xml:space="preserve">Evidence needs to support the basis of the </w:t>
      </w:r>
      <w:r w:rsidR="003203EB">
        <w:t>findings;</w:t>
      </w:r>
      <w:r w:rsidR="006E3A72">
        <w:t xml:space="preserve"> it should be relevant and appropriate to the internal audit </w:t>
      </w:r>
      <w:r w:rsidR="009A57FB">
        <w:t>testing program</w:t>
      </w:r>
      <w:r w:rsidR="006E3A72">
        <w:t xml:space="preserve">. </w:t>
      </w:r>
      <w:r w:rsidRPr="00D418BD">
        <w:t xml:space="preserve">Sample sizes should be representative and sufficient to ensure that conclusions reached may be </w:t>
      </w:r>
      <w:r>
        <w:t xml:space="preserve">statistically </w:t>
      </w:r>
      <w:r w:rsidRPr="00D418BD">
        <w:t xml:space="preserve">valid </w:t>
      </w:r>
      <w:r>
        <w:t>deriving</w:t>
      </w:r>
      <w:r w:rsidRPr="00D418BD">
        <w:t xml:space="preserve"> from the data. </w:t>
      </w:r>
    </w:p>
    <w:p w14:paraId="7A1378F8" w14:textId="77777777" w:rsidR="0093305A" w:rsidRPr="00D418BD" w:rsidRDefault="0093305A" w:rsidP="0037165C">
      <w:pPr>
        <w:pStyle w:val="Policy-BodyText"/>
        <w:tabs>
          <w:tab w:val="left" w:pos="567"/>
          <w:tab w:val="num" w:pos="709"/>
          <w:tab w:val="left" w:pos="993"/>
          <w:tab w:val="num" w:pos="1702"/>
        </w:tabs>
        <w:spacing w:after="240"/>
        <w:ind w:left="993" w:hanging="567"/>
        <w:jc w:val="both"/>
      </w:pPr>
      <w:r>
        <w:t>W</w:t>
      </w:r>
      <w:r w:rsidRPr="00D418BD">
        <w:t xml:space="preserve">orking papers document the </w:t>
      </w:r>
      <w:r>
        <w:t xml:space="preserve">audit </w:t>
      </w:r>
      <w:r w:rsidRPr="00D418BD">
        <w:t xml:space="preserve">work that was </w:t>
      </w:r>
      <w:r>
        <w:t xml:space="preserve">completed </w:t>
      </w:r>
      <w:r w:rsidRPr="00D418BD">
        <w:t>from the preliminary scoping stages through to the final report. Audit working papers show whether due professional care was exercised and illustrate</w:t>
      </w:r>
      <w:r>
        <w:t>s</w:t>
      </w:r>
      <w:r w:rsidRPr="00D418BD">
        <w:t xml:space="preserve"> compliance with professional auditing standards. </w:t>
      </w:r>
    </w:p>
    <w:p w14:paraId="5814CCC9" w14:textId="62EC3F55" w:rsidR="0093305A" w:rsidRPr="00D418BD" w:rsidRDefault="0093305A" w:rsidP="0037165C">
      <w:pPr>
        <w:pStyle w:val="Policy-BodyText"/>
        <w:tabs>
          <w:tab w:val="left" w:pos="567"/>
          <w:tab w:val="num" w:pos="709"/>
          <w:tab w:val="left" w:pos="993"/>
          <w:tab w:val="num" w:pos="1702"/>
        </w:tabs>
        <w:spacing w:after="240"/>
        <w:ind w:left="993" w:hanging="567"/>
        <w:jc w:val="both"/>
      </w:pPr>
      <w:r w:rsidRPr="00D418BD">
        <w:t xml:space="preserve">Fieldwork and testing will be documented in the internal auditors standard format </w:t>
      </w:r>
      <w:r>
        <w:t xml:space="preserve">for </w:t>
      </w:r>
      <w:r w:rsidRPr="00D418BD">
        <w:t xml:space="preserve">working papers. </w:t>
      </w:r>
    </w:p>
    <w:p w14:paraId="12CBFF1D" w14:textId="1B525C9D" w:rsidR="0093305A" w:rsidRDefault="0093305A" w:rsidP="0037165C">
      <w:pPr>
        <w:pStyle w:val="Policy-BodyText"/>
        <w:tabs>
          <w:tab w:val="left" w:pos="567"/>
          <w:tab w:val="num" w:pos="709"/>
          <w:tab w:val="left" w:pos="993"/>
          <w:tab w:val="num" w:pos="1702"/>
        </w:tabs>
        <w:spacing w:after="240"/>
        <w:ind w:left="993" w:hanging="567"/>
        <w:jc w:val="both"/>
      </w:pPr>
      <w:r w:rsidRPr="00D418BD">
        <w:t xml:space="preserve">All working papers will be subject to a quality assurance and technical review by a more senior staff member of the internal auditors and/or outsourced service providers than the staff member who completed the working papers. </w:t>
      </w:r>
      <w:r w:rsidR="006F1DA1">
        <w:t>The Audit and Assurance team will request and retain all audit w</w:t>
      </w:r>
      <w:r w:rsidR="00F2787A">
        <w:t xml:space="preserve">orking papers </w:t>
      </w:r>
      <w:r w:rsidR="006F1DA1">
        <w:t xml:space="preserve">at the </w:t>
      </w:r>
      <w:r w:rsidR="002A6C01">
        <w:t xml:space="preserve">conclusion of </w:t>
      </w:r>
      <w:r w:rsidR="00314FF6">
        <w:t>each internal</w:t>
      </w:r>
      <w:r w:rsidR="002A6C01">
        <w:t xml:space="preserve"> audit</w:t>
      </w:r>
      <w:r w:rsidR="00314FF6">
        <w:t xml:space="preserve"> activity</w:t>
      </w:r>
      <w:r w:rsidR="002A6C01">
        <w:t xml:space="preserve">. </w:t>
      </w:r>
    </w:p>
    <w:p w14:paraId="3706AD5D" w14:textId="77777777" w:rsidR="0093305A" w:rsidRPr="00FB17DB" w:rsidRDefault="0093305A" w:rsidP="0037165C">
      <w:pPr>
        <w:pStyle w:val="Policy-BodyText"/>
        <w:tabs>
          <w:tab w:val="left" w:pos="567"/>
          <w:tab w:val="num" w:pos="709"/>
          <w:tab w:val="left" w:pos="993"/>
          <w:tab w:val="num" w:pos="1702"/>
        </w:tabs>
        <w:spacing w:after="240"/>
        <w:ind w:left="993" w:hanging="567"/>
        <w:jc w:val="both"/>
      </w:pPr>
      <w:r w:rsidRPr="00FB17DB">
        <w:t xml:space="preserve">All internal audit documentation is to remain the property of, and to be able to be accessed by the Directorate, including where the internal audit services are performed by an outsourced service provider. </w:t>
      </w:r>
    </w:p>
    <w:p w14:paraId="16359A9C" w14:textId="77777777" w:rsidR="0093305A" w:rsidRPr="00D418BD" w:rsidRDefault="0093305A" w:rsidP="0037165C">
      <w:pPr>
        <w:pStyle w:val="Policy-BodyText"/>
        <w:tabs>
          <w:tab w:val="left" w:pos="567"/>
          <w:tab w:val="num" w:pos="709"/>
          <w:tab w:val="left" w:pos="993"/>
          <w:tab w:val="num" w:pos="1702"/>
        </w:tabs>
        <w:spacing w:after="240"/>
        <w:ind w:left="993" w:hanging="567"/>
        <w:jc w:val="both"/>
      </w:pPr>
      <w:r w:rsidRPr="00802288">
        <w:t xml:space="preserve">Audit documentation must be retained in accordance with </w:t>
      </w:r>
      <w:r w:rsidRPr="00AC3773">
        <w:rPr>
          <w:i/>
          <w:iCs/>
        </w:rPr>
        <w:t>Territory Records Act 2002</w:t>
      </w:r>
      <w:r w:rsidRPr="00802288">
        <w:t xml:space="preserve">, including the audit documentation retained by outsourced service providers. </w:t>
      </w:r>
    </w:p>
    <w:p w14:paraId="20821589" w14:textId="04319470" w:rsidR="00096587" w:rsidRDefault="00096587" w:rsidP="00CF2747">
      <w:pPr>
        <w:pStyle w:val="PolicyHeading2-Accessible"/>
        <w:numPr>
          <w:ilvl w:val="0"/>
          <w:numId w:val="0"/>
        </w:numPr>
      </w:pPr>
      <w:bookmarkStart w:id="19" w:name="_Toc526779919"/>
      <w:bookmarkStart w:id="20" w:name="_Toc22886858"/>
      <w:r>
        <w:t xml:space="preserve">Evaluation </w:t>
      </w:r>
    </w:p>
    <w:p w14:paraId="36150E18" w14:textId="39FC0AC8" w:rsidR="007F4B29" w:rsidRPr="007F4B29" w:rsidRDefault="007F4B29" w:rsidP="007F4B29">
      <w:pPr>
        <w:pStyle w:val="Policy-BodyText"/>
        <w:tabs>
          <w:tab w:val="clear" w:pos="1134"/>
          <w:tab w:val="left" w:pos="567"/>
          <w:tab w:val="num" w:pos="709"/>
          <w:tab w:val="left" w:pos="993"/>
          <w:tab w:val="num" w:pos="1702"/>
        </w:tabs>
        <w:spacing w:after="240"/>
        <w:ind w:left="993" w:hanging="567"/>
        <w:jc w:val="both"/>
      </w:pPr>
      <w:r w:rsidRPr="00D418BD">
        <w:t xml:space="preserve">The analysis and evaluation of evidence obtained should give rise to issues (positive </w:t>
      </w:r>
      <w:r>
        <w:t>or constructive</w:t>
      </w:r>
      <w:r w:rsidRPr="00D418BD">
        <w:t xml:space="preserve">), which the internal auditors and/or outsourced service providers may report to management. Conclusions should be specified, free from personal biases or prejudices, and be objective. </w:t>
      </w:r>
    </w:p>
    <w:p w14:paraId="2BA5AD26" w14:textId="6047D2EA" w:rsidR="00096587" w:rsidRDefault="00096587" w:rsidP="00CF2747">
      <w:pPr>
        <w:pStyle w:val="PolicyHeading2-Accessible"/>
        <w:numPr>
          <w:ilvl w:val="0"/>
          <w:numId w:val="0"/>
        </w:numPr>
      </w:pPr>
      <w:r>
        <w:t>Reporting</w:t>
      </w:r>
    </w:p>
    <w:p w14:paraId="2EA2828E" w14:textId="0F21D098" w:rsidR="00A93BDB" w:rsidRDefault="00C14F49" w:rsidP="00427F0C">
      <w:pPr>
        <w:pStyle w:val="Policy-BodyText"/>
        <w:tabs>
          <w:tab w:val="clear" w:pos="1134"/>
          <w:tab w:val="left" w:pos="567"/>
          <w:tab w:val="num" w:pos="709"/>
          <w:tab w:val="left" w:pos="993"/>
          <w:tab w:val="num" w:pos="1702"/>
        </w:tabs>
        <w:spacing w:after="240"/>
        <w:ind w:left="993" w:hanging="567"/>
        <w:jc w:val="both"/>
      </w:pPr>
      <w:r w:rsidRPr="00421D7F">
        <w:t>After</w:t>
      </w:r>
      <w:r w:rsidR="00A93BDB" w:rsidRPr="00421D7F">
        <w:t xml:space="preserve"> the </w:t>
      </w:r>
      <w:r w:rsidR="00A93BDB">
        <w:t xml:space="preserve">Fieldwork and </w:t>
      </w:r>
      <w:r w:rsidR="000507CC">
        <w:t>Evaluation,</w:t>
      </w:r>
      <w:r w:rsidR="00A93BDB" w:rsidRPr="00421D7F">
        <w:t xml:space="preserve"> a draft </w:t>
      </w:r>
      <w:r w:rsidR="00A93BDB">
        <w:t xml:space="preserve">internal audit </w:t>
      </w:r>
      <w:r w:rsidR="00A93BDB" w:rsidRPr="00421D7F">
        <w:t xml:space="preserve">report (marked “draft”) will be issued to the </w:t>
      </w:r>
      <w:r w:rsidR="00A93BDB">
        <w:t xml:space="preserve">key stakeholders and </w:t>
      </w:r>
      <w:r w:rsidR="00957234">
        <w:t>A</w:t>
      </w:r>
      <w:r w:rsidR="00A93BDB">
        <w:t xml:space="preserve">udit </w:t>
      </w:r>
      <w:r w:rsidR="00957234">
        <w:t>S</w:t>
      </w:r>
      <w:r w:rsidR="00A93BDB">
        <w:t>ponsor</w:t>
      </w:r>
      <w:r w:rsidR="00A93BDB" w:rsidRPr="00421D7F">
        <w:t xml:space="preserve"> of the </w:t>
      </w:r>
      <w:r w:rsidR="00957234">
        <w:t xml:space="preserve">business unit </w:t>
      </w:r>
      <w:r w:rsidR="00A93BDB" w:rsidRPr="00421D7F">
        <w:t>being audited, for</w:t>
      </w:r>
      <w:r>
        <w:t xml:space="preserve"> initial feedback and to confirm findings and observations. </w:t>
      </w:r>
    </w:p>
    <w:p w14:paraId="65F2CCAA" w14:textId="7CEA3F78" w:rsidR="00A93BDB" w:rsidRPr="00A93BDB" w:rsidRDefault="00C14F49" w:rsidP="00427F0C">
      <w:pPr>
        <w:pStyle w:val="Policy-BodyText"/>
        <w:tabs>
          <w:tab w:val="clear" w:pos="1134"/>
          <w:tab w:val="left" w:pos="567"/>
          <w:tab w:val="num" w:pos="709"/>
          <w:tab w:val="left" w:pos="993"/>
          <w:tab w:val="num" w:pos="1702"/>
        </w:tabs>
        <w:spacing w:after="240"/>
        <w:ind w:left="993" w:hanging="567"/>
        <w:jc w:val="both"/>
      </w:pPr>
      <w:r>
        <w:lastRenderedPageBreak/>
        <w:t xml:space="preserve">This preliminary draft internal audit report </w:t>
      </w:r>
      <w:r w:rsidR="000C2E41">
        <w:t xml:space="preserve">is not for the purposes of </w:t>
      </w:r>
      <w:r w:rsidR="00427F0C">
        <w:t>receiving management comments; but can be used during Debriefing</w:t>
      </w:r>
      <w:r w:rsidR="00834685">
        <w:t xml:space="preserve"> / Exit meeting</w:t>
      </w:r>
      <w:r w:rsidR="00427F0C">
        <w:t xml:space="preserve"> to ensure clarification of information is sought.</w:t>
      </w:r>
    </w:p>
    <w:p w14:paraId="76E7C355" w14:textId="6B78D6B7" w:rsidR="00096587" w:rsidRDefault="00096587" w:rsidP="00096587">
      <w:pPr>
        <w:pStyle w:val="PolicyHeading2-Accessible"/>
        <w:numPr>
          <w:ilvl w:val="0"/>
          <w:numId w:val="0"/>
        </w:numPr>
      </w:pPr>
      <w:r>
        <w:t>Debriefing</w:t>
      </w:r>
      <w:r w:rsidR="00DF7511">
        <w:t xml:space="preserve"> / Exit Meeting</w:t>
      </w:r>
    </w:p>
    <w:p w14:paraId="73B4F7F7" w14:textId="1572F9D9" w:rsidR="00096587" w:rsidRPr="00D418BD" w:rsidRDefault="00096587" w:rsidP="00096587">
      <w:pPr>
        <w:pStyle w:val="Policy-BodyText"/>
        <w:tabs>
          <w:tab w:val="left" w:pos="567"/>
          <w:tab w:val="num" w:pos="709"/>
          <w:tab w:val="left" w:pos="993"/>
          <w:tab w:val="num" w:pos="1702"/>
        </w:tabs>
        <w:spacing w:after="240"/>
        <w:ind w:left="993" w:hanging="567"/>
        <w:jc w:val="both"/>
      </w:pPr>
      <w:r w:rsidRPr="00D418BD">
        <w:t xml:space="preserve">An Exit Meeting will be held to discuss the findings from the audit field work to confirm facts or clarify information. </w:t>
      </w:r>
    </w:p>
    <w:p w14:paraId="0099B040" w14:textId="109CCA00" w:rsidR="00096587" w:rsidRDefault="00096587" w:rsidP="00096587">
      <w:pPr>
        <w:pStyle w:val="Policy-BodyText"/>
        <w:tabs>
          <w:tab w:val="left" w:pos="567"/>
          <w:tab w:val="num" w:pos="709"/>
          <w:tab w:val="left" w:pos="993"/>
          <w:tab w:val="num" w:pos="1702"/>
        </w:tabs>
        <w:spacing w:after="240"/>
        <w:ind w:left="993" w:hanging="567"/>
        <w:jc w:val="both"/>
      </w:pPr>
      <w:r w:rsidRPr="00D418BD">
        <w:t xml:space="preserve">The Exit Meeting will be attended by the </w:t>
      </w:r>
      <w:r>
        <w:t xml:space="preserve">Chief Internal Auditor, </w:t>
      </w:r>
      <w:r w:rsidRPr="00D418BD">
        <w:t xml:space="preserve">internal auditors and/or outsourced service providers and </w:t>
      </w:r>
      <w:r w:rsidR="00DF7511">
        <w:t>key stakeholders and audit sponsor.</w:t>
      </w:r>
      <w:r w:rsidRPr="00D418BD">
        <w:t xml:space="preserve"> </w:t>
      </w:r>
    </w:p>
    <w:p w14:paraId="2A1733E0" w14:textId="77777777" w:rsidR="00096587" w:rsidRDefault="00096587" w:rsidP="00CF2747">
      <w:pPr>
        <w:pStyle w:val="PolicyHeading2-Accessible"/>
        <w:numPr>
          <w:ilvl w:val="0"/>
          <w:numId w:val="0"/>
        </w:numPr>
      </w:pPr>
      <w:r>
        <w:t>Management Comments</w:t>
      </w:r>
    </w:p>
    <w:p w14:paraId="40C4C3D9" w14:textId="0A42FD4D" w:rsidR="00096587" w:rsidRDefault="00DF7511" w:rsidP="00096587">
      <w:pPr>
        <w:pStyle w:val="Policy-BodyText"/>
        <w:tabs>
          <w:tab w:val="left" w:pos="567"/>
          <w:tab w:val="num" w:pos="709"/>
          <w:tab w:val="left" w:pos="993"/>
          <w:tab w:val="num" w:pos="1702"/>
        </w:tabs>
        <w:spacing w:after="240"/>
        <w:ind w:left="993" w:hanging="567"/>
        <w:jc w:val="both"/>
      </w:pPr>
      <w:r w:rsidRPr="00421D7F">
        <w:t>After</w:t>
      </w:r>
      <w:r w:rsidR="00096587" w:rsidRPr="00421D7F">
        <w:t xml:space="preserve"> the </w:t>
      </w:r>
      <w:r>
        <w:t xml:space="preserve">Debriefing / </w:t>
      </w:r>
      <w:r w:rsidR="00096587" w:rsidRPr="00421D7F">
        <w:t xml:space="preserve">Exit Meeting a formal draft </w:t>
      </w:r>
      <w:r w:rsidR="00096587">
        <w:t xml:space="preserve">internal audit </w:t>
      </w:r>
      <w:r w:rsidR="00096587" w:rsidRPr="00421D7F">
        <w:t xml:space="preserve">report (marked “draft”) will be issued to the senior management of the area being audited, for management </w:t>
      </w:r>
      <w:r w:rsidR="00096587">
        <w:t>comments.</w:t>
      </w:r>
    </w:p>
    <w:p w14:paraId="579A28DB" w14:textId="77777777" w:rsidR="00096587" w:rsidRPr="00BA5978" w:rsidRDefault="00096587" w:rsidP="00096587">
      <w:pPr>
        <w:pStyle w:val="Policy-BodyText"/>
        <w:tabs>
          <w:tab w:val="left" w:pos="567"/>
          <w:tab w:val="num" w:pos="709"/>
          <w:tab w:val="left" w:pos="993"/>
          <w:tab w:val="num" w:pos="1702"/>
        </w:tabs>
        <w:spacing w:after="240"/>
        <w:ind w:left="993" w:hanging="567"/>
        <w:jc w:val="both"/>
      </w:pPr>
      <w:r w:rsidRPr="00BA5978">
        <w:t xml:space="preserve">The </w:t>
      </w:r>
      <w:r>
        <w:t xml:space="preserve">draft </w:t>
      </w:r>
      <w:r w:rsidRPr="00BA5978">
        <w:t xml:space="preserve">report will specifically: </w:t>
      </w:r>
    </w:p>
    <w:p w14:paraId="501E4F45" w14:textId="77777777" w:rsidR="00096587" w:rsidRPr="00D90EAA" w:rsidRDefault="00096587" w:rsidP="00DF21C6">
      <w:pPr>
        <w:pStyle w:val="Bulletpointslevel3"/>
      </w:pPr>
      <w:r w:rsidRPr="00D90EAA">
        <w:t xml:space="preserve">include an Executive Summary which will describe the objective, scope, background, key controls and positive observations and key findings/opportunities for improvement; </w:t>
      </w:r>
    </w:p>
    <w:p w14:paraId="35D3F19E" w14:textId="77777777" w:rsidR="00096587" w:rsidRPr="00D90EAA" w:rsidRDefault="00096587" w:rsidP="00DF21C6">
      <w:pPr>
        <w:pStyle w:val="Bulletpointslevel3"/>
      </w:pPr>
      <w:r w:rsidRPr="00D90EAA">
        <w:t>state the objective(s), scope, methodology and conclusion of the audit;</w:t>
      </w:r>
    </w:p>
    <w:p w14:paraId="1EE9154A" w14:textId="77777777" w:rsidR="00096587" w:rsidRPr="00D90EAA" w:rsidRDefault="00096587" w:rsidP="00DF21C6">
      <w:pPr>
        <w:pStyle w:val="Bulletpointslevel3"/>
      </w:pPr>
      <w:r w:rsidRPr="00D90EAA">
        <w:t xml:space="preserve">detail any risks identified that were not effectively treated and suggestions for improvement; </w:t>
      </w:r>
    </w:p>
    <w:p w14:paraId="6EE27805" w14:textId="77777777" w:rsidR="00096587" w:rsidRDefault="00096587" w:rsidP="00DF21C6">
      <w:pPr>
        <w:pStyle w:val="Bulletpointslevel3"/>
      </w:pPr>
      <w:r w:rsidRPr="00D90EAA">
        <w:t xml:space="preserve">prioritise the risks identified through the use of the Directorate’s Risk Matrix; </w:t>
      </w:r>
    </w:p>
    <w:p w14:paraId="0123443E" w14:textId="77777777" w:rsidR="00096587" w:rsidRPr="00D90EAA" w:rsidRDefault="00096587" w:rsidP="00DF21C6">
      <w:pPr>
        <w:pStyle w:val="Bulletpointslevel3"/>
      </w:pPr>
      <w:r w:rsidRPr="00D90EAA">
        <w:t>propose recommendations to further treat the identified risks; and</w:t>
      </w:r>
    </w:p>
    <w:p w14:paraId="40FDABB5" w14:textId="77777777" w:rsidR="00096587" w:rsidRPr="00D90EAA" w:rsidRDefault="00096587" w:rsidP="00DF21C6">
      <w:pPr>
        <w:pStyle w:val="Bulletpointslevel3"/>
      </w:pPr>
      <w:r w:rsidRPr="00D90EAA">
        <w:t>seek management’s comments in response to the recommendations and implementation timeframes.</w:t>
      </w:r>
    </w:p>
    <w:p w14:paraId="48549B86" w14:textId="7672D4F4" w:rsidR="00096587" w:rsidRPr="009F178A" w:rsidRDefault="00096587" w:rsidP="00096587">
      <w:pPr>
        <w:pStyle w:val="Policy-BodyText"/>
        <w:tabs>
          <w:tab w:val="left" w:pos="567"/>
          <w:tab w:val="num" w:pos="709"/>
          <w:tab w:val="left" w:pos="993"/>
          <w:tab w:val="num" w:pos="1702"/>
        </w:tabs>
        <w:spacing w:after="240"/>
        <w:ind w:left="993" w:hanging="567"/>
        <w:jc w:val="both"/>
      </w:pPr>
      <w:r w:rsidRPr="009F178A">
        <w:t xml:space="preserve">Audit recommendations </w:t>
      </w:r>
      <w:r>
        <w:t xml:space="preserve">made in the draft report </w:t>
      </w:r>
      <w:r w:rsidRPr="009F178A">
        <w:t>should be based on the issues raised in the findings, implementable within a foreseeable period</w:t>
      </w:r>
      <w:r w:rsidR="00042496">
        <w:t xml:space="preserve"> and be </w:t>
      </w:r>
      <w:r w:rsidR="00800951">
        <w:t>reasonable in consideration of the risk rating.</w:t>
      </w:r>
      <w:r w:rsidRPr="009F178A">
        <w:t xml:space="preserve"> </w:t>
      </w:r>
    </w:p>
    <w:p w14:paraId="70DF30C7" w14:textId="74AEF938" w:rsidR="00096587" w:rsidRPr="009F178A" w:rsidRDefault="00A80332" w:rsidP="00096587">
      <w:pPr>
        <w:pStyle w:val="Policy-BodyText"/>
        <w:tabs>
          <w:tab w:val="left" w:pos="567"/>
          <w:tab w:val="num" w:pos="709"/>
          <w:tab w:val="left" w:pos="993"/>
          <w:tab w:val="num" w:pos="1702"/>
        </w:tabs>
        <w:spacing w:after="240"/>
        <w:ind w:left="993" w:hanging="567"/>
        <w:jc w:val="both"/>
      </w:pPr>
      <w:r>
        <w:t>If</w:t>
      </w:r>
      <w:r w:rsidR="00096587" w:rsidRPr="009F178A">
        <w:t xml:space="preserve"> </w:t>
      </w:r>
      <w:r w:rsidR="00B227CE">
        <w:t>the Audit and Assurance section</w:t>
      </w:r>
      <w:r w:rsidR="00096587" w:rsidRPr="009F178A">
        <w:t xml:space="preserve"> </w:t>
      </w:r>
      <w:r>
        <w:t>are made</w:t>
      </w:r>
      <w:r w:rsidR="00096587" w:rsidRPr="009F178A">
        <w:t xml:space="preserve"> aware of an issue of material concern</w:t>
      </w:r>
      <w:r>
        <w:t>,</w:t>
      </w:r>
      <w:r w:rsidR="00096587" w:rsidRPr="009F178A">
        <w:t xml:space="preserve"> there is a professional obligation to report on the issue</w:t>
      </w:r>
      <w:r>
        <w:t>,</w:t>
      </w:r>
      <w:r w:rsidR="00096587" w:rsidRPr="009F178A">
        <w:t xml:space="preserve"> even if it is outside the confines of the original scope of the </w:t>
      </w:r>
      <w:r>
        <w:t xml:space="preserve">internal </w:t>
      </w:r>
      <w:r w:rsidR="00096587" w:rsidRPr="009F178A">
        <w:t>audit.</w:t>
      </w:r>
      <w:r>
        <w:t xml:space="preserve"> </w:t>
      </w:r>
    </w:p>
    <w:p w14:paraId="3D5F3EF9" w14:textId="4F433691" w:rsidR="00096587" w:rsidRPr="009F178A" w:rsidRDefault="00096587" w:rsidP="00096587">
      <w:pPr>
        <w:pStyle w:val="Policy-BodyText"/>
        <w:tabs>
          <w:tab w:val="left" w:pos="567"/>
          <w:tab w:val="num" w:pos="709"/>
          <w:tab w:val="left" w:pos="993"/>
          <w:tab w:val="num" w:pos="1702"/>
        </w:tabs>
        <w:spacing w:after="240"/>
        <w:ind w:left="993" w:hanging="567"/>
        <w:jc w:val="both"/>
      </w:pPr>
      <w:r w:rsidRPr="009F178A">
        <w:t xml:space="preserve">If </w:t>
      </w:r>
      <w:r>
        <w:t>issues</w:t>
      </w:r>
      <w:r w:rsidRPr="009F178A">
        <w:t xml:space="preserve"> are identified with the operation of external controls, relevant directorates or agencies need to be informed</w:t>
      </w:r>
      <w:r w:rsidR="00B53338">
        <w:t>. This may include issues with</w:t>
      </w:r>
      <w:r w:rsidRPr="009F178A">
        <w:t xml:space="preserve"> legislation, policy and/or procedures </w:t>
      </w:r>
      <w:r w:rsidR="00B53338">
        <w:t xml:space="preserve">which </w:t>
      </w:r>
      <w:r w:rsidR="009A57C5">
        <w:t xml:space="preserve">could </w:t>
      </w:r>
      <w:r w:rsidRPr="009F178A">
        <w:t>adversely impact the Directorate.</w:t>
      </w:r>
    </w:p>
    <w:p w14:paraId="09FFB9E4" w14:textId="311475F1" w:rsidR="00096587" w:rsidRPr="001A772B" w:rsidRDefault="00096587" w:rsidP="00096587">
      <w:pPr>
        <w:pStyle w:val="Policy-BodyText"/>
        <w:tabs>
          <w:tab w:val="left" w:pos="567"/>
          <w:tab w:val="num" w:pos="709"/>
          <w:tab w:val="left" w:pos="993"/>
          <w:tab w:val="num" w:pos="1702"/>
        </w:tabs>
        <w:spacing w:after="240"/>
        <w:ind w:left="993" w:hanging="567"/>
        <w:jc w:val="both"/>
      </w:pPr>
      <w:r w:rsidRPr="001A772B">
        <w:t xml:space="preserve">Upon receipt of the draft </w:t>
      </w:r>
      <w:r>
        <w:t>i</w:t>
      </w:r>
      <w:r w:rsidRPr="001A772B">
        <w:t xml:space="preserve">nternal </w:t>
      </w:r>
      <w:r>
        <w:t>a</w:t>
      </w:r>
      <w:r w:rsidRPr="001A772B">
        <w:t xml:space="preserve">udit </w:t>
      </w:r>
      <w:r>
        <w:t>r</w:t>
      </w:r>
      <w:r w:rsidRPr="001A772B">
        <w:t xml:space="preserve">eport, the management of the </w:t>
      </w:r>
      <w:r w:rsidR="00B227CE">
        <w:t xml:space="preserve">business unit </w:t>
      </w:r>
      <w:r w:rsidRPr="001A772B">
        <w:t xml:space="preserve"> being audited is required to provide management comments within </w:t>
      </w:r>
      <w:r w:rsidRPr="002426F2">
        <w:rPr>
          <w:b/>
          <w:bCs/>
          <w:u w:val="single"/>
        </w:rPr>
        <w:t>two weeks</w:t>
      </w:r>
      <w:r w:rsidRPr="001A772B">
        <w:t xml:space="preserve">. </w:t>
      </w:r>
    </w:p>
    <w:p w14:paraId="328B14BB" w14:textId="77777777" w:rsidR="00096587" w:rsidRPr="001A772B" w:rsidRDefault="00096587" w:rsidP="00096587">
      <w:pPr>
        <w:pStyle w:val="Policy-BodyText"/>
        <w:tabs>
          <w:tab w:val="left" w:pos="567"/>
          <w:tab w:val="num" w:pos="709"/>
          <w:tab w:val="left" w:pos="993"/>
          <w:tab w:val="num" w:pos="1702"/>
        </w:tabs>
        <w:spacing w:after="240"/>
        <w:ind w:left="993" w:hanging="567"/>
        <w:jc w:val="both"/>
      </w:pPr>
      <w:r w:rsidRPr="001A772B">
        <w:t xml:space="preserve">All management responses which appear in the audit reports must fall within three categories: Agreed, Disagreed or Partially Agreed. </w:t>
      </w:r>
    </w:p>
    <w:p w14:paraId="1CA7068E" w14:textId="6BF0FA15" w:rsidR="00096587" w:rsidRPr="001A772B" w:rsidRDefault="00096587" w:rsidP="00096587">
      <w:pPr>
        <w:pStyle w:val="Policy-BodyText"/>
        <w:tabs>
          <w:tab w:val="left" w:pos="567"/>
          <w:tab w:val="num" w:pos="709"/>
          <w:tab w:val="left" w:pos="993"/>
          <w:tab w:val="num" w:pos="1702"/>
        </w:tabs>
        <w:spacing w:after="240"/>
        <w:ind w:left="993" w:hanging="567"/>
        <w:jc w:val="both"/>
      </w:pPr>
      <w:r w:rsidRPr="001A772B">
        <w:t xml:space="preserve">The response should then concisely detail the action management intends to take in response to the recommendation, stating who will take the action and when it will be </w:t>
      </w:r>
      <w:r w:rsidRPr="001A772B">
        <w:lastRenderedPageBreak/>
        <w:t xml:space="preserve">completed. If the recommendation is </w:t>
      </w:r>
      <w:r w:rsidR="006E377C">
        <w:t>P</w:t>
      </w:r>
      <w:r w:rsidR="009A57C5">
        <w:t xml:space="preserve">artially </w:t>
      </w:r>
      <w:r w:rsidR="006E377C">
        <w:t>A</w:t>
      </w:r>
      <w:r w:rsidR="009A57C5">
        <w:t>gree</w:t>
      </w:r>
      <w:r w:rsidR="006E377C">
        <w:t xml:space="preserve">d or Disagreed, </w:t>
      </w:r>
      <w:r w:rsidRPr="001A772B">
        <w:t xml:space="preserve">the response must </w:t>
      </w:r>
      <w:r>
        <w:t>have a reason</w:t>
      </w:r>
      <w:r w:rsidRPr="001A772B">
        <w:t xml:space="preserve">. When considering the </w:t>
      </w:r>
      <w:r w:rsidR="006E377C">
        <w:t>implementation date of the recommendation</w:t>
      </w:r>
      <w:r w:rsidRPr="001A772B">
        <w:t xml:space="preserve">, management should weigh the risk </w:t>
      </w:r>
      <w:r w:rsidR="006E377C">
        <w:t xml:space="preserve">rating </w:t>
      </w:r>
      <w:r w:rsidRPr="001A772B">
        <w:t xml:space="preserve">against </w:t>
      </w:r>
      <w:r w:rsidR="006E377C">
        <w:t>available resources</w:t>
      </w:r>
      <w:r w:rsidRPr="001A772B">
        <w:t xml:space="preserve">, to arrive at a </w:t>
      </w:r>
      <w:r w:rsidR="006E377C">
        <w:t>reasonable timeframe</w:t>
      </w:r>
      <w:r w:rsidRPr="001A772B">
        <w:t xml:space="preserve">. </w:t>
      </w:r>
    </w:p>
    <w:p w14:paraId="3BF9F2E9" w14:textId="77777777" w:rsidR="00096587" w:rsidRDefault="00096587" w:rsidP="00CF2747">
      <w:pPr>
        <w:pStyle w:val="PolicyHeading2-Accessible"/>
        <w:numPr>
          <w:ilvl w:val="0"/>
          <w:numId w:val="0"/>
        </w:numPr>
      </w:pPr>
      <w:r>
        <w:t>Endorsement</w:t>
      </w:r>
    </w:p>
    <w:p w14:paraId="6941D49A" w14:textId="77777777" w:rsidR="003C578B" w:rsidRPr="00847A63" w:rsidRDefault="003C578B" w:rsidP="003C578B">
      <w:pPr>
        <w:pStyle w:val="Policy-BodyText"/>
        <w:numPr>
          <w:ilvl w:val="0"/>
          <w:numId w:val="0"/>
        </w:numPr>
        <w:ind w:left="2977"/>
      </w:pPr>
    </w:p>
    <w:p w14:paraId="1D85FDB3" w14:textId="10400C9B" w:rsidR="003C578B" w:rsidRPr="00E96028" w:rsidRDefault="003C578B" w:rsidP="003C578B">
      <w:pPr>
        <w:pStyle w:val="Policy-BodyText"/>
        <w:tabs>
          <w:tab w:val="left" w:pos="567"/>
          <w:tab w:val="num" w:pos="709"/>
          <w:tab w:val="left" w:pos="993"/>
          <w:tab w:val="num" w:pos="1702"/>
        </w:tabs>
        <w:spacing w:after="240"/>
        <w:ind w:left="993" w:hanging="567"/>
        <w:jc w:val="both"/>
      </w:pPr>
      <w:r w:rsidRPr="00E96028">
        <w:t xml:space="preserve">Following </w:t>
      </w:r>
      <w:r>
        <w:t xml:space="preserve">the </w:t>
      </w:r>
      <w:r w:rsidRPr="00E96028">
        <w:t xml:space="preserve">completion of management </w:t>
      </w:r>
      <w:r w:rsidR="00D26B21">
        <w:t>comments</w:t>
      </w:r>
      <w:r w:rsidRPr="00E96028">
        <w:t xml:space="preserve">, the internal audit report will be submitted to the Audit Sponsor for approval. Upon receipt of the report, the Audit Sponsor is required to provide comments or approval within </w:t>
      </w:r>
      <w:r w:rsidRPr="00740BF4">
        <w:rPr>
          <w:b/>
          <w:bCs/>
          <w:u w:val="single"/>
        </w:rPr>
        <w:t>one week</w:t>
      </w:r>
      <w:r w:rsidRPr="00E96028">
        <w:t xml:space="preserve">. </w:t>
      </w:r>
    </w:p>
    <w:p w14:paraId="03798DCE" w14:textId="547903DE" w:rsidR="003C578B" w:rsidRDefault="003C578B" w:rsidP="00B67203">
      <w:pPr>
        <w:pStyle w:val="Policy-BodyText"/>
        <w:tabs>
          <w:tab w:val="left" w:pos="567"/>
          <w:tab w:val="num" w:pos="709"/>
          <w:tab w:val="left" w:pos="993"/>
          <w:tab w:val="num" w:pos="1702"/>
        </w:tabs>
        <w:spacing w:after="240"/>
        <w:ind w:left="993" w:hanging="567"/>
        <w:jc w:val="both"/>
      </w:pPr>
      <w:r w:rsidRPr="00E96028">
        <w:t>Once the report is approved by the Audit Sponsor, it can then be</w:t>
      </w:r>
      <w:r w:rsidR="00B67203">
        <w:t xml:space="preserve"> included in the papers for</w:t>
      </w:r>
      <w:r w:rsidRPr="00E96028">
        <w:t xml:space="preserve"> the next Audit Committee meeting for endorsement. The internal auditors</w:t>
      </w:r>
      <w:r w:rsidR="00740BF4">
        <w:t>,</w:t>
      </w:r>
      <w:r w:rsidRPr="00E96028">
        <w:t xml:space="preserve"> Chief Internal Auditor</w:t>
      </w:r>
      <w:r>
        <w:t xml:space="preserve"> </w:t>
      </w:r>
      <w:r w:rsidR="00740BF4">
        <w:t>and</w:t>
      </w:r>
      <w:r>
        <w:t xml:space="preserve"> </w:t>
      </w:r>
      <w:r w:rsidR="00740BF4">
        <w:t>Audit Sponsor</w:t>
      </w:r>
      <w:r>
        <w:t xml:space="preserve"> </w:t>
      </w:r>
      <w:r w:rsidR="000F2AC7">
        <w:t xml:space="preserve">will </w:t>
      </w:r>
      <w:r w:rsidRPr="00E96028">
        <w:t xml:space="preserve">attend the Audit Committee meeting to answer any questions that the Audit Committee may have. </w:t>
      </w:r>
    </w:p>
    <w:p w14:paraId="30817033" w14:textId="4659FE5B" w:rsidR="00B67203" w:rsidRPr="003C578B" w:rsidRDefault="003642CC" w:rsidP="00B67203">
      <w:pPr>
        <w:pStyle w:val="Policy-BodyText"/>
        <w:tabs>
          <w:tab w:val="left" w:pos="567"/>
          <w:tab w:val="num" w:pos="709"/>
          <w:tab w:val="left" w:pos="993"/>
          <w:tab w:val="num" w:pos="1702"/>
        </w:tabs>
        <w:spacing w:after="240"/>
        <w:ind w:left="993" w:hanging="567"/>
        <w:jc w:val="both"/>
      </w:pPr>
      <w:r>
        <w:t xml:space="preserve">Following </w:t>
      </w:r>
      <w:r w:rsidR="00B67203">
        <w:t>endorse</w:t>
      </w:r>
      <w:r>
        <w:t>ment</w:t>
      </w:r>
      <w:r w:rsidR="00B67203">
        <w:t xml:space="preserve">, the </w:t>
      </w:r>
      <w:r>
        <w:t>internal audit report</w:t>
      </w:r>
      <w:r w:rsidR="00A90766">
        <w:t xml:space="preserve"> can </w:t>
      </w:r>
      <w:r>
        <w:t xml:space="preserve">be </w:t>
      </w:r>
      <w:r w:rsidR="00B67203" w:rsidRPr="00E96028">
        <w:t xml:space="preserve">distributed to the </w:t>
      </w:r>
      <w:r w:rsidR="00B67203">
        <w:t xml:space="preserve">Executive </w:t>
      </w:r>
      <w:r w:rsidR="00B67203" w:rsidRPr="00E96028">
        <w:t>Governance Committee for information, and to</w:t>
      </w:r>
      <w:r w:rsidR="00A90766">
        <w:t xml:space="preserve"> Director-General.</w:t>
      </w:r>
    </w:p>
    <w:p w14:paraId="1A802A53" w14:textId="7BAC6219" w:rsidR="00096587" w:rsidRDefault="00096587" w:rsidP="00CF2747">
      <w:pPr>
        <w:pStyle w:val="PolicyHeading2-Accessible"/>
        <w:numPr>
          <w:ilvl w:val="0"/>
          <w:numId w:val="0"/>
        </w:numPr>
      </w:pPr>
      <w:r>
        <w:t xml:space="preserve">Follow up </w:t>
      </w:r>
      <w:r w:rsidR="007E0ADA">
        <w:t>/ Monitoring and Reporting</w:t>
      </w:r>
    </w:p>
    <w:bookmarkEnd w:id="19"/>
    <w:bookmarkEnd w:id="20"/>
    <w:p w14:paraId="69C831AA" w14:textId="151BF931" w:rsidR="00A90766" w:rsidRPr="00190550" w:rsidRDefault="00A90766" w:rsidP="003642CC">
      <w:pPr>
        <w:pStyle w:val="Policy-BodyText"/>
        <w:tabs>
          <w:tab w:val="left" w:pos="567"/>
          <w:tab w:val="num" w:pos="709"/>
          <w:tab w:val="left" w:pos="993"/>
          <w:tab w:val="num" w:pos="1702"/>
        </w:tabs>
        <w:spacing w:after="240"/>
        <w:ind w:left="993" w:hanging="567"/>
        <w:jc w:val="both"/>
      </w:pPr>
      <w:r w:rsidRPr="00190550">
        <w:t xml:space="preserve">The Chief Internal Auditor </w:t>
      </w:r>
      <w:r w:rsidR="00C9632F">
        <w:t xml:space="preserve">provides audit recommendation progress </w:t>
      </w:r>
      <w:r w:rsidR="00210BE9">
        <w:t xml:space="preserve">reports </w:t>
      </w:r>
      <w:r w:rsidR="00C9632F">
        <w:t xml:space="preserve">to the Audit Committee and Executive Governance Committee on a quarterly basis. </w:t>
      </w:r>
    </w:p>
    <w:p w14:paraId="40263FB1" w14:textId="2BCC12BA" w:rsidR="00A90766" w:rsidRPr="00190550" w:rsidRDefault="00A90766" w:rsidP="00A90766">
      <w:pPr>
        <w:pStyle w:val="Policy-BodyText"/>
        <w:tabs>
          <w:tab w:val="left" w:pos="567"/>
          <w:tab w:val="num" w:pos="709"/>
          <w:tab w:val="left" w:pos="993"/>
          <w:tab w:val="num" w:pos="1702"/>
        </w:tabs>
        <w:spacing w:after="240"/>
        <w:ind w:left="993" w:hanging="567"/>
        <w:jc w:val="both"/>
      </w:pPr>
      <w:r w:rsidRPr="00190550">
        <w:t xml:space="preserve">The Chief Internal Auditor maintains an Audit Recommendations Register which records recommendations, responsible officers, </w:t>
      </w:r>
      <w:r w:rsidR="00F0531C">
        <w:t xml:space="preserve">progress updates, </w:t>
      </w:r>
      <w:r w:rsidRPr="00190550">
        <w:t xml:space="preserve">expected completion dates and implementation status for each audit. </w:t>
      </w:r>
    </w:p>
    <w:p w14:paraId="768CAACA" w14:textId="0147EE5E" w:rsidR="00430F6A" w:rsidRDefault="00A90766" w:rsidP="00430F6A">
      <w:pPr>
        <w:pStyle w:val="Policy-BodyText"/>
        <w:tabs>
          <w:tab w:val="left" w:pos="567"/>
          <w:tab w:val="num" w:pos="709"/>
          <w:tab w:val="left" w:pos="993"/>
          <w:tab w:val="num" w:pos="1702"/>
        </w:tabs>
        <w:spacing w:after="240"/>
        <w:ind w:left="993" w:hanging="567"/>
        <w:jc w:val="both"/>
      </w:pPr>
      <w:r w:rsidRPr="00190550">
        <w:t xml:space="preserve">The Chief Internal Auditor </w:t>
      </w:r>
      <w:r w:rsidR="00B227CE">
        <w:t xml:space="preserve">provides updates </w:t>
      </w:r>
      <w:r w:rsidRPr="00190550">
        <w:t xml:space="preserve">to the Audit Committee on internal and external audit recommendations to assist the Committee with monitoring progress or accepting the closure of recommendations, as required.  </w:t>
      </w:r>
    </w:p>
    <w:p w14:paraId="6A114A6B" w14:textId="7AAF8361" w:rsidR="004703B9" w:rsidRDefault="00430F6A" w:rsidP="004703B9">
      <w:pPr>
        <w:pStyle w:val="Policy-BodyText"/>
        <w:tabs>
          <w:tab w:val="left" w:pos="567"/>
          <w:tab w:val="num" w:pos="709"/>
          <w:tab w:val="left" w:pos="993"/>
          <w:tab w:val="num" w:pos="1702"/>
        </w:tabs>
        <w:spacing w:after="240"/>
        <w:ind w:left="993" w:hanging="567"/>
        <w:jc w:val="both"/>
      </w:pPr>
      <w:r>
        <w:t>Recommendations</w:t>
      </w:r>
      <w:r w:rsidR="00A90766" w:rsidRPr="00190550">
        <w:t xml:space="preserve"> </w:t>
      </w:r>
      <w:r w:rsidR="00F0531C" w:rsidRPr="00190550">
        <w:t>arising</w:t>
      </w:r>
      <w:r w:rsidR="00A90766" w:rsidRPr="00190550">
        <w:t xml:space="preserve"> from the Auditor</w:t>
      </w:r>
      <w:r>
        <w:t>-</w:t>
      </w:r>
      <w:r w:rsidR="00A90766" w:rsidRPr="00190550">
        <w:t>General</w:t>
      </w:r>
      <w:r>
        <w:t xml:space="preserve"> Office</w:t>
      </w:r>
      <w:r w:rsidR="00A90766" w:rsidRPr="00190550">
        <w:t>’s financial and computer information system audit management reports are subject to verification by the Audit Office as part of the annual review process.</w:t>
      </w:r>
      <w:r w:rsidR="004703B9">
        <w:t xml:space="preserve"> </w:t>
      </w:r>
    </w:p>
    <w:p w14:paraId="2E416913" w14:textId="0CAF19B6" w:rsidR="004703B9" w:rsidRPr="00847A63" w:rsidRDefault="004703B9" w:rsidP="004703B9">
      <w:pPr>
        <w:pStyle w:val="Policy-BodyText"/>
        <w:tabs>
          <w:tab w:val="left" w:pos="567"/>
          <w:tab w:val="num" w:pos="709"/>
          <w:tab w:val="left" w:pos="993"/>
          <w:tab w:val="num" w:pos="1702"/>
        </w:tabs>
        <w:spacing w:after="240"/>
        <w:ind w:left="993" w:hanging="567"/>
        <w:jc w:val="both"/>
      </w:pPr>
      <w:r>
        <w:t xml:space="preserve">Recommendations arising from Auditor-General’s Office performance audits are subject to </w:t>
      </w:r>
      <w:r w:rsidR="00FF00BF">
        <w:t>reporting through the annual review process; however, they can be considered</w:t>
      </w:r>
      <w:r w:rsidR="00FF69A3">
        <w:t xml:space="preserve"> for closure by the Audit Committee, when fully</w:t>
      </w:r>
      <w:r w:rsidR="00FF00BF">
        <w:t xml:space="preserve"> implemented</w:t>
      </w:r>
      <w:r w:rsidR="00FF69A3">
        <w:t>.</w:t>
      </w:r>
      <w:r w:rsidR="00FF00BF">
        <w:t xml:space="preserve"> </w:t>
      </w:r>
    </w:p>
    <w:p w14:paraId="7C4F674B" w14:textId="4DD2E977" w:rsidR="00190550" w:rsidRDefault="00825BCE" w:rsidP="00190550">
      <w:pPr>
        <w:pStyle w:val="PolicyHeading2-Accessible"/>
        <w:numPr>
          <w:ilvl w:val="0"/>
          <w:numId w:val="0"/>
        </w:numPr>
        <w:ind w:firstLine="426"/>
      </w:pPr>
      <w:r>
        <w:t>Audit Committee Reporting</w:t>
      </w:r>
      <w:r w:rsidR="00190550" w:rsidRPr="00190550">
        <w:t xml:space="preserve"> </w:t>
      </w:r>
    </w:p>
    <w:p w14:paraId="4A14C743" w14:textId="77777777" w:rsidR="00847A63" w:rsidRPr="00847A63" w:rsidRDefault="00847A63" w:rsidP="00847A63">
      <w:pPr>
        <w:pStyle w:val="Policy-BodyText"/>
        <w:numPr>
          <w:ilvl w:val="0"/>
          <w:numId w:val="0"/>
        </w:numPr>
        <w:ind w:left="2977"/>
      </w:pPr>
    </w:p>
    <w:p w14:paraId="40D6EE54" w14:textId="77777777" w:rsidR="00190550" w:rsidRPr="00190550" w:rsidRDefault="00190550" w:rsidP="00190550">
      <w:pPr>
        <w:pStyle w:val="Policy-BodyText"/>
        <w:tabs>
          <w:tab w:val="left" w:pos="567"/>
          <w:tab w:val="num" w:pos="709"/>
          <w:tab w:val="left" w:pos="993"/>
          <w:tab w:val="num" w:pos="1702"/>
        </w:tabs>
        <w:spacing w:after="240"/>
        <w:ind w:left="993" w:hanging="567"/>
        <w:jc w:val="both"/>
      </w:pPr>
      <w:r w:rsidRPr="00190550">
        <w:t xml:space="preserve">Audit Committee reporting occurs on a quarterly basis and includes: </w:t>
      </w:r>
    </w:p>
    <w:p w14:paraId="1081E1B6" w14:textId="314483FA" w:rsidR="00190550" w:rsidRPr="00190550" w:rsidRDefault="00CA1B2D" w:rsidP="00DF21C6">
      <w:pPr>
        <w:pStyle w:val="Bulletpointslevel3"/>
      </w:pPr>
      <w:r>
        <w:t>p</w:t>
      </w:r>
      <w:r w:rsidR="00190550" w:rsidRPr="00190550">
        <w:t xml:space="preserve">rogress </w:t>
      </w:r>
      <w:r w:rsidR="002700C9">
        <w:t xml:space="preserve">updates of </w:t>
      </w:r>
      <w:r w:rsidR="00190550" w:rsidRPr="00190550">
        <w:t xml:space="preserve">the Annual </w:t>
      </w:r>
      <w:r w:rsidR="002700C9">
        <w:t>Audit and Assurance Program</w:t>
      </w:r>
      <w:r w:rsidR="00190550" w:rsidRPr="00190550">
        <w:t xml:space="preserve">; </w:t>
      </w:r>
    </w:p>
    <w:p w14:paraId="563C483B" w14:textId="6726B01F" w:rsidR="00F83209" w:rsidRPr="00F83209" w:rsidRDefault="00CA1B2D" w:rsidP="00DF21C6">
      <w:pPr>
        <w:pStyle w:val="Bulletpointslevel3"/>
      </w:pPr>
      <w:r>
        <w:t xml:space="preserve">presentation of </w:t>
      </w:r>
      <w:r w:rsidR="00190550" w:rsidRPr="00190550">
        <w:t>internal audit reports with management comments</w:t>
      </w:r>
      <w:r w:rsidR="002700C9">
        <w:t>, for endorsement</w:t>
      </w:r>
      <w:r w:rsidR="00190550" w:rsidRPr="00190550">
        <w:t xml:space="preserve">; </w:t>
      </w:r>
    </w:p>
    <w:p w14:paraId="22BAF41B" w14:textId="4CD8EEE3" w:rsidR="00190550" w:rsidRPr="00190550" w:rsidRDefault="00190550" w:rsidP="00DF21C6">
      <w:pPr>
        <w:pStyle w:val="Bulletpointslevel3"/>
      </w:pPr>
      <w:r w:rsidRPr="00190550">
        <w:t xml:space="preserve">implementation status of </w:t>
      </w:r>
      <w:r w:rsidR="00CA1B2D">
        <w:t xml:space="preserve">open </w:t>
      </w:r>
      <w:r w:rsidRPr="00190550">
        <w:t xml:space="preserve">audit recommendations and recommended actions from the Chief Internal Auditor; </w:t>
      </w:r>
    </w:p>
    <w:p w14:paraId="218BF555" w14:textId="15BAEC97" w:rsidR="00F83209" w:rsidRDefault="00F83209" w:rsidP="00DF21C6">
      <w:pPr>
        <w:pStyle w:val="Bulletpointslevel3"/>
      </w:pPr>
      <w:r>
        <w:lastRenderedPageBreak/>
        <w:t>standing</w:t>
      </w:r>
      <w:r w:rsidR="00190550" w:rsidRPr="00190550">
        <w:t xml:space="preserve"> agenda items</w:t>
      </w:r>
      <w:r>
        <w:t>; and,</w:t>
      </w:r>
    </w:p>
    <w:p w14:paraId="53E7B8D4" w14:textId="5D6E5885" w:rsidR="00847A63" w:rsidRPr="00847A63" w:rsidRDefault="00F83209" w:rsidP="00DF21C6">
      <w:pPr>
        <w:pStyle w:val="Bulletpointslevel3"/>
      </w:pPr>
      <w:r>
        <w:t>any special agenda items that are of interest to the Committee.</w:t>
      </w:r>
    </w:p>
    <w:p w14:paraId="43FBD31D" w14:textId="4E7E2051" w:rsidR="00190550" w:rsidRPr="00190550" w:rsidRDefault="00190550" w:rsidP="00190550">
      <w:pPr>
        <w:pStyle w:val="Policy-BodyText"/>
        <w:tabs>
          <w:tab w:val="left" w:pos="567"/>
          <w:tab w:val="num" w:pos="709"/>
          <w:tab w:val="left" w:pos="993"/>
          <w:tab w:val="num" w:pos="1702"/>
        </w:tabs>
        <w:spacing w:after="240"/>
        <w:ind w:left="993" w:hanging="567"/>
        <w:jc w:val="both"/>
      </w:pPr>
      <w:r w:rsidRPr="00190550">
        <w:t xml:space="preserve">The Chief Internal Auditor is required to distribute Audit Committee meeting agenda and papers at least </w:t>
      </w:r>
      <w:r w:rsidRPr="00190550">
        <w:rPr>
          <w:b/>
          <w:bCs/>
          <w:u w:val="single"/>
        </w:rPr>
        <w:t>one week</w:t>
      </w:r>
      <w:r w:rsidRPr="00190550">
        <w:t xml:space="preserve"> before the meeting. The Executive Branch Managers of the relevant areas within the Directorate are required to submit Audit Committee meeting papers</w:t>
      </w:r>
      <w:r w:rsidR="00F83209">
        <w:t xml:space="preserve"> and audit recommendation updates</w:t>
      </w:r>
      <w:r w:rsidRPr="00190550">
        <w:t xml:space="preserve"> (cleared by the Executive Group Managers or Deputy Director-General) to the Chief Internal Auditor at least </w:t>
      </w:r>
      <w:r w:rsidRPr="00190550">
        <w:rPr>
          <w:b/>
          <w:bCs/>
          <w:u w:val="single"/>
        </w:rPr>
        <w:t>two weeks</w:t>
      </w:r>
      <w:r w:rsidRPr="00190550">
        <w:t xml:space="preserve"> before the meeting. </w:t>
      </w:r>
    </w:p>
    <w:p w14:paraId="1AA014DE" w14:textId="3BCC9E93" w:rsidR="00597857" w:rsidRPr="00597857" w:rsidRDefault="00597857" w:rsidP="00597857">
      <w:pPr>
        <w:numPr>
          <w:ilvl w:val="1"/>
          <w:numId w:val="3"/>
        </w:numPr>
        <w:tabs>
          <w:tab w:val="num" w:pos="567"/>
          <w:tab w:val="left" w:pos="1276"/>
        </w:tabs>
        <w:spacing w:line="264" w:lineRule="auto"/>
        <w:ind w:left="1276" w:hanging="709"/>
        <w:rPr>
          <w:rFonts w:ascii="Calibri" w:hAnsi="Calibri"/>
        </w:rPr>
      </w:pPr>
      <w:bookmarkStart w:id="21" w:name="_Toc419889963"/>
      <w:bookmarkStart w:id="22" w:name="_Toc419889962"/>
      <w:r w:rsidRPr="00597857">
        <w:rPr>
          <w:rFonts w:ascii="Calibri" w:hAnsi="Calibri"/>
        </w:rPr>
        <w:t>This procedure will be reviewed on an ongoing basis with a formal review conducted</w:t>
      </w:r>
      <w:r>
        <w:rPr>
          <w:rFonts w:ascii="Calibri" w:hAnsi="Calibri"/>
        </w:rPr>
        <w:t xml:space="preserve"> </w:t>
      </w:r>
      <w:r w:rsidRPr="00597857">
        <w:rPr>
          <w:rFonts w:ascii="Calibri" w:hAnsi="Calibri"/>
        </w:rPr>
        <w:t>at least once every three years. Any substantive changes will be formally approved by the Director-General and endorsed by the Audit Committee.</w:t>
      </w:r>
    </w:p>
    <w:p w14:paraId="5A0B1F1C" w14:textId="6C9CE8F6" w:rsidR="009024BA" w:rsidRDefault="009024BA" w:rsidP="00CD1CDB">
      <w:pPr>
        <w:pStyle w:val="PolicyHeading2-Accessible"/>
      </w:pPr>
      <w:r>
        <w:t>Contact</w:t>
      </w:r>
      <w:bookmarkEnd w:id="21"/>
    </w:p>
    <w:p w14:paraId="77B5639D" w14:textId="66778B86" w:rsidR="009024BA" w:rsidRPr="007B3DA1" w:rsidRDefault="00CD1CDB" w:rsidP="00CD1CDB">
      <w:pPr>
        <w:pStyle w:val="Policy-BodyText"/>
        <w:tabs>
          <w:tab w:val="left" w:pos="567"/>
        </w:tabs>
        <w:ind w:hanging="5671"/>
      </w:pPr>
      <w:r>
        <w:rPr>
          <w:rStyle w:val="ExplanatoryTextChar"/>
          <w:rFonts w:eastAsiaTheme="minorEastAsia"/>
          <w:b w:val="0"/>
          <w:bCs/>
          <w:sz w:val="24"/>
          <w:szCs w:val="24"/>
        </w:rPr>
        <w:t xml:space="preserve">4.1    </w:t>
      </w:r>
      <w:r w:rsidR="00DF0E32" w:rsidRPr="00DF0E32">
        <w:rPr>
          <w:rStyle w:val="ExplanatoryTextChar"/>
          <w:rFonts w:eastAsiaTheme="minorEastAsia"/>
          <w:b w:val="0"/>
          <w:bCs/>
          <w:sz w:val="24"/>
          <w:szCs w:val="24"/>
        </w:rPr>
        <w:t xml:space="preserve">The Chief Internal Auditor is </w:t>
      </w:r>
      <w:r w:rsidR="009024BA" w:rsidRPr="00DF0E32">
        <w:rPr>
          <w:rStyle w:val="ExplanatoryTextChar"/>
          <w:rFonts w:eastAsiaTheme="minorEastAsia"/>
          <w:b w:val="0"/>
          <w:bCs/>
          <w:sz w:val="24"/>
          <w:szCs w:val="24"/>
        </w:rPr>
        <w:t>responsible</w:t>
      </w:r>
      <w:r w:rsidR="009024BA">
        <w:rPr>
          <w:rStyle w:val="ExplanatoryTextChar"/>
          <w:rFonts w:eastAsiaTheme="minorEastAsia"/>
          <w:b w:val="0"/>
          <w:sz w:val="24"/>
          <w:szCs w:val="24"/>
        </w:rPr>
        <w:t xml:space="preserve"> for this procedure.</w:t>
      </w:r>
    </w:p>
    <w:p w14:paraId="04BB7433" w14:textId="33301771" w:rsidR="009024BA" w:rsidRDefault="00CD1CDB" w:rsidP="00CD1CDB">
      <w:pPr>
        <w:pStyle w:val="Policy-BodyText"/>
        <w:numPr>
          <w:ilvl w:val="1"/>
          <w:numId w:val="32"/>
        </w:numPr>
        <w:tabs>
          <w:tab w:val="left" w:pos="1134"/>
        </w:tabs>
      </w:pPr>
      <w:r>
        <w:t xml:space="preserve">   </w:t>
      </w:r>
      <w:r w:rsidR="009024BA" w:rsidRPr="007B3DA1">
        <w:t>For support contact</w:t>
      </w:r>
      <w:r w:rsidR="009024BA">
        <w:rPr>
          <w:rStyle w:val="ExplanatoryTextChar"/>
          <w:rFonts w:eastAsiaTheme="minorEastAsia"/>
          <w:b w:val="0"/>
          <w:sz w:val="24"/>
          <w:szCs w:val="24"/>
        </w:rPr>
        <w:t xml:space="preserve"> </w:t>
      </w:r>
      <w:r w:rsidR="00705921">
        <w:rPr>
          <w:rStyle w:val="ExplanatoryTextChar"/>
          <w:rFonts w:eastAsiaTheme="minorEastAsia"/>
          <w:b w:val="0"/>
          <w:sz w:val="24"/>
          <w:szCs w:val="24"/>
        </w:rPr>
        <w:t>the Chief Internal Auditor</w:t>
      </w:r>
      <w:r w:rsidR="00705921" w:rsidRPr="007B3DA1">
        <w:t xml:space="preserve"> </w:t>
      </w:r>
      <w:r w:rsidR="009024BA" w:rsidRPr="007B3DA1">
        <w:t>on</w:t>
      </w:r>
      <w:r w:rsidR="00705921">
        <w:rPr>
          <w:rStyle w:val="ExplanatoryTextChar"/>
          <w:rFonts w:eastAsiaTheme="minorEastAsia"/>
          <w:b w:val="0"/>
          <w:sz w:val="24"/>
          <w:szCs w:val="24"/>
        </w:rPr>
        <w:t xml:space="preserve"> (02) 6207 4386</w:t>
      </w:r>
      <w:r w:rsidR="009024BA" w:rsidRPr="007B3DA1">
        <w:t>.</w:t>
      </w:r>
    </w:p>
    <w:p w14:paraId="7E7800E2" w14:textId="77777777" w:rsidR="00C650B6" w:rsidRPr="007B3DA1" w:rsidRDefault="00C650B6" w:rsidP="00C650B6">
      <w:pPr>
        <w:pStyle w:val="Policy-BodyText"/>
        <w:numPr>
          <w:ilvl w:val="0"/>
          <w:numId w:val="0"/>
        </w:numPr>
      </w:pPr>
    </w:p>
    <w:p w14:paraId="26658D3D" w14:textId="77777777" w:rsidR="00692CF6" w:rsidRDefault="005169F4" w:rsidP="00F35135">
      <w:pPr>
        <w:pStyle w:val="PolicyHeading2-Accessible"/>
      </w:pPr>
      <w:r>
        <w:t>Complaints</w:t>
      </w:r>
      <w:bookmarkEnd w:id="22"/>
    </w:p>
    <w:p w14:paraId="20E8264B" w14:textId="77777777" w:rsidR="00E07686" w:rsidRDefault="00E07686" w:rsidP="003B319D">
      <w:pPr>
        <w:pStyle w:val="Policy-BodyText"/>
        <w:ind w:left="1134" w:hanging="567"/>
      </w:pPr>
      <w:r>
        <w:t>Any concerns about the application of this p</w:t>
      </w:r>
      <w:r w:rsidR="00305253">
        <w:t>rocedure</w:t>
      </w:r>
      <w:r>
        <w:t xml:space="preserve"> or the p</w:t>
      </w:r>
      <w:r w:rsidR="00305253">
        <w:t>rocedure</w:t>
      </w:r>
      <w:r>
        <w:t xml:space="preserve"> itself, should be raised with:</w:t>
      </w:r>
    </w:p>
    <w:p w14:paraId="0511C984" w14:textId="68A421A6" w:rsidR="00E07686" w:rsidRDefault="00E0741B" w:rsidP="00F35135">
      <w:pPr>
        <w:pStyle w:val="Bulletpointslevel3"/>
      </w:pPr>
      <w:r>
        <w:t xml:space="preserve">the </w:t>
      </w:r>
      <w:r w:rsidR="00227CF8">
        <w:t xml:space="preserve">Policy Owner, the </w:t>
      </w:r>
      <w:r>
        <w:t>Chief Internal Auditor</w:t>
      </w:r>
      <w:r w:rsidR="00E07686" w:rsidRPr="009F40BB">
        <w:t>;</w:t>
      </w:r>
    </w:p>
    <w:p w14:paraId="166C7E42" w14:textId="7663747A" w:rsidR="00E07686" w:rsidRDefault="00E0741B" w:rsidP="00F35135">
      <w:pPr>
        <w:pStyle w:val="Bulletpointslevel3"/>
      </w:pPr>
      <w:r>
        <w:t xml:space="preserve">the Directorate’s </w:t>
      </w:r>
      <w:r w:rsidR="005B51F0">
        <w:t>Feedback and Complaints team</w:t>
      </w:r>
      <w:r>
        <w:t xml:space="preserve"> on (02) 6205 5429</w:t>
      </w:r>
      <w:r w:rsidR="002F6BAE">
        <w:t>;</w:t>
      </w:r>
      <w:r w:rsidR="005B51F0">
        <w:t xml:space="preserve"> or</w:t>
      </w:r>
    </w:p>
    <w:p w14:paraId="5B347162" w14:textId="77777777" w:rsidR="00E07686" w:rsidRDefault="00E07686" w:rsidP="00F35135">
      <w:pPr>
        <w:pStyle w:val="Bulletpointslevel3"/>
      </w:pPr>
      <w:r>
        <w:t xml:space="preserve">online at </w:t>
      </w:r>
      <w:hyperlink r:id="rId14" w:history="1">
        <w:r w:rsidR="00CF5D1F">
          <w:rPr>
            <w:rStyle w:val="Hyperlink"/>
          </w:rPr>
          <w:t>www.education.act.gov.au/about-us/contact_us</w:t>
        </w:r>
      </w:hyperlink>
      <w:r w:rsidR="009E73D5">
        <w:t>;</w:t>
      </w:r>
    </w:p>
    <w:p w14:paraId="05EE9A6A" w14:textId="20B7F965" w:rsidR="007C6BE8" w:rsidRDefault="00E07686" w:rsidP="00F35135">
      <w:pPr>
        <w:pStyle w:val="Bulletpointslevel3"/>
      </w:pPr>
      <w:r>
        <w:t xml:space="preserve">see also the </w:t>
      </w:r>
      <w:r>
        <w:rPr>
          <w:i/>
        </w:rPr>
        <w:t xml:space="preserve">Complaints </w:t>
      </w:r>
      <w:r w:rsidR="0058431C">
        <w:rPr>
          <w:i/>
        </w:rPr>
        <w:t xml:space="preserve">Management </w:t>
      </w:r>
      <w:r w:rsidRPr="00FB47B5">
        <w:rPr>
          <w:i/>
        </w:rPr>
        <w:t>P</w:t>
      </w:r>
      <w:r w:rsidRPr="000E25E2">
        <w:rPr>
          <w:i/>
        </w:rPr>
        <w:t>olicy</w:t>
      </w:r>
      <w:r>
        <w:t xml:space="preserve"> </w:t>
      </w:r>
      <w:r w:rsidRPr="00CF0E12">
        <w:t>on the Directorate’s website</w:t>
      </w:r>
      <w:r>
        <w:t>.</w:t>
      </w:r>
    </w:p>
    <w:p w14:paraId="56FD3174" w14:textId="77777777" w:rsidR="00847A63" w:rsidRDefault="00847A63" w:rsidP="00847A63">
      <w:pPr>
        <w:pStyle w:val="Bulletpointslevel3"/>
        <w:numPr>
          <w:ilvl w:val="0"/>
          <w:numId w:val="0"/>
        </w:numPr>
        <w:ind w:left="1470"/>
      </w:pPr>
    </w:p>
    <w:p w14:paraId="2DA697DF" w14:textId="5F664226" w:rsidR="00BD68F4" w:rsidRDefault="00F5482B" w:rsidP="00F35135">
      <w:pPr>
        <w:pStyle w:val="PolicyHeading2-Accessible"/>
      </w:pPr>
      <w:bookmarkStart w:id="23" w:name="_Toc419889964"/>
      <w:r>
        <w:t>References</w:t>
      </w:r>
      <w:bookmarkEnd w:id="23"/>
    </w:p>
    <w:p w14:paraId="6B1D04CD" w14:textId="77777777" w:rsidR="00DF6DBC" w:rsidRPr="0096778D" w:rsidRDefault="00835401" w:rsidP="0096778D">
      <w:pPr>
        <w:pStyle w:val="Policy-BodyText"/>
        <w:tabs>
          <w:tab w:val="left" w:pos="1276"/>
        </w:tabs>
        <w:ind w:left="1418" w:hanging="709"/>
        <w:rPr>
          <w:b/>
          <w:bCs/>
        </w:rPr>
      </w:pPr>
      <w:r w:rsidRPr="0096778D">
        <w:rPr>
          <w:b/>
          <w:bCs/>
        </w:rPr>
        <w:t>Definitions</w:t>
      </w:r>
    </w:p>
    <w:p w14:paraId="45C667BB" w14:textId="77777777" w:rsidR="008650D4" w:rsidRPr="00512E71" w:rsidRDefault="008650D4" w:rsidP="008650D4">
      <w:pPr>
        <w:pStyle w:val="Bulletpointslevel3"/>
      </w:pPr>
      <w:r w:rsidRPr="00512E71">
        <w:rPr>
          <w:b/>
        </w:rPr>
        <w:t>Conflict of Interest</w:t>
      </w:r>
      <w:r>
        <w:t>:</w:t>
      </w:r>
      <w:r w:rsidRPr="00512E71">
        <w:t xml:space="preserve"> </w:t>
      </w:r>
      <w:r>
        <w:t>a</w:t>
      </w:r>
      <w:r w:rsidRPr="00512E71">
        <w:t>ny relationship that is, or appears to be, not in the best interest of the organi</w:t>
      </w:r>
      <w:r>
        <w:t>s</w:t>
      </w:r>
      <w:r w:rsidRPr="00512E71">
        <w:t>ation. A conflict of interest would prejudice an individual’s ability to perform his or her duties and responsibilities objectively.</w:t>
      </w:r>
    </w:p>
    <w:p w14:paraId="7F00557E" w14:textId="77777777" w:rsidR="008650D4" w:rsidRPr="00512E71" w:rsidRDefault="008650D4" w:rsidP="008650D4">
      <w:pPr>
        <w:pStyle w:val="Bulletpointslevel3"/>
      </w:pPr>
      <w:r w:rsidRPr="00512E71">
        <w:rPr>
          <w:b/>
        </w:rPr>
        <w:t>Control</w:t>
      </w:r>
      <w:r>
        <w:t>: a</w:t>
      </w:r>
      <w:r w:rsidRPr="00512E71">
        <w:t>ny action taken by management, the board, and other parties to manage risk and increase the likelihood that established objectives and goals will be achieved. Management plans, organi</w:t>
      </w:r>
      <w:r>
        <w:t>s</w:t>
      </w:r>
      <w:r w:rsidRPr="00512E71">
        <w:t>es, and directs the performance of sufficient actions to provide reasonable assurance that objectives and goals will be achieved.</w:t>
      </w:r>
    </w:p>
    <w:p w14:paraId="1F380E62" w14:textId="77777777" w:rsidR="008650D4" w:rsidRDefault="008650D4" w:rsidP="008650D4">
      <w:pPr>
        <w:pStyle w:val="Bulletpointslevel3"/>
      </w:pPr>
      <w:r w:rsidRPr="00512E71">
        <w:rPr>
          <w:b/>
        </w:rPr>
        <w:t>Independence</w:t>
      </w:r>
      <w:r>
        <w:t>: the freedom from conditions that threaten the ability of the internal audit activity to carry out internal audit responsibilities in an unbiased manner.</w:t>
      </w:r>
    </w:p>
    <w:p w14:paraId="20DBC433" w14:textId="77777777" w:rsidR="008650D4" w:rsidRPr="00512E71" w:rsidRDefault="008650D4" w:rsidP="008650D4">
      <w:pPr>
        <w:pStyle w:val="Bulletpointslevel3"/>
      </w:pPr>
      <w:r w:rsidRPr="00512E71">
        <w:rPr>
          <w:b/>
        </w:rPr>
        <w:t>Internal Audit</w:t>
      </w:r>
      <w:r w:rsidRPr="00512E71">
        <w:t>: an independent, objective assurance activity designed to add value and improve an organi</w:t>
      </w:r>
      <w:r>
        <w:t>s</w:t>
      </w:r>
      <w:r w:rsidRPr="00512E71">
        <w:t>ation’s operations. It helps an organi</w:t>
      </w:r>
      <w:r>
        <w:t>s</w:t>
      </w:r>
      <w:r w:rsidRPr="00512E71">
        <w:t xml:space="preserve">ation accomplish its objectives by bringing a systematic, disciplined approach to evaluate and improve the effectiveness of risk management, control and governance processes. </w:t>
      </w:r>
    </w:p>
    <w:p w14:paraId="3525C7D0" w14:textId="75430C2F" w:rsidR="008650D4" w:rsidRDefault="008650D4" w:rsidP="008650D4">
      <w:pPr>
        <w:pStyle w:val="Bulletpointslevel3"/>
      </w:pPr>
      <w:r w:rsidRPr="00512E71">
        <w:rPr>
          <w:b/>
        </w:rPr>
        <w:t>Risk</w:t>
      </w:r>
      <w:r>
        <w:t>: t</w:t>
      </w:r>
      <w:r w:rsidRPr="00512E71">
        <w:t>he possibility of an event occurring that will have an impact on the achievement of objectives. Risk is measured in terms of impact and likelihood.</w:t>
      </w:r>
    </w:p>
    <w:p w14:paraId="28376D33" w14:textId="77777777" w:rsidR="008C0D5A" w:rsidRPr="00512E71" w:rsidRDefault="008C0D5A" w:rsidP="00B165E5">
      <w:pPr>
        <w:pStyle w:val="Bulletpointslevel3"/>
        <w:numPr>
          <w:ilvl w:val="0"/>
          <w:numId w:val="0"/>
        </w:numPr>
        <w:ind w:left="1470"/>
      </w:pPr>
    </w:p>
    <w:p w14:paraId="7C435EBB" w14:textId="76BF5833" w:rsidR="00DF0E32" w:rsidRDefault="00BC0D96" w:rsidP="004F29C3">
      <w:pPr>
        <w:pStyle w:val="Policy-BodyText"/>
        <w:tabs>
          <w:tab w:val="left" w:pos="1276"/>
        </w:tabs>
        <w:ind w:left="1418" w:hanging="709"/>
      </w:pPr>
      <w:r w:rsidRPr="00710BC9">
        <w:rPr>
          <w:b/>
          <w:bCs/>
        </w:rPr>
        <w:t>Rel</w:t>
      </w:r>
      <w:r w:rsidR="006E01E3" w:rsidRPr="00710BC9">
        <w:rPr>
          <w:b/>
          <w:bCs/>
        </w:rPr>
        <w:t>a</w:t>
      </w:r>
      <w:r w:rsidRPr="00710BC9">
        <w:rPr>
          <w:b/>
          <w:bCs/>
        </w:rPr>
        <w:t>t</w:t>
      </w:r>
      <w:r w:rsidR="006E01E3" w:rsidRPr="00710BC9">
        <w:rPr>
          <w:b/>
          <w:bCs/>
        </w:rPr>
        <w:t>ed</w:t>
      </w:r>
      <w:r w:rsidRPr="00710BC9">
        <w:rPr>
          <w:b/>
          <w:bCs/>
        </w:rPr>
        <w:t xml:space="preserve"> </w:t>
      </w:r>
      <w:r w:rsidR="004030AB" w:rsidRPr="00710BC9">
        <w:rPr>
          <w:b/>
          <w:bCs/>
        </w:rPr>
        <w:t>Policies</w:t>
      </w:r>
      <w:r w:rsidR="004030AB" w:rsidRPr="00B165E5">
        <w:rPr>
          <w:b/>
        </w:rPr>
        <w:t xml:space="preserve"> and </w:t>
      </w:r>
      <w:r w:rsidR="00032B16" w:rsidRPr="00B165E5">
        <w:rPr>
          <w:b/>
        </w:rPr>
        <w:t>Documents</w:t>
      </w:r>
      <w:r w:rsidRPr="00277E3D">
        <w:t xml:space="preserve"> </w:t>
      </w:r>
    </w:p>
    <w:p w14:paraId="53D71D0C" w14:textId="1103BEE1" w:rsidR="004501F8" w:rsidRDefault="00E80DD5" w:rsidP="00E80DD5">
      <w:pPr>
        <w:pStyle w:val="Policy-BodyText"/>
        <w:numPr>
          <w:ilvl w:val="0"/>
          <w:numId w:val="34"/>
        </w:numPr>
        <w:tabs>
          <w:tab w:val="left" w:pos="1276"/>
        </w:tabs>
        <w:ind w:hanging="1836"/>
      </w:pPr>
      <w:r>
        <w:t xml:space="preserve">   </w:t>
      </w:r>
      <w:r w:rsidR="004501F8" w:rsidRPr="006F7C13">
        <w:t>Internal Audit Policy</w:t>
      </w:r>
      <w:r w:rsidR="004501F8">
        <w:t xml:space="preserve">, Policy Identifier </w:t>
      </w:r>
      <w:r w:rsidR="00DF0E32">
        <w:t>0</w:t>
      </w:r>
      <w:r w:rsidR="004501F8">
        <w:t>0029</w:t>
      </w:r>
      <w:r w:rsidR="00DF0E32">
        <w:t>/1</w:t>
      </w:r>
    </w:p>
    <w:p w14:paraId="38A69F1D" w14:textId="12086278" w:rsidR="004501F8" w:rsidRDefault="004501F8" w:rsidP="00E80DD5">
      <w:pPr>
        <w:pStyle w:val="Bulletpointslevel3"/>
        <w:ind w:hanging="336"/>
      </w:pPr>
      <w:r>
        <w:t>Internal Audit Fact Sheet, Policy Identifier 00</w:t>
      </w:r>
      <w:r w:rsidR="00DF0E32">
        <w:t>0</w:t>
      </w:r>
      <w:r>
        <w:t>29/2</w:t>
      </w:r>
    </w:p>
    <w:p w14:paraId="5887DA7C" w14:textId="77777777" w:rsidR="00536A32" w:rsidRDefault="00536A32" w:rsidP="00536A32">
      <w:pPr>
        <w:pStyle w:val="Bulletpointslevel3"/>
        <w:ind w:hanging="336"/>
      </w:pPr>
      <w:r w:rsidRPr="006F7C13">
        <w:t>Internal Audit Charter</w:t>
      </w:r>
      <w:r>
        <w:t>, Policy Identifier 00029/3</w:t>
      </w:r>
    </w:p>
    <w:p w14:paraId="663B3BC0" w14:textId="77777777" w:rsidR="007E3A92" w:rsidRDefault="004501F8" w:rsidP="007E3A92">
      <w:pPr>
        <w:pStyle w:val="Bulletpointslevel3"/>
        <w:ind w:hanging="336"/>
      </w:pPr>
      <w:r w:rsidRPr="006F7C13">
        <w:t>Audit Committee Charter</w:t>
      </w:r>
      <w:r>
        <w:t>, Policy Identifier 00</w:t>
      </w:r>
      <w:r w:rsidR="00DF0E32">
        <w:t>0</w:t>
      </w:r>
      <w:r>
        <w:t>29/</w:t>
      </w:r>
      <w:r w:rsidR="00536A32">
        <w:t>4</w:t>
      </w:r>
    </w:p>
    <w:p w14:paraId="608668E2" w14:textId="77777777" w:rsidR="00D17970" w:rsidRPr="006F7C13" w:rsidRDefault="00D17970" w:rsidP="00D17970">
      <w:pPr>
        <w:pStyle w:val="Bulletpointslevel3"/>
      </w:pPr>
      <w:r>
        <w:t>Framework for Internal Audit Committee and Function (CMTEDD)</w:t>
      </w:r>
    </w:p>
    <w:p w14:paraId="00B4F189" w14:textId="0E72ADE8" w:rsidR="00FC6D75" w:rsidRPr="00B00F28" w:rsidRDefault="00FC6D75" w:rsidP="00D17970">
      <w:pPr>
        <w:pStyle w:val="Bulletpointslevel3"/>
        <w:numPr>
          <w:ilvl w:val="0"/>
          <w:numId w:val="0"/>
        </w:numPr>
        <w:ind w:left="1470"/>
      </w:pPr>
    </w:p>
    <w:sectPr w:rsidR="00FC6D75" w:rsidRPr="00B00F28" w:rsidSect="0010704D">
      <w:headerReference w:type="even" r:id="rId15"/>
      <w:headerReference w:type="default" r:id="rId16"/>
      <w:footerReference w:type="even" r:id="rId17"/>
      <w:footerReference w:type="default" r:id="rId18"/>
      <w:headerReference w:type="first" r:id="rId19"/>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B0EA" w14:textId="77777777" w:rsidR="003F67C9" w:rsidRDefault="003F67C9" w:rsidP="00477967">
      <w:r>
        <w:separator/>
      </w:r>
    </w:p>
    <w:p w14:paraId="5D7CD5A3" w14:textId="77777777" w:rsidR="003F67C9" w:rsidRDefault="003F67C9"/>
  </w:endnote>
  <w:endnote w:type="continuationSeparator" w:id="0">
    <w:p w14:paraId="7BC6CE7D" w14:textId="77777777" w:rsidR="003F67C9" w:rsidRDefault="003F67C9" w:rsidP="00477967">
      <w:r>
        <w:continuationSeparator/>
      </w:r>
    </w:p>
    <w:p w14:paraId="14EC7C43" w14:textId="77777777" w:rsidR="003F67C9" w:rsidRDefault="003F67C9"/>
  </w:endnote>
  <w:endnote w:type="continuationNotice" w:id="1">
    <w:p w14:paraId="5BD8A70B" w14:textId="77777777" w:rsidR="003F67C9" w:rsidRDefault="003F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24" w:name="_Hlk13247808" w:displacedByCustomXml="prev"/>
          <w:p w14:paraId="4721F489" w14:textId="59D7CF9E" w:rsidR="00837437" w:rsidRPr="00837437" w:rsidRDefault="00CE596C" w:rsidP="00837437">
            <w:pPr>
              <w:pStyle w:val="Intro"/>
              <w:tabs>
                <w:tab w:val="right" w:pos="13750"/>
              </w:tabs>
              <w:spacing w:line="240" w:lineRule="auto"/>
              <w:rPr>
                <w:rFonts w:asciiTheme="majorHAnsi" w:hAnsiTheme="majorHAnsi" w:cstheme="majorHAnsi"/>
                <w:color w:val="auto"/>
                <w:sz w:val="18"/>
                <w:szCs w:val="16"/>
              </w:rPr>
            </w:pPr>
            <w:r w:rsidRPr="00B42ACA">
              <w:rPr>
                <w:rFonts w:asciiTheme="majorHAnsi" w:hAnsiTheme="majorHAnsi" w:cstheme="majorHAnsi"/>
                <w:b/>
                <w:color w:val="auto"/>
                <w:sz w:val="18"/>
                <w:szCs w:val="16"/>
              </w:rPr>
              <w:t>Internal Audit Procedure,00029/1</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24"/>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2AE6" w14:textId="77777777" w:rsidR="003F67C9" w:rsidRDefault="003F67C9" w:rsidP="00477967">
      <w:r>
        <w:separator/>
      </w:r>
    </w:p>
    <w:p w14:paraId="4CF1A514" w14:textId="77777777" w:rsidR="003F67C9" w:rsidRDefault="003F67C9"/>
  </w:footnote>
  <w:footnote w:type="continuationSeparator" w:id="0">
    <w:p w14:paraId="3397765F" w14:textId="77777777" w:rsidR="003F67C9" w:rsidRDefault="003F67C9" w:rsidP="00477967">
      <w:r>
        <w:continuationSeparator/>
      </w:r>
    </w:p>
    <w:p w14:paraId="54A4F480" w14:textId="77777777" w:rsidR="003F67C9" w:rsidRDefault="003F67C9"/>
  </w:footnote>
  <w:footnote w:type="continuationNotice" w:id="1">
    <w:p w14:paraId="0171AD53" w14:textId="77777777" w:rsidR="003F67C9" w:rsidRDefault="003F6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0EBBDDDD" w:rsidR="007B0AF3" w:rsidRDefault="001E69E7">
    <w:pPr>
      <w:pStyle w:val="Header"/>
    </w:pPr>
    <w:r>
      <w:rPr>
        <w:noProof/>
        <w:lang w:val="en-US"/>
      </w:rPr>
      <mc:AlternateContent>
        <mc:Choice Requires="wps">
          <w:drawing>
            <wp:anchor distT="0" distB="0" distL="114300" distR="114300" simplePos="0" relativeHeight="251658241" behindDoc="0" locked="0" layoutInCell="1" allowOverlap="1" wp14:anchorId="7E74EC87" wp14:editId="6E7B6418">
              <wp:simplePos x="0" y="0"/>
              <wp:positionH relativeFrom="column">
                <wp:posOffset>0</wp:posOffset>
              </wp:positionH>
              <wp:positionV relativeFrom="paragraph">
                <wp:posOffset>0</wp:posOffset>
              </wp:positionV>
              <wp:extent cx="9144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1D493" id="_x0000_t202" coordsize="21600,21600" o:spt="202" path="m,l,21600r21600,l21600,xe">
              <v:stroke joinstyle="miter"/>
              <v:path gradientshapeok="t" o:connecttype="rect"/>
            </v:shapetype>
            <v:shape id="Text Box 5" o:spid="_x0000_s1026" type="#_x0000_t202" style="position:absolute;margin-left:0;margin-top:0;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316A43FD" w:rsidR="007B0AF3" w:rsidRPr="00225547" w:rsidRDefault="001E69E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8240" behindDoc="0" locked="0" layoutInCell="1" allowOverlap="1" wp14:anchorId="66A2E70F" wp14:editId="4CDF6674">
              <wp:simplePos x="0" y="0"/>
              <wp:positionH relativeFrom="column">
                <wp:posOffset>0</wp:posOffset>
              </wp:positionH>
              <wp:positionV relativeFrom="paragraph">
                <wp:posOffset>0</wp:posOffset>
              </wp:positionV>
              <wp:extent cx="914400" cy="91440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926ED" id="_x0000_t202" coordsize="21600,21600" o:spt="202" path="m,l,21600r21600,l21600,xe">
              <v:stroke joinstyle="miter"/>
              <v:path gradientshapeok="t" o:connecttype="rect"/>
            </v:shapetype>
            <v:shape id="Text Box 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21BCB18" w:rsidR="007B0AF3" w:rsidRDefault="001E69E7">
    <w:pPr>
      <w:pStyle w:val="Header"/>
    </w:pPr>
    <w:r>
      <w:rPr>
        <w:noProof/>
        <w:lang w:val="en-US"/>
      </w:rPr>
      <mc:AlternateContent>
        <mc:Choice Requires="wps">
          <w:drawing>
            <wp:anchor distT="0" distB="0" distL="114300" distR="114300" simplePos="0" relativeHeight="251658242" behindDoc="0" locked="0" layoutInCell="1" allowOverlap="1" wp14:anchorId="12871992" wp14:editId="7386B6B2">
              <wp:simplePos x="0" y="0"/>
              <wp:positionH relativeFrom="column">
                <wp:posOffset>0</wp:posOffset>
              </wp:positionH>
              <wp:positionV relativeFrom="paragraph">
                <wp:posOffset>0</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8B8DB9" id="_x0000_t202" coordsize="21600,21600" o:spt="202" path="m,l,21600r21600,l21600,xe">
              <v:stroke joinstyle="miter"/>
              <v:path gradientshapeok="t" o:connecttype="rect"/>
            </v:shapetype>
            <v:shape id="Text Box 2" o:spid="_x0000_s1026" type="#_x0000_t202" style="position:absolute;margin-left:0;margin-top:0;width:1in;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05F"/>
    <w:multiLevelType w:val="hybridMultilevel"/>
    <w:tmpl w:val="EB9C6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0B695EBC"/>
    <w:multiLevelType w:val="hybridMultilevel"/>
    <w:tmpl w:val="4F2E0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E6250"/>
    <w:multiLevelType w:val="hybridMultilevel"/>
    <w:tmpl w:val="94888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917DCF"/>
    <w:multiLevelType w:val="hybridMultilevel"/>
    <w:tmpl w:val="76E6C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608A4"/>
    <w:multiLevelType w:val="hybridMultilevel"/>
    <w:tmpl w:val="67C8C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F0D06"/>
    <w:multiLevelType w:val="multilevel"/>
    <w:tmpl w:val="5F1E8AEC"/>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1134"/>
        </w:tabs>
        <w:ind w:left="567" w:firstLine="0"/>
      </w:pPr>
      <w:rPr>
        <w:rFonts w:ascii="Calibri" w:hAnsi="Calibri" w:hint="default"/>
        <w:b w:val="0"/>
        <w:i w:val="0"/>
        <w:iCs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7" w15:restartNumberingAfterBreak="0">
    <w:nsid w:val="204E02C6"/>
    <w:multiLevelType w:val="hybridMultilevel"/>
    <w:tmpl w:val="4F664C00"/>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8" w15:restartNumberingAfterBreak="0">
    <w:nsid w:val="2BBE55BD"/>
    <w:multiLevelType w:val="hybridMultilevel"/>
    <w:tmpl w:val="00A8A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437CCD"/>
    <w:multiLevelType w:val="hybridMultilevel"/>
    <w:tmpl w:val="EDC2D912"/>
    <w:lvl w:ilvl="0" w:tplc="2B48B624">
      <w:start w:val="1"/>
      <w:numFmt w:val="bullet"/>
      <w:pStyle w:val="Bulletpointslevel3"/>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0" w15:restartNumberingAfterBreak="0">
    <w:nsid w:val="3F1D097E"/>
    <w:multiLevelType w:val="multilevel"/>
    <w:tmpl w:val="A530BD3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F282659"/>
    <w:multiLevelType w:val="hybridMultilevel"/>
    <w:tmpl w:val="99DCFF58"/>
    <w:lvl w:ilvl="0" w:tplc="0C090001">
      <w:start w:val="1"/>
      <w:numFmt w:val="bullet"/>
      <w:lvlText w:val=""/>
      <w:lvlJc w:val="left"/>
      <w:pPr>
        <w:ind w:left="2970" w:hanging="360"/>
      </w:pPr>
      <w:rPr>
        <w:rFonts w:ascii="Symbol" w:hAnsi="Symbol" w:hint="default"/>
      </w:rPr>
    </w:lvl>
    <w:lvl w:ilvl="1" w:tplc="0C090003" w:tentative="1">
      <w:start w:val="1"/>
      <w:numFmt w:val="bullet"/>
      <w:lvlText w:val="o"/>
      <w:lvlJc w:val="left"/>
      <w:pPr>
        <w:ind w:left="3690" w:hanging="360"/>
      </w:pPr>
      <w:rPr>
        <w:rFonts w:ascii="Courier New" w:hAnsi="Courier New" w:cs="Courier New" w:hint="default"/>
      </w:rPr>
    </w:lvl>
    <w:lvl w:ilvl="2" w:tplc="0C090005" w:tentative="1">
      <w:start w:val="1"/>
      <w:numFmt w:val="bullet"/>
      <w:lvlText w:val=""/>
      <w:lvlJc w:val="left"/>
      <w:pPr>
        <w:ind w:left="4410" w:hanging="360"/>
      </w:pPr>
      <w:rPr>
        <w:rFonts w:ascii="Wingdings" w:hAnsi="Wingdings" w:hint="default"/>
      </w:rPr>
    </w:lvl>
    <w:lvl w:ilvl="3" w:tplc="0C090001" w:tentative="1">
      <w:start w:val="1"/>
      <w:numFmt w:val="bullet"/>
      <w:lvlText w:val=""/>
      <w:lvlJc w:val="left"/>
      <w:pPr>
        <w:ind w:left="5130" w:hanging="360"/>
      </w:pPr>
      <w:rPr>
        <w:rFonts w:ascii="Symbol" w:hAnsi="Symbol" w:hint="default"/>
      </w:rPr>
    </w:lvl>
    <w:lvl w:ilvl="4" w:tplc="0C090003" w:tentative="1">
      <w:start w:val="1"/>
      <w:numFmt w:val="bullet"/>
      <w:lvlText w:val="o"/>
      <w:lvlJc w:val="left"/>
      <w:pPr>
        <w:ind w:left="5850" w:hanging="360"/>
      </w:pPr>
      <w:rPr>
        <w:rFonts w:ascii="Courier New" w:hAnsi="Courier New" w:cs="Courier New" w:hint="default"/>
      </w:rPr>
    </w:lvl>
    <w:lvl w:ilvl="5" w:tplc="0C090005" w:tentative="1">
      <w:start w:val="1"/>
      <w:numFmt w:val="bullet"/>
      <w:lvlText w:val=""/>
      <w:lvlJc w:val="left"/>
      <w:pPr>
        <w:ind w:left="6570" w:hanging="360"/>
      </w:pPr>
      <w:rPr>
        <w:rFonts w:ascii="Wingdings" w:hAnsi="Wingdings" w:hint="default"/>
      </w:rPr>
    </w:lvl>
    <w:lvl w:ilvl="6" w:tplc="0C090001" w:tentative="1">
      <w:start w:val="1"/>
      <w:numFmt w:val="bullet"/>
      <w:lvlText w:val=""/>
      <w:lvlJc w:val="left"/>
      <w:pPr>
        <w:ind w:left="7290" w:hanging="360"/>
      </w:pPr>
      <w:rPr>
        <w:rFonts w:ascii="Symbol" w:hAnsi="Symbol" w:hint="default"/>
      </w:rPr>
    </w:lvl>
    <w:lvl w:ilvl="7" w:tplc="0C090003" w:tentative="1">
      <w:start w:val="1"/>
      <w:numFmt w:val="bullet"/>
      <w:lvlText w:val="o"/>
      <w:lvlJc w:val="left"/>
      <w:pPr>
        <w:ind w:left="8010" w:hanging="360"/>
      </w:pPr>
      <w:rPr>
        <w:rFonts w:ascii="Courier New" w:hAnsi="Courier New" w:cs="Courier New" w:hint="default"/>
      </w:rPr>
    </w:lvl>
    <w:lvl w:ilvl="8" w:tplc="0C090005" w:tentative="1">
      <w:start w:val="1"/>
      <w:numFmt w:val="bullet"/>
      <w:lvlText w:val=""/>
      <w:lvlJc w:val="left"/>
      <w:pPr>
        <w:ind w:left="8730" w:hanging="360"/>
      </w:pPr>
      <w:rPr>
        <w:rFonts w:ascii="Wingdings" w:hAnsi="Wingdings" w:hint="default"/>
      </w:rPr>
    </w:lvl>
  </w:abstractNum>
  <w:abstractNum w:abstractNumId="12" w15:restartNumberingAfterBreak="0">
    <w:nsid w:val="4F0F303E"/>
    <w:multiLevelType w:val="hybridMultilevel"/>
    <w:tmpl w:val="120CBE5A"/>
    <w:lvl w:ilvl="0" w:tplc="3D543304">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52112FB4"/>
    <w:multiLevelType w:val="hybridMultilevel"/>
    <w:tmpl w:val="0328590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B767C1E"/>
    <w:multiLevelType w:val="multilevel"/>
    <w:tmpl w:val="B35EC3BE"/>
    <w:lvl w:ilvl="0">
      <w:start w:val="1"/>
      <w:numFmt w:val="bullet"/>
      <w:lvlText w:val=""/>
      <w:lvlJc w:val="left"/>
      <w:pPr>
        <w:tabs>
          <w:tab w:val="num" w:pos="567"/>
        </w:tabs>
        <w:ind w:left="0" w:firstLine="0"/>
      </w:pPr>
      <w:rPr>
        <w:rFonts w:ascii="Symbol" w:hAnsi="Symbol"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7E414916"/>
    <w:multiLevelType w:val="hybridMultilevel"/>
    <w:tmpl w:val="4E5C8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0513149">
    <w:abstractNumId w:val="1"/>
  </w:num>
  <w:num w:numId="2" w16cid:durableId="1495024278">
    <w:abstractNumId w:val="9"/>
  </w:num>
  <w:num w:numId="3" w16cid:durableId="2125997521">
    <w:abstractNumId w:val="6"/>
  </w:num>
  <w:num w:numId="4" w16cid:durableId="1936287177">
    <w:abstractNumId w:val="14"/>
  </w:num>
  <w:num w:numId="5" w16cid:durableId="1656059279">
    <w:abstractNumId w:val="7"/>
  </w:num>
  <w:num w:numId="6" w16cid:durableId="636448943">
    <w:abstractNumId w:val="6"/>
  </w:num>
  <w:num w:numId="7" w16cid:durableId="29964163">
    <w:abstractNumId w:val="6"/>
  </w:num>
  <w:num w:numId="8" w16cid:durableId="1431124619">
    <w:abstractNumId w:val="6"/>
  </w:num>
  <w:num w:numId="9" w16cid:durableId="1043602499">
    <w:abstractNumId w:val="6"/>
  </w:num>
  <w:num w:numId="10" w16cid:durableId="1799832313">
    <w:abstractNumId w:val="6"/>
  </w:num>
  <w:num w:numId="11" w16cid:durableId="610354753">
    <w:abstractNumId w:val="6"/>
  </w:num>
  <w:num w:numId="12" w16cid:durableId="752049410">
    <w:abstractNumId w:val="6"/>
  </w:num>
  <w:num w:numId="13" w16cid:durableId="40131449">
    <w:abstractNumId w:val="6"/>
  </w:num>
  <w:num w:numId="14" w16cid:durableId="1160341558">
    <w:abstractNumId w:val="6"/>
  </w:num>
  <w:num w:numId="15" w16cid:durableId="254754083">
    <w:abstractNumId w:val="6"/>
  </w:num>
  <w:num w:numId="16" w16cid:durableId="1334918041">
    <w:abstractNumId w:val="6"/>
  </w:num>
  <w:num w:numId="17" w16cid:durableId="59208793">
    <w:abstractNumId w:val="6"/>
  </w:num>
  <w:num w:numId="18" w16cid:durableId="977495835">
    <w:abstractNumId w:val="6"/>
  </w:num>
  <w:num w:numId="19" w16cid:durableId="1952007465">
    <w:abstractNumId w:val="6"/>
  </w:num>
  <w:num w:numId="20" w16cid:durableId="1516580595">
    <w:abstractNumId w:val="6"/>
  </w:num>
  <w:num w:numId="21" w16cid:durableId="229659763">
    <w:abstractNumId w:val="6"/>
  </w:num>
  <w:num w:numId="22" w16cid:durableId="811026410">
    <w:abstractNumId w:val="6"/>
  </w:num>
  <w:num w:numId="23" w16cid:durableId="933561084">
    <w:abstractNumId w:val="6"/>
  </w:num>
  <w:num w:numId="24" w16cid:durableId="2067338170">
    <w:abstractNumId w:val="6"/>
  </w:num>
  <w:num w:numId="25" w16cid:durableId="875698991">
    <w:abstractNumId w:val="6"/>
  </w:num>
  <w:num w:numId="26" w16cid:durableId="599486599">
    <w:abstractNumId w:val="6"/>
  </w:num>
  <w:num w:numId="27" w16cid:durableId="895161473">
    <w:abstractNumId w:val="6"/>
  </w:num>
  <w:num w:numId="28" w16cid:durableId="634257702">
    <w:abstractNumId w:val="6"/>
  </w:num>
  <w:num w:numId="29" w16cid:durableId="1864051480">
    <w:abstractNumId w:val="6"/>
  </w:num>
  <w:num w:numId="30" w16cid:durableId="1866944139">
    <w:abstractNumId w:val="6"/>
  </w:num>
  <w:num w:numId="31" w16cid:durableId="1616325416">
    <w:abstractNumId w:val="6"/>
  </w:num>
  <w:num w:numId="32" w16cid:durableId="1935279684">
    <w:abstractNumId w:val="10"/>
  </w:num>
  <w:num w:numId="33" w16cid:durableId="1166673904">
    <w:abstractNumId w:val="6"/>
  </w:num>
  <w:num w:numId="34" w16cid:durableId="1638953445">
    <w:abstractNumId w:val="11"/>
  </w:num>
  <w:num w:numId="35" w16cid:durableId="1244686276">
    <w:abstractNumId w:val="13"/>
  </w:num>
  <w:num w:numId="36" w16cid:durableId="1638293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463953">
    <w:abstractNumId w:val="6"/>
  </w:num>
  <w:num w:numId="38" w16cid:durableId="172382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1223052">
    <w:abstractNumId w:val="6"/>
  </w:num>
  <w:num w:numId="40" w16cid:durableId="677001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1212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6666110">
    <w:abstractNumId w:val="6"/>
  </w:num>
  <w:num w:numId="43" w16cid:durableId="1974753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0110062">
    <w:abstractNumId w:val="6"/>
  </w:num>
  <w:num w:numId="45" w16cid:durableId="361130263">
    <w:abstractNumId w:val="6"/>
  </w:num>
  <w:num w:numId="46" w16cid:durableId="1127355900">
    <w:abstractNumId w:val="6"/>
  </w:num>
  <w:num w:numId="47" w16cid:durableId="494299959">
    <w:abstractNumId w:val="6"/>
  </w:num>
  <w:num w:numId="48" w16cid:durableId="1916164602">
    <w:abstractNumId w:val="2"/>
  </w:num>
  <w:num w:numId="49" w16cid:durableId="1746491888">
    <w:abstractNumId w:val="0"/>
  </w:num>
  <w:num w:numId="50" w16cid:durableId="1386682415">
    <w:abstractNumId w:val="8"/>
  </w:num>
  <w:num w:numId="51" w16cid:durableId="114300732">
    <w:abstractNumId w:val="15"/>
  </w:num>
  <w:num w:numId="52" w16cid:durableId="13653571">
    <w:abstractNumId w:val="3"/>
  </w:num>
  <w:num w:numId="53" w16cid:durableId="376125727">
    <w:abstractNumId w:val="4"/>
  </w:num>
  <w:num w:numId="54" w16cid:durableId="262811090">
    <w:abstractNumId w:val="5"/>
  </w:num>
  <w:num w:numId="55" w16cid:durableId="180665773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067D"/>
    <w:rsid w:val="00004310"/>
    <w:rsid w:val="00007C50"/>
    <w:rsid w:val="00012069"/>
    <w:rsid w:val="00015D27"/>
    <w:rsid w:val="00016260"/>
    <w:rsid w:val="0002213E"/>
    <w:rsid w:val="00032B16"/>
    <w:rsid w:val="00034478"/>
    <w:rsid w:val="0004218C"/>
    <w:rsid w:val="00042496"/>
    <w:rsid w:val="0004381A"/>
    <w:rsid w:val="00047E4C"/>
    <w:rsid w:val="000507CC"/>
    <w:rsid w:val="00055267"/>
    <w:rsid w:val="00062A42"/>
    <w:rsid w:val="00062F00"/>
    <w:rsid w:val="00063211"/>
    <w:rsid w:val="00063F07"/>
    <w:rsid w:val="00064419"/>
    <w:rsid w:val="00066407"/>
    <w:rsid w:val="00067924"/>
    <w:rsid w:val="00073624"/>
    <w:rsid w:val="00080128"/>
    <w:rsid w:val="00084A94"/>
    <w:rsid w:val="0008782A"/>
    <w:rsid w:val="00091944"/>
    <w:rsid w:val="00096587"/>
    <w:rsid w:val="000A143E"/>
    <w:rsid w:val="000A2822"/>
    <w:rsid w:val="000A2B3A"/>
    <w:rsid w:val="000A63D0"/>
    <w:rsid w:val="000A7D0E"/>
    <w:rsid w:val="000B3386"/>
    <w:rsid w:val="000B3A81"/>
    <w:rsid w:val="000B3AA3"/>
    <w:rsid w:val="000B6D3F"/>
    <w:rsid w:val="000C2E41"/>
    <w:rsid w:val="000C698C"/>
    <w:rsid w:val="000D5542"/>
    <w:rsid w:val="000E1A2E"/>
    <w:rsid w:val="000E3F86"/>
    <w:rsid w:val="000E5C98"/>
    <w:rsid w:val="000E71CE"/>
    <w:rsid w:val="000F2AC7"/>
    <w:rsid w:val="000F5DAB"/>
    <w:rsid w:val="0010178C"/>
    <w:rsid w:val="0010704D"/>
    <w:rsid w:val="00107177"/>
    <w:rsid w:val="00113746"/>
    <w:rsid w:val="0011716C"/>
    <w:rsid w:val="00117A1B"/>
    <w:rsid w:val="00121B20"/>
    <w:rsid w:val="001247BD"/>
    <w:rsid w:val="00126BA4"/>
    <w:rsid w:val="00131156"/>
    <w:rsid w:val="0013188B"/>
    <w:rsid w:val="0013288F"/>
    <w:rsid w:val="001360F4"/>
    <w:rsid w:val="00143E90"/>
    <w:rsid w:val="001456CA"/>
    <w:rsid w:val="001478B3"/>
    <w:rsid w:val="001527EF"/>
    <w:rsid w:val="001555E8"/>
    <w:rsid w:val="00155F87"/>
    <w:rsid w:val="00167B4F"/>
    <w:rsid w:val="001760A9"/>
    <w:rsid w:val="00181818"/>
    <w:rsid w:val="00186AE4"/>
    <w:rsid w:val="00187440"/>
    <w:rsid w:val="0019042D"/>
    <w:rsid w:val="00190550"/>
    <w:rsid w:val="00193B69"/>
    <w:rsid w:val="00197936"/>
    <w:rsid w:val="001A4902"/>
    <w:rsid w:val="001A55B8"/>
    <w:rsid w:val="001A6A59"/>
    <w:rsid w:val="001B1194"/>
    <w:rsid w:val="001C0176"/>
    <w:rsid w:val="001C200B"/>
    <w:rsid w:val="001D3ADA"/>
    <w:rsid w:val="001D4D0C"/>
    <w:rsid w:val="001E69E7"/>
    <w:rsid w:val="001F2722"/>
    <w:rsid w:val="002021D1"/>
    <w:rsid w:val="00204458"/>
    <w:rsid w:val="00210BE9"/>
    <w:rsid w:val="0021355C"/>
    <w:rsid w:val="002164A7"/>
    <w:rsid w:val="00222558"/>
    <w:rsid w:val="002248C8"/>
    <w:rsid w:val="00225547"/>
    <w:rsid w:val="00227CF8"/>
    <w:rsid w:val="00232B75"/>
    <w:rsid w:val="00236F5C"/>
    <w:rsid w:val="002426F2"/>
    <w:rsid w:val="00244D90"/>
    <w:rsid w:val="00245EA7"/>
    <w:rsid w:val="00250863"/>
    <w:rsid w:val="00254498"/>
    <w:rsid w:val="00262099"/>
    <w:rsid w:val="002628E5"/>
    <w:rsid w:val="00262C02"/>
    <w:rsid w:val="00263C25"/>
    <w:rsid w:val="002700C9"/>
    <w:rsid w:val="00271897"/>
    <w:rsid w:val="002744A6"/>
    <w:rsid w:val="00275CD6"/>
    <w:rsid w:val="00275D3A"/>
    <w:rsid w:val="00277E3D"/>
    <w:rsid w:val="00280014"/>
    <w:rsid w:val="00282411"/>
    <w:rsid w:val="0029158B"/>
    <w:rsid w:val="002927AC"/>
    <w:rsid w:val="002958A7"/>
    <w:rsid w:val="002A1BD4"/>
    <w:rsid w:val="002A2FCE"/>
    <w:rsid w:val="002A5A65"/>
    <w:rsid w:val="002A6C01"/>
    <w:rsid w:val="002B11FE"/>
    <w:rsid w:val="002C2E91"/>
    <w:rsid w:val="002C47BD"/>
    <w:rsid w:val="002C672A"/>
    <w:rsid w:val="002D5091"/>
    <w:rsid w:val="002D7C35"/>
    <w:rsid w:val="002E1816"/>
    <w:rsid w:val="002E274D"/>
    <w:rsid w:val="002E7138"/>
    <w:rsid w:val="002E7FB3"/>
    <w:rsid w:val="002F363C"/>
    <w:rsid w:val="002F6BAE"/>
    <w:rsid w:val="002F782F"/>
    <w:rsid w:val="00302521"/>
    <w:rsid w:val="00305253"/>
    <w:rsid w:val="0030621F"/>
    <w:rsid w:val="00306C86"/>
    <w:rsid w:val="003079AB"/>
    <w:rsid w:val="0031099A"/>
    <w:rsid w:val="00312DDA"/>
    <w:rsid w:val="00314FF6"/>
    <w:rsid w:val="0031515D"/>
    <w:rsid w:val="0031758E"/>
    <w:rsid w:val="003203EB"/>
    <w:rsid w:val="00323AF4"/>
    <w:rsid w:val="00327556"/>
    <w:rsid w:val="003407C0"/>
    <w:rsid w:val="00343A36"/>
    <w:rsid w:val="00344E97"/>
    <w:rsid w:val="00354615"/>
    <w:rsid w:val="00355DB8"/>
    <w:rsid w:val="00360BDE"/>
    <w:rsid w:val="00362B33"/>
    <w:rsid w:val="00363196"/>
    <w:rsid w:val="003642CC"/>
    <w:rsid w:val="003644FA"/>
    <w:rsid w:val="0036537E"/>
    <w:rsid w:val="00365A72"/>
    <w:rsid w:val="00365BE8"/>
    <w:rsid w:val="0037165C"/>
    <w:rsid w:val="003753DD"/>
    <w:rsid w:val="0038033C"/>
    <w:rsid w:val="00385CDB"/>
    <w:rsid w:val="00391DF7"/>
    <w:rsid w:val="00392E0B"/>
    <w:rsid w:val="003A53EB"/>
    <w:rsid w:val="003A5BE1"/>
    <w:rsid w:val="003B319D"/>
    <w:rsid w:val="003B4B41"/>
    <w:rsid w:val="003C45FA"/>
    <w:rsid w:val="003C5278"/>
    <w:rsid w:val="003C578B"/>
    <w:rsid w:val="003C7740"/>
    <w:rsid w:val="003C7F0E"/>
    <w:rsid w:val="003D3E99"/>
    <w:rsid w:val="003D7B59"/>
    <w:rsid w:val="003E3B65"/>
    <w:rsid w:val="003E3F17"/>
    <w:rsid w:val="003E530D"/>
    <w:rsid w:val="003E61B7"/>
    <w:rsid w:val="003F01EB"/>
    <w:rsid w:val="003F34DD"/>
    <w:rsid w:val="003F36F0"/>
    <w:rsid w:val="003F67C9"/>
    <w:rsid w:val="004030AB"/>
    <w:rsid w:val="0040345B"/>
    <w:rsid w:val="00405F53"/>
    <w:rsid w:val="004122D5"/>
    <w:rsid w:val="00412B3D"/>
    <w:rsid w:val="00414471"/>
    <w:rsid w:val="0042372D"/>
    <w:rsid w:val="00427F0C"/>
    <w:rsid w:val="00430F6A"/>
    <w:rsid w:val="00434DEF"/>
    <w:rsid w:val="00441B44"/>
    <w:rsid w:val="00446474"/>
    <w:rsid w:val="004501F8"/>
    <w:rsid w:val="00454289"/>
    <w:rsid w:val="004601ED"/>
    <w:rsid w:val="004654FC"/>
    <w:rsid w:val="0046649A"/>
    <w:rsid w:val="004703B9"/>
    <w:rsid w:val="00470AA7"/>
    <w:rsid w:val="004729C6"/>
    <w:rsid w:val="0047556B"/>
    <w:rsid w:val="00477967"/>
    <w:rsid w:val="004819A3"/>
    <w:rsid w:val="004826AB"/>
    <w:rsid w:val="004832E3"/>
    <w:rsid w:val="004865ED"/>
    <w:rsid w:val="004932BD"/>
    <w:rsid w:val="0049402A"/>
    <w:rsid w:val="00496DF0"/>
    <w:rsid w:val="004A29A9"/>
    <w:rsid w:val="004B2809"/>
    <w:rsid w:val="004B6EFF"/>
    <w:rsid w:val="004C264D"/>
    <w:rsid w:val="004C3144"/>
    <w:rsid w:val="004C5976"/>
    <w:rsid w:val="004C6D42"/>
    <w:rsid w:val="004D0430"/>
    <w:rsid w:val="004D16B9"/>
    <w:rsid w:val="004D4A9E"/>
    <w:rsid w:val="004D5FB5"/>
    <w:rsid w:val="004E3DCD"/>
    <w:rsid w:val="004E7A77"/>
    <w:rsid w:val="004F2543"/>
    <w:rsid w:val="004F29C3"/>
    <w:rsid w:val="004F4F07"/>
    <w:rsid w:val="004F6605"/>
    <w:rsid w:val="0050504C"/>
    <w:rsid w:val="0050774B"/>
    <w:rsid w:val="00512614"/>
    <w:rsid w:val="005169F4"/>
    <w:rsid w:val="005179D6"/>
    <w:rsid w:val="00517F94"/>
    <w:rsid w:val="00522F63"/>
    <w:rsid w:val="00525A93"/>
    <w:rsid w:val="005305C2"/>
    <w:rsid w:val="00536A32"/>
    <w:rsid w:val="005376D1"/>
    <w:rsid w:val="00537F4B"/>
    <w:rsid w:val="00542021"/>
    <w:rsid w:val="00551E40"/>
    <w:rsid w:val="005671AE"/>
    <w:rsid w:val="00567A46"/>
    <w:rsid w:val="00573D5B"/>
    <w:rsid w:val="00577FED"/>
    <w:rsid w:val="0058431C"/>
    <w:rsid w:val="005867E7"/>
    <w:rsid w:val="00587541"/>
    <w:rsid w:val="00592F7C"/>
    <w:rsid w:val="00597857"/>
    <w:rsid w:val="005A2FB6"/>
    <w:rsid w:val="005A55B5"/>
    <w:rsid w:val="005A6F18"/>
    <w:rsid w:val="005B0977"/>
    <w:rsid w:val="005B51F0"/>
    <w:rsid w:val="005C44BD"/>
    <w:rsid w:val="005C44E4"/>
    <w:rsid w:val="005C7F8F"/>
    <w:rsid w:val="005D414A"/>
    <w:rsid w:val="005F4A40"/>
    <w:rsid w:val="005F4BE6"/>
    <w:rsid w:val="0061458F"/>
    <w:rsid w:val="006178DC"/>
    <w:rsid w:val="00622E34"/>
    <w:rsid w:val="00622F41"/>
    <w:rsid w:val="00626271"/>
    <w:rsid w:val="006265EA"/>
    <w:rsid w:val="0063377A"/>
    <w:rsid w:val="0063541B"/>
    <w:rsid w:val="006354F6"/>
    <w:rsid w:val="00635814"/>
    <w:rsid w:val="006427DE"/>
    <w:rsid w:val="00647770"/>
    <w:rsid w:val="0066113F"/>
    <w:rsid w:val="00662ABD"/>
    <w:rsid w:val="00672544"/>
    <w:rsid w:val="00672E67"/>
    <w:rsid w:val="00673AFC"/>
    <w:rsid w:val="00674D78"/>
    <w:rsid w:val="006800E3"/>
    <w:rsid w:val="00683685"/>
    <w:rsid w:val="0069128C"/>
    <w:rsid w:val="006920A0"/>
    <w:rsid w:val="00692CF6"/>
    <w:rsid w:val="00694C1C"/>
    <w:rsid w:val="006950F6"/>
    <w:rsid w:val="006A25E7"/>
    <w:rsid w:val="006A3ECC"/>
    <w:rsid w:val="006A774C"/>
    <w:rsid w:val="006B673A"/>
    <w:rsid w:val="006B6A3D"/>
    <w:rsid w:val="006C44AD"/>
    <w:rsid w:val="006C4EC1"/>
    <w:rsid w:val="006D356B"/>
    <w:rsid w:val="006E01E3"/>
    <w:rsid w:val="006E377C"/>
    <w:rsid w:val="006E3A72"/>
    <w:rsid w:val="006F1DA1"/>
    <w:rsid w:val="006F412A"/>
    <w:rsid w:val="006F700B"/>
    <w:rsid w:val="00700870"/>
    <w:rsid w:val="007025CB"/>
    <w:rsid w:val="00705921"/>
    <w:rsid w:val="007107A5"/>
    <w:rsid w:val="00710BC9"/>
    <w:rsid w:val="007139A7"/>
    <w:rsid w:val="00716A0E"/>
    <w:rsid w:val="00717B58"/>
    <w:rsid w:val="00721DAF"/>
    <w:rsid w:val="00723477"/>
    <w:rsid w:val="00733777"/>
    <w:rsid w:val="00734442"/>
    <w:rsid w:val="007401A4"/>
    <w:rsid w:val="00740BF4"/>
    <w:rsid w:val="0074130E"/>
    <w:rsid w:val="007413B5"/>
    <w:rsid w:val="00744827"/>
    <w:rsid w:val="00745163"/>
    <w:rsid w:val="007457A7"/>
    <w:rsid w:val="00750DF6"/>
    <w:rsid w:val="00753D6A"/>
    <w:rsid w:val="007600E2"/>
    <w:rsid w:val="0076118E"/>
    <w:rsid w:val="007625AA"/>
    <w:rsid w:val="0076340C"/>
    <w:rsid w:val="00764C15"/>
    <w:rsid w:val="007710A4"/>
    <w:rsid w:val="00775752"/>
    <w:rsid w:val="00776D04"/>
    <w:rsid w:val="0078592F"/>
    <w:rsid w:val="007900B2"/>
    <w:rsid w:val="00792E19"/>
    <w:rsid w:val="0079568F"/>
    <w:rsid w:val="00796013"/>
    <w:rsid w:val="007A2043"/>
    <w:rsid w:val="007A283D"/>
    <w:rsid w:val="007B0AF3"/>
    <w:rsid w:val="007B3DA1"/>
    <w:rsid w:val="007B5796"/>
    <w:rsid w:val="007C1F16"/>
    <w:rsid w:val="007C6BE8"/>
    <w:rsid w:val="007D71D2"/>
    <w:rsid w:val="007E0ADA"/>
    <w:rsid w:val="007E3A92"/>
    <w:rsid w:val="007E4699"/>
    <w:rsid w:val="007E69D6"/>
    <w:rsid w:val="007E6AD2"/>
    <w:rsid w:val="007F14F9"/>
    <w:rsid w:val="007F4B29"/>
    <w:rsid w:val="007F5289"/>
    <w:rsid w:val="00800951"/>
    <w:rsid w:val="00803266"/>
    <w:rsid w:val="00814AAE"/>
    <w:rsid w:val="00816525"/>
    <w:rsid w:val="00817E9E"/>
    <w:rsid w:val="00820B05"/>
    <w:rsid w:val="00821273"/>
    <w:rsid w:val="00825BCE"/>
    <w:rsid w:val="008312E7"/>
    <w:rsid w:val="00834685"/>
    <w:rsid w:val="00835401"/>
    <w:rsid w:val="00837437"/>
    <w:rsid w:val="00837D66"/>
    <w:rsid w:val="00841941"/>
    <w:rsid w:val="00843051"/>
    <w:rsid w:val="00847A63"/>
    <w:rsid w:val="00853095"/>
    <w:rsid w:val="008550C6"/>
    <w:rsid w:val="008650D4"/>
    <w:rsid w:val="00866D06"/>
    <w:rsid w:val="00867398"/>
    <w:rsid w:val="00867FA6"/>
    <w:rsid w:val="00877CE0"/>
    <w:rsid w:val="00882571"/>
    <w:rsid w:val="0088389A"/>
    <w:rsid w:val="008859D3"/>
    <w:rsid w:val="00886C19"/>
    <w:rsid w:val="008923C4"/>
    <w:rsid w:val="00892568"/>
    <w:rsid w:val="008A6FA4"/>
    <w:rsid w:val="008B34D3"/>
    <w:rsid w:val="008B691C"/>
    <w:rsid w:val="008C0D5A"/>
    <w:rsid w:val="008C3FA1"/>
    <w:rsid w:val="008C6F0D"/>
    <w:rsid w:val="008D0F4A"/>
    <w:rsid w:val="008D47C3"/>
    <w:rsid w:val="008D517E"/>
    <w:rsid w:val="008E2AB4"/>
    <w:rsid w:val="008E3133"/>
    <w:rsid w:val="008E6990"/>
    <w:rsid w:val="008E74A4"/>
    <w:rsid w:val="008E7560"/>
    <w:rsid w:val="008F4280"/>
    <w:rsid w:val="008F7E21"/>
    <w:rsid w:val="009024BA"/>
    <w:rsid w:val="00902584"/>
    <w:rsid w:val="00902FD8"/>
    <w:rsid w:val="00907F1E"/>
    <w:rsid w:val="00912575"/>
    <w:rsid w:val="00912CDF"/>
    <w:rsid w:val="00916524"/>
    <w:rsid w:val="00916584"/>
    <w:rsid w:val="00916DD5"/>
    <w:rsid w:val="00916EFA"/>
    <w:rsid w:val="009205CE"/>
    <w:rsid w:val="00931F32"/>
    <w:rsid w:val="0093305A"/>
    <w:rsid w:val="0093471B"/>
    <w:rsid w:val="00934785"/>
    <w:rsid w:val="009355C7"/>
    <w:rsid w:val="009355D7"/>
    <w:rsid w:val="00935EB0"/>
    <w:rsid w:val="00935ECC"/>
    <w:rsid w:val="00945FC5"/>
    <w:rsid w:val="009505CE"/>
    <w:rsid w:val="00957234"/>
    <w:rsid w:val="00957C2A"/>
    <w:rsid w:val="00964234"/>
    <w:rsid w:val="00966041"/>
    <w:rsid w:val="0096778D"/>
    <w:rsid w:val="00971B8E"/>
    <w:rsid w:val="009837ED"/>
    <w:rsid w:val="00991A11"/>
    <w:rsid w:val="00995FE7"/>
    <w:rsid w:val="009A57C5"/>
    <w:rsid w:val="009A57FB"/>
    <w:rsid w:val="009A5E7C"/>
    <w:rsid w:val="009A6616"/>
    <w:rsid w:val="009B0FA1"/>
    <w:rsid w:val="009B27B4"/>
    <w:rsid w:val="009C4AE3"/>
    <w:rsid w:val="009E4C8D"/>
    <w:rsid w:val="009E67DB"/>
    <w:rsid w:val="009E73D5"/>
    <w:rsid w:val="00A00B78"/>
    <w:rsid w:val="00A0131D"/>
    <w:rsid w:val="00A03A66"/>
    <w:rsid w:val="00A13095"/>
    <w:rsid w:val="00A14613"/>
    <w:rsid w:val="00A20F26"/>
    <w:rsid w:val="00A22975"/>
    <w:rsid w:val="00A32ADA"/>
    <w:rsid w:val="00A35B1F"/>
    <w:rsid w:val="00A37060"/>
    <w:rsid w:val="00A37B15"/>
    <w:rsid w:val="00A52BC9"/>
    <w:rsid w:val="00A56B55"/>
    <w:rsid w:val="00A57A98"/>
    <w:rsid w:val="00A57AE8"/>
    <w:rsid w:val="00A61D9A"/>
    <w:rsid w:val="00A634E8"/>
    <w:rsid w:val="00A80332"/>
    <w:rsid w:val="00A84875"/>
    <w:rsid w:val="00A84A3E"/>
    <w:rsid w:val="00A90766"/>
    <w:rsid w:val="00A922E1"/>
    <w:rsid w:val="00A93BDB"/>
    <w:rsid w:val="00A956ED"/>
    <w:rsid w:val="00AA367F"/>
    <w:rsid w:val="00AA4633"/>
    <w:rsid w:val="00AA7801"/>
    <w:rsid w:val="00AB15D9"/>
    <w:rsid w:val="00AB2BCA"/>
    <w:rsid w:val="00AB4692"/>
    <w:rsid w:val="00AB6DAB"/>
    <w:rsid w:val="00AB7B72"/>
    <w:rsid w:val="00AC3773"/>
    <w:rsid w:val="00AC51AA"/>
    <w:rsid w:val="00AC577F"/>
    <w:rsid w:val="00AD4895"/>
    <w:rsid w:val="00AD6676"/>
    <w:rsid w:val="00AD694F"/>
    <w:rsid w:val="00AF02A3"/>
    <w:rsid w:val="00B00F28"/>
    <w:rsid w:val="00B12617"/>
    <w:rsid w:val="00B165E5"/>
    <w:rsid w:val="00B227CE"/>
    <w:rsid w:val="00B22B78"/>
    <w:rsid w:val="00B3089E"/>
    <w:rsid w:val="00B31170"/>
    <w:rsid w:val="00B3449C"/>
    <w:rsid w:val="00B42ACA"/>
    <w:rsid w:val="00B44B56"/>
    <w:rsid w:val="00B47CD2"/>
    <w:rsid w:val="00B53338"/>
    <w:rsid w:val="00B6125A"/>
    <w:rsid w:val="00B62C9C"/>
    <w:rsid w:val="00B67203"/>
    <w:rsid w:val="00B7017C"/>
    <w:rsid w:val="00B81512"/>
    <w:rsid w:val="00B81676"/>
    <w:rsid w:val="00B81B4D"/>
    <w:rsid w:val="00B85BE4"/>
    <w:rsid w:val="00B86954"/>
    <w:rsid w:val="00B91BD6"/>
    <w:rsid w:val="00B91ED0"/>
    <w:rsid w:val="00B932A3"/>
    <w:rsid w:val="00BA06A2"/>
    <w:rsid w:val="00BA1262"/>
    <w:rsid w:val="00BA129D"/>
    <w:rsid w:val="00BA4121"/>
    <w:rsid w:val="00BA463E"/>
    <w:rsid w:val="00BB39B8"/>
    <w:rsid w:val="00BB7564"/>
    <w:rsid w:val="00BC0D96"/>
    <w:rsid w:val="00BC227E"/>
    <w:rsid w:val="00BC7BF0"/>
    <w:rsid w:val="00BD68F4"/>
    <w:rsid w:val="00BD7510"/>
    <w:rsid w:val="00BD796D"/>
    <w:rsid w:val="00BE5F79"/>
    <w:rsid w:val="00BF1478"/>
    <w:rsid w:val="00BF1E93"/>
    <w:rsid w:val="00BF2E64"/>
    <w:rsid w:val="00C00130"/>
    <w:rsid w:val="00C03DF6"/>
    <w:rsid w:val="00C13DC6"/>
    <w:rsid w:val="00C14F49"/>
    <w:rsid w:val="00C260E2"/>
    <w:rsid w:val="00C30E5C"/>
    <w:rsid w:val="00C32296"/>
    <w:rsid w:val="00C322E3"/>
    <w:rsid w:val="00C430CE"/>
    <w:rsid w:val="00C46F06"/>
    <w:rsid w:val="00C560DD"/>
    <w:rsid w:val="00C650B6"/>
    <w:rsid w:val="00C70F0A"/>
    <w:rsid w:val="00C8044E"/>
    <w:rsid w:val="00C8138C"/>
    <w:rsid w:val="00C85150"/>
    <w:rsid w:val="00C96063"/>
    <w:rsid w:val="00C96167"/>
    <w:rsid w:val="00C9632F"/>
    <w:rsid w:val="00CA1B2D"/>
    <w:rsid w:val="00CA1F5D"/>
    <w:rsid w:val="00CA4B3F"/>
    <w:rsid w:val="00CA5D0F"/>
    <w:rsid w:val="00CA7692"/>
    <w:rsid w:val="00CB2B52"/>
    <w:rsid w:val="00CB2C2E"/>
    <w:rsid w:val="00CC35B7"/>
    <w:rsid w:val="00CC42F9"/>
    <w:rsid w:val="00CC5826"/>
    <w:rsid w:val="00CC5C55"/>
    <w:rsid w:val="00CC6586"/>
    <w:rsid w:val="00CD1CDB"/>
    <w:rsid w:val="00CD77AA"/>
    <w:rsid w:val="00CE2909"/>
    <w:rsid w:val="00CE2F22"/>
    <w:rsid w:val="00CE40A2"/>
    <w:rsid w:val="00CE596C"/>
    <w:rsid w:val="00CF0E12"/>
    <w:rsid w:val="00CF2747"/>
    <w:rsid w:val="00CF279F"/>
    <w:rsid w:val="00CF2FCB"/>
    <w:rsid w:val="00CF32F2"/>
    <w:rsid w:val="00CF3709"/>
    <w:rsid w:val="00CF404F"/>
    <w:rsid w:val="00CF5D1F"/>
    <w:rsid w:val="00CF7222"/>
    <w:rsid w:val="00D01EA9"/>
    <w:rsid w:val="00D0606A"/>
    <w:rsid w:val="00D11EFB"/>
    <w:rsid w:val="00D12391"/>
    <w:rsid w:val="00D1251F"/>
    <w:rsid w:val="00D14026"/>
    <w:rsid w:val="00D17970"/>
    <w:rsid w:val="00D23AB5"/>
    <w:rsid w:val="00D26B21"/>
    <w:rsid w:val="00D27541"/>
    <w:rsid w:val="00D27D29"/>
    <w:rsid w:val="00D327C7"/>
    <w:rsid w:val="00D37B84"/>
    <w:rsid w:val="00D41BCA"/>
    <w:rsid w:val="00D42B3F"/>
    <w:rsid w:val="00D46EA9"/>
    <w:rsid w:val="00D50C8D"/>
    <w:rsid w:val="00D52052"/>
    <w:rsid w:val="00D60536"/>
    <w:rsid w:val="00D63264"/>
    <w:rsid w:val="00D65A1A"/>
    <w:rsid w:val="00D74C47"/>
    <w:rsid w:val="00D772E3"/>
    <w:rsid w:val="00D840EA"/>
    <w:rsid w:val="00D90EAA"/>
    <w:rsid w:val="00D91B51"/>
    <w:rsid w:val="00DA3372"/>
    <w:rsid w:val="00DA6613"/>
    <w:rsid w:val="00DB48C5"/>
    <w:rsid w:val="00DB4ACF"/>
    <w:rsid w:val="00DB725F"/>
    <w:rsid w:val="00DD1E8F"/>
    <w:rsid w:val="00DE2996"/>
    <w:rsid w:val="00DE53C9"/>
    <w:rsid w:val="00DF053C"/>
    <w:rsid w:val="00DF0E32"/>
    <w:rsid w:val="00DF21C6"/>
    <w:rsid w:val="00DF6DBC"/>
    <w:rsid w:val="00DF7511"/>
    <w:rsid w:val="00E0310D"/>
    <w:rsid w:val="00E0741B"/>
    <w:rsid w:val="00E07686"/>
    <w:rsid w:val="00E07744"/>
    <w:rsid w:val="00E15DD5"/>
    <w:rsid w:val="00E16AFB"/>
    <w:rsid w:val="00E222AC"/>
    <w:rsid w:val="00E225BF"/>
    <w:rsid w:val="00E234AC"/>
    <w:rsid w:val="00E25C2B"/>
    <w:rsid w:val="00E304D3"/>
    <w:rsid w:val="00E32CFB"/>
    <w:rsid w:val="00E40C11"/>
    <w:rsid w:val="00E507C9"/>
    <w:rsid w:val="00E54026"/>
    <w:rsid w:val="00E568B2"/>
    <w:rsid w:val="00E72F2B"/>
    <w:rsid w:val="00E76175"/>
    <w:rsid w:val="00E80DD5"/>
    <w:rsid w:val="00E81B49"/>
    <w:rsid w:val="00E825E1"/>
    <w:rsid w:val="00E84557"/>
    <w:rsid w:val="00E86CF4"/>
    <w:rsid w:val="00E91E89"/>
    <w:rsid w:val="00E97AF6"/>
    <w:rsid w:val="00EA00D0"/>
    <w:rsid w:val="00EA5217"/>
    <w:rsid w:val="00EA5EAF"/>
    <w:rsid w:val="00EA72E0"/>
    <w:rsid w:val="00EB2878"/>
    <w:rsid w:val="00EC13A6"/>
    <w:rsid w:val="00EC6610"/>
    <w:rsid w:val="00EC6A96"/>
    <w:rsid w:val="00EC6BFB"/>
    <w:rsid w:val="00ED180C"/>
    <w:rsid w:val="00ED1F48"/>
    <w:rsid w:val="00ED5E42"/>
    <w:rsid w:val="00ED61CD"/>
    <w:rsid w:val="00EE12E1"/>
    <w:rsid w:val="00EE17FB"/>
    <w:rsid w:val="00EE4204"/>
    <w:rsid w:val="00EF12DD"/>
    <w:rsid w:val="00F03ECF"/>
    <w:rsid w:val="00F0531C"/>
    <w:rsid w:val="00F10B4F"/>
    <w:rsid w:val="00F128A9"/>
    <w:rsid w:val="00F1502D"/>
    <w:rsid w:val="00F17B48"/>
    <w:rsid w:val="00F202EF"/>
    <w:rsid w:val="00F2787A"/>
    <w:rsid w:val="00F32479"/>
    <w:rsid w:val="00F32AA9"/>
    <w:rsid w:val="00F35135"/>
    <w:rsid w:val="00F4666A"/>
    <w:rsid w:val="00F52B35"/>
    <w:rsid w:val="00F5482B"/>
    <w:rsid w:val="00F56EA7"/>
    <w:rsid w:val="00F57063"/>
    <w:rsid w:val="00F65A5E"/>
    <w:rsid w:val="00F73820"/>
    <w:rsid w:val="00F8212B"/>
    <w:rsid w:val="00F83209"/>
    <w:rsid w:val="00F9036F"/>
    <w:rsid w:val="00F90E0A"/>
    <w:rsid w:val="00F91463"/>
    <w:rsid w:val="00F91FDB"/>
    <w:rsid w:val="00F92138"/>
    <w:rsid w:val="00FA1FA7"/>
    <w:rsid w:val="00FA3F77"/>
    <w:rsid w:val="00FA5F7E"/>
    <w:rsid w:val="00FB246D"/>
    <w:rsid w:val="00FB3CEF"/>
    <w:rsid w:val="00FC3D2D"/>
    <w:rsid w:val="00FC4883"/>
    <w:rsid w:val="00FC6D75"/>
    <w:rsid w:val="00FC7CBF"/>
    <w:rsid w:val="00FD0710"/>
    <w:rsid w:val="00FE09F7"/>
    <w:rsid w:val="00FE1684"/>
    <w:rsid w:val="00FE5839"/>
    <w:rsid w:val="00FE5CCD"/>
    <w:rsid w:val="00FF00BF"/>
    <w:rsid w:val="00FF69A3"/>
    <w:rsid w:val="00FF6EB0"/>
    <w:rsid w:val="00FF7896"/>
    <w:rsid w:val="6F258E05"/>
    <w:rsid w:val="70A9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A33A3"/>
  <w15:docId w15:val="{BBA137FB-FBCC-4A1D-8379-1920049C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3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ind w:left="1470"/>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paragraph" w:styleId="Revision">
    <w:name w:val="Revision"/>
    <w:hidden/>
    <w:uiPriority w:val="99"/>
    <w:semiHidden/>
    <w:rsid w:val="00430F6A"/>
    <w:rPr>
      <w:lang w:val="en-AU"/>
    </w:rPr>
  </w:style>
  <w:style w:type="character" w:styleId="Mention">
    <w:name w:val="Mention"/>
    <w:basedOn w:val="DefaultParagraphFont"/>
    <w:uiPriority w:val="99"/>
    <w:unhideWhenUsed/>
    <w:rsid w:val="00222558"/>
    <w:rPr>
      <w:color w:val="2B579A"/>
      <w:shd w:val="clear" w:color="auto" w:fill="E1DFDD"/>
    </w:rPr>
  </w:style>
  <w:style w:type="character" w:styleId="UnresolvedMention">
    <w:name w:val="Unresolved Mention"/>
    <w:basedOn w:val="DefaultParagraphFont"/>
    <w:uiPriority w:val="99"/>
    <w:semiHidden/>
    <w:unhideWhenUsed/>
    <w:rsid w:val="005179D6"/>
    <w:rPr>
      <w:color w:val="605E5C"/>
      <w:shd w:val="clear" w:color="auto" w:fill="E1DFDD"/>
    </w:rPr>
  </w:style>
  <w:style w:type="character" w:styleId="FollowedHyperlink">
    <w:name w:val="FollowedHyperlink"/>
    <w:basedOn w:val="DefaultParagraphFont"/>
    <w:uiPriority w:val="99"/>
    <w:semiHidden/>
    <w:unhideWhenUsed/>
    <w:rsid w:val="00584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32184">
      <w:bodyDiv w:val="1"/>
      <w:marLeft w:val="0"/>
      <w:marRight w:val="0"/>
      <w:marTop w:val="0"/>
      <w:marBottom w:val="0"/>
      <w:divBdr>
        <w:top w:val="none" w:sz="0" w:space="0" w:color="auto"/>
        <w:left w:val="none" w:sz="0" w:space="0" w:color="auto"/>
        <w:bottom w:val="none" w:sz="0" w:space="0" w:color="auto"/>
        <w:right w:val="none" w:sz="0" w:space="0" w:color="auto"/>
      </w:divBdr>
      <w:divsChild>
        <w:div w:id="218632525">
          <w:marLeft w:val="547"/>
          <w:marRight w:val="0"/>
          <w:marTop w:val="0"/>
          <w:marBottom w:val="0"/>
          <w:divBdr>
            <w:top w:val="none" w:sz="0" w:space="0" w:color="auto"/>
            <w:left w:val="none" w:sz="0" w:space="0" w:color="auto"/>
            <w:bottom w:val="none" w:sz="0" w:space="0" w:color="auto"/>
            <w:right w:val="none" w:sz="0" w:space="0" w:color="auto"/>
          </w:divBdr>
        </w:div>
        <w:div w:id="1417631721">
          <w:marLeft w:val="547"/>
          <w:marRight w:val="0"/>
          <w:marTop w:val="0"/>
          <w:marBottom w:val="0"/>
          <w:divBdr>
            <w:top w:val="none" w:sz="0" w:space="0" w:color="auto"/>
            <w:left w:val="none" w:sz="0" w:space="0" w:color="auto"/>
            <w:bottom w:val="none" w:sz="0" w:space="0" w:color="auto"/>
            <w:right w:val="none" w:sz="0" w:space="0" w:color="auto"/>
          </w:divBdr>
        </w:div>
        <w:div w:id="189126092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about-us/contact_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2b26e313-96b4-4cff-9fd8-3876f5c60f47" xsi:nil="true"/>
    <Purpose xmlns="2b26e313-96b4-4cff-9fd8-3876f5c60f47" xsi:nil="true"/>
    <lcf76f155ced4ddcb4097134ff3c332f xmlns="2b26e313-96b4-4cff-9fd8-3876f5c60f47">
      <Terms xmlns="http://schemas.microsoft.com/office/infopath/2007/PartnerControls"/>
    </lcf76f155ced4ddcb4097134ff3c332f>
    <TaxCatchAll xmlns="d7bc8201-621f-433d-8762-6d18a4bf3bb5" xsi:nil="true"/>
    <Notes xmlns="2b26e313-96b4-4cff-9fd8-3876f5c60f47">NA</Notes>
    <TRIMReference_x0028_ifapplicable_x0029_ xmlns="2b26e313-96b4-4cff-9fd8-3876f5c60f47" xsi:nil="true"/>
    <_Flow_SignoffStatus xmlns="2b26e313-96b4-4cff-9fd8-3876f5c60f47" xsi:nil="true"/>
    <Date xmlns="2b26e313-96b4-4cff-9fd8-3876f5c60f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77A80BD071484D8CD972B62440EBAB" ma:contentTypeVersion="23" ma:contentTypeDescription="Create a new document." ma:contentTypeScope="" ma:versionID="543bf0c181bf82a653d3280e1ecf23c7">
  <xsd:schema xmlns:xsd="http://www.w3.org/2001/XMLSchema" xmlns:xs="http://www.w3.org/2001/XMLSchema" xmlns:p="http://schemas.microsoft.com/office/2006/metadata/properties" xmlns:ns2="2b26e313-96b4-4cff-9fd8-3876f5c60f47" xmlns:ns3="d7bc8201-621f-433d-8762-6d18a4bf3bb5" targetNamespace="http://schemas.microsoft.com/office/2006/metadata/properties" ma:root="true" ma:fieldsID="e769c7791d407a3e0aec6c8b1f94d1a6" ns2:_="" ns3:_="">
    <xsd:import namespace="2b26e313-96b4-4cff-9fd8-3876f5c60f47"/>
    <xsd:import namespace="d7bc8201-621f-433d-8762-6d18a4bf3bb5"/>
    <xsd:element name="properties">
      <xsd:complexType>
        <xsd:sequence>
          <xsd:element name="documentManagement">
            <xsd:complexType>
              <xsd:all>
                <xsd:element ref="ns2:MediaServiceMetadata" minOccurs="0"/>
                <xsd:element ref="ns2:MediaServiceFastMetadata" minOccurs="0"/>
                <xsd:element ref="ns2:DocumentType" minOccurs="0"/>
                <xsd:element ref="ns2:Date" minOccurs="0"/>
                <xsd:element ref="ns2:Purpose" minOccurs="0"/>
                <xsd:element ref="ns2:MediaServiceAutoKeyPoints" minOccurs="0"/>
                <xsd:element ref="ns2:MediaServiceKeyPoints" minOccurs="0"/>
                <xsd:element ref="ns3:SharedWithUsers" minOccurs="0"/>
                <xsd:element ref="ns3:SharedWithDetails" minOccurs="0"/>
                <xsd:element ref="ns2:TRIMReference_x0028_ifapplicable_x0029_"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_Flow_SignoffStatus" minOccurs="0"/>
                <xsd:element ref="ns2:Note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6e313-96b4-4cff-9fd8-3876f5c6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Agenda"/>
                    <xsd:enumeration value="Update"/>
                    <xsd:enumeration value="Report"/>
                    <xsd:enumeration value="Minutes"/>
                    <xsd:enumeration value="Brief"/>
                    <xsd:enumeration value="Draft version"/>
                    <xsd:enumeration value="Template"/>
                    <xsd:enumeration value="Reference document"/>
                    <xsd:enumeration value="Planning document"/>
                    <xsd:enumeration value="Meeting paper"/>
                    <xsd:enumeration value="Final version"/>
                    <xsd:enumeration value="Supporting evidence"/>
                    <xsd:enumeration value="Out of Session"/>
                  </xsd:restriction>
                </xsd:simpleType>
              </xsd:element>
            </xsd:sequence>
          </xsd:extension>
        </xsd:complexContent>
      </xsd:complexType>
    </xsd:element>
    <xsd:element name="Date" ma:index="11" nillable="true" ma:displayName="Date" ma:format="DateOnly" ma:internalName="Date">
      <xsd:simpleType>
        <xsd:restriction base="dms:DateTime"/>
      </xsd:simpleType>
    </xsd:element>
    <xsd:element name="Purpose" ma:index="12" nillable="true" ma:displayName="Purpose" ma:format="Dropdown" ma:internalName="Purpose">
      <xsd:complexType>
        <xsd:complexContent>
          <xsd:extension base="dms:MultiChoice">
            <xsd:sequence>
              <xsd:element name="Value" maxOccurs="unbounded" minOccurs="0" nillable="true">
                <xsd:simpleType>
                  <xsd:restriction base="dms:Choice">
                    <xsd:enumeration value="Audit Committee"/>
                    <xsd:enumeration value="Audit Program"/>
                    <xsd:enumeration value="Internal Audits"/>
                    <xsd:enumeration value="Team personnel and administration"/>
                    <xsd:enumeration value="Executive Governance Committee"/>
                    <xsd:enumeration value="CORPEX"/>
                    <xsd:enumeration value="Audit Recommendations"/>
                  </xsd:restriction>
                </xsd:simple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RIMReference_x0028_ifapplicable_x0029_" ma:index="17" nillable="true" ma:displayName="TRIM Reference (if applicable)" ma:description="FILE2021/6474" ma:format="Dropdown" ma:internalName="TRIMReference_x0028_ifapplicable_x0029_">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Notes" ma:index="25" nillable="true" ma:displayName="Notes" ma:default="NA" ma:format="Dropdown" ma:internalName="Notes">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8201-621f-433d-8762-6d18a4bf3b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e590682-fff1-442e-8241-30a637e9b993}" ma:internalName="TaxCatchAll" ma:showField="CatchAllData" ma:web="d7bc8201-621f-433d-8762-6d18a4bf3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3FD70-0E7E-4316-A8CF-B5540FE1D864}">
  <ds:schemaRefs>
    <ds:schemaRef ds:uri="http://schemas.microsoft.com/office/2006/metadata/properties"/>
    <ds:schemaRef ds:uri="http://schemas.microsoft.com/office/infopath/2007/PartnerControls"/>
    <ds:schemaRef ds:uri="2b26e313-96b4-4cff-9fd8-3876f5c60f47"/>
    <ds:schemaRef ds:uri="d7bc8201-621f-433d-8762-6d18a4bf3bb5"/>
  </ds:schemaRefs>
</ds:datastoreItem>
</file>

<file path=customXml/itemProps2.xml><?xml version="1.0" encoding="utf-8"?>
<ds:datastoreItem xmlns:ds="http://schemas.openxmlformats.org/officeDocument/2006/customXml" ds:itemID="{BC42CFC7-9080-4F38-9589-176BE7B91F55}">
  <ds:schemaRefs>
    <ds:schemaRef ds:uri="http://schemas.microsoft.com/sharepoint/v3/contenttype/forms"/>
  </ds:schemaRefs>
</ds:datastoreItem>
</file>

<file path=customXml/itemProps3.xml><?xml version="1.0" encoding="utf-8"?>
<ds:datastoreItem xmlns:ds="http://schemas.openxmlformats.org/officeDocument/2006/customXml" ds:itemID="{1428D68F-F671-4C26-B0C6-1C3C314507D2}">
  <ds:schemaRefs>
    <ds:schemaRef ds:uri="http://schemas.openxmlformats.org/officeDocument/2006/bibliography"/>
  </ds:schemaRefs>
</ds:datastoreItem>
</file>

<file path=customXml/itemProps4.xml><?xml version="1.0" encoding="utf-8"?>
<ds:datastoreItem xmlns:ds="http://schemas.openxmlformats.org/officeDocument/2006/customXml" ds:itemID="{EE79E77F-479A-4CD4-904F-83FACE24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6e313-96b4-4cff-9fd8-3876f5c60f47"/>
    <ds:schemaRef ds:uri="d7bc8201-621f-433d-8762-6d18a4bf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23431</CharactersWithSpaces>
  <SharedDoc>false</SharedDoc>
  <HLinks>
    <vt:vector size="54" baseType="variant">
      <vt:variant>
        <vt:i4>7798872</vt:i4>
      </vt:variant>
      <vt:variant>
        <vt:i4>39</vt:i4>
      </vt:variant>
      <vt:variant>
        <vt:i4>0</vt:i4>
      </vt:variant>
      <vt:variant>
        <vt:i4>5</vt:i4>
      </vt:variant>
      <vt:variant>
        <vt:lpwstr>https://www.education.act.gov.au/about-us/contact_us</vt:lpwstr>
      </vt:variant>
      <vt:variant>
        <vt:lpwstr/>
      </vt:variant>
      <vt:variant>
        <vt:i4>1114172</vt:i4>
      </vt:variant>
      <vt:variant>
        <vt:i4>32</vt:i4>
      </vt:variant>
      <vt:variant>
        <vt:i4>0</vt:i4>
      </vt:variant>
      <vt:variant>
        <vt:i4>5</vt:i4>
      </vt:variant>
      <vt:variant>
        <vt:lpwstr/>
      </vt:variant>
      <vt:variant>
        <vt:lpwstr>_Toc419889964</vt:lpwstr>
      </vt:variant>
      <vt:variant>
        <vt:i4>1114172</vt:i4>
      </vt:variant>
      <vt:variant>
        <vt:i4>26</vt:i4>
      </vt:variant>
      <vt:variant>
        <vt:i4>0</vt:i4>
      </vt:variant>
      <vt:variant>
        <vt:i4>5</vt:i4>
      </vt:variant>
      <vt:variant>
        <vt:lpwstr/>
      </vt:variant>
      <vt:variant>
        <vt:lpwstr>_Toc419889963</vt:lpwstr>
      </vt:variant>
      <vt:variant>
        <vt:i4>1114172</vt:i4>
      </vt:variant>
      <vt:variant>
        <vt:i4>20</vt:i4>
      </vt:variant>
      <vt:variant>
        <vt:i4>0</vt:i4>
      </vt:variant>
      <vt:variant>
        <vt:i4>5</vt:i4>
      </vt:variant>
      <vt:variant>
        <vt:lpwstr/>
      </vt:variant>
      <vt:variant>
        <vt:lpwstr>_Toc419889962</vt:lpwstr>
      </vt:variant>
      <vt:variant>
        <vt:i4>1114172</vt:i4>
      </vt:variant>
      <vt:variant>
        <vt:i4>14</vt:i4>
      </vt:variant>
      <vt:variant>
        <vt:i4>0</vt:i4>
      </vt:variant>
      <vt:variant>
        <vt:i4>5</vt:i4>
      </vt:variant>
      <vt:variant>
        <vt:lpwstr/>
      </vt:variant>
      <vt:variant>
        <vt:lpwstr>_Toc419889961</vt:lpwstr>
      </vt:variant>
      <vt:variant>
        <vt:i4>1114172</vt:i4>
      </vt:variant>
      <vt:variant>
        <vt:i4>8</vt:i4>
      </vt:variant>
      <vt:variant>
        <vt:i4>0</vt:i4>
      </vt:variant>
      <vt:variant>
        <vt:i4>5</vt:i4>
      </vt:variant>
      <vt:variant>
        <vt:lpwstr/>
      </vt:variant>
      <vt:variant>
        <vt:lpwstr>_Toc419889960</vt:lpwstr>
      </vt:variant>
      <vt:variant>
        <vt:i4>1179708</vt:i4>
      </vt:variant>
      <vt:variant>
        <vt:i4>2</vt:i4>
      </vt:variant>
      <vt:variant>
        <vt:i4>0</vt:i4>
      </vt:variant>
      <vt:variant>
        <vt:i4>5</vt:i4>
      </vt:variant>
      <vt:variant>
        <vt:lpwstr/>
      </vt:variant>
      <vt:variant>
        <vt:lpwstr>_Toc419889959</vt:lpwstr>
      </vt:variant>
      <vt:variant>
        <vt:i4>5308537</vt:i4>
      </vt:variant>
      <vt:variant>
        <vt:i4>2</vt:i4>
      </vt:variant>
      <vt:variant>
        <vt:i4>0</vt:i4>
      </vt:variant>
      <vt:variant>
        <vt:i4>5</vt:i4>
      </vt:variant>
      <vt:variant>
        <vt:lpwstr>http://www.education.act.gov.au/publications_and_policies/policy_a-z</vt:lpwstr>
      </vt:variant>
      <vt:variant>
        <vt:lpwstr/>
      </vt:variant>
      <vt:variant>
        <vt:i4>8323161</vt:i4>
      </vt:variant>
      <vt:variant>
        <vt:i4>0</vt:i4>
      </vt:variant>
      <vt:variant>
        <vt:i4>0</vt:i4>
      </vt:variant>
      <vt:variant>
        <vt:i4>5</vt:i4>
      </vt:variant>
      <vt:variant>
        <vt:lpwstr>mailto:Kellie.Plummer@act.gov.au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procedure</dc:title>
  <dc:subject>Procedure template</dc:subject>
  <dc:creator>ACT Government Education Directorate</dc:creator>
  <cp:keywords/>
  <cp:lastModifiedBy>Leitch, Jess</cp:lastModifiedBy>
  <cp:revision>2</cp:revision>
  <cp:lastPrinted>2015-09-18T06:58:00Z</cp:lastPrinted>
  <dcterms:created xsi:type="dcterms:W3CDTF">2024-02-01T23:29:00Z</dcterms:created>
  <dcterms:modified xsi:type="dcterms:W3CDTF">2024-02-01T23:29:00Z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0x010100FA77A80BD071484D8CD972B62440EBAB</vt:lpwstr>
  </property>
  <property fmtid="{D5CDD505-2E9C-101B-9397-08002B2CF9AE}" pid="3" name="MediaServiceImageTags">
    <vt:lpwstr/>
  </property>
</Properties>
</file>