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B1A" w:rsidRPr="00A922E8" w:rsidRDefault="00D27B1A" w:rsidP="00D27B1A">
      <w:pPr>
        <w:rPr>
          <w:rFonts w:asciiTheme="minorHAnsi" w:hAnsiTheme="minorHAnsi" w:cstheme="minorHAnsi"/>
        </w:rPr>
      </w:pPr>
    </w:p>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D27B1A" w:rsidRPr="00A922E8" w:rsidTr="00F81A6A">
        <w:trPr>
          <w:trHeight w:val="23"/>
          <w:tblCellSpacing w:w="0" w:type="dxa"/>
          <w:jc w:val="center"/>
        </w:trPr>
        <w:tc>
          <w:tcPr>
            <w:tcW w:w="3343" w:type="dxa"/>
            <w:shd w:val="clear" w:color="auto" w:fill="5C5C5C"/>
            <w:tcMar>
              <w:top w:w="225" w:type="dxa"/>
              <w:left w:w="465" w:type="dxa"/>
              <w:bottom w:w="225" w:type="dxa"/>
              <w:right w:w="0" w:type="dxa"/>
            </w:tcMar>
            <w:vAlign w:val="center"/>
          </w:tcPr>
          <w:p w:rsidR="00D27B1A" w:rsidRPr="00A922E8" w:rsidRDefault="00D27B1A" w:rsidP="00F81A6A">
            <w:pPr>
              <w:rPr>
                <w:rFonts w:asciiTheme="minorHAnsi" w:hAnsiTheme="minorHAnsi" w:cstheme="minorHAnsi"/>
                <w:color w:val="FFFFFF"/>
                <w:sz w:val="20"/>
                <w:szCs w:val="20"/>
                <w:lang w:eastAsia="en-AU"/>
              </w:rPr>
            </w:pPr>
          </w:p>
        </w:tc>
        <w:tc>
          <w:tcPr>
            <w:tcW w:w="3170" w:type="dxa"/>
            <w:shd w:val="clear" w:color="auto" w:fill="5C5C5C"/>
            <w:tcMar>
              <w:top w:w="225" w:type="dxa"/>
              <w:left w:w="645" w:type="dxa"/>
              <w:bottom w:w="225" w:type="dxa"/>
              <w:right w:w="0"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c>
          <w:tcPr>
            <w:tcW w:w="3867" w:type="dxa"/>
            <w:shd w:val="clear" w:color="auto" w:fill="5C5C5C"/>
            <w:tcMar>
              <w:top w:w="225" w:type="dxa"/>
              <w:left w:w="0" w:type="dxa"/>
              <w:bottom w:w="225" w:type="dxa"/>
              <w:right w:w="375"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10380" w:type="dxa"/>
            <w:gridSpan w:val="3"/>
            <w:shd w:val="clear" w:color="auto" w:fill="342682"/>
            <w:vAlign w:val="center"/>
            <w:hideMark/>
          </w:tcPr>
          <w:p w:rsidR="00D27B1A" w:rsidRPr="00A922E8" w:rsidRDefault="00D27B1A" w:rsidP="00F81A6A">
            <w:pPr>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17118E77" wp14:editId="179331D1">
                  <wp:extent cx="6591300" cy="1883333"/>
                  <wp:effectExtent l="0" t="0" r="0" b="0"/>
                  <wp:docPr id="21" name="Picture 21"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s Education and Care Assuranc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701" cy="1891162"/>
                          </a:xfrm>
                          <a:prstGeom prst="rect">
                            <a:avLst/>
                          </a:prstGeom>
                          <a:noFill/>
                          <a:ln>
                            <a:noFill/>
                          </a:ln>
                        </pic:spPr>
                      </pic:pic>
                    </a:graphicData>
                  </a:graphic>
                </wp:inline>
              </w:drawing>
            </w:r>
          </w:p>
        </w:tc>
      </w:tr>
      <w:tr w:rsidR="00D27B1A" w:rsidRPr="00A922E8" w:rsidTr="00F81A6A">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rsidR="00A2665A" w:rsidRDefault="00A2665A" w:rsidP="00A2665A">
            <w:pPr>
              <w:pStyle w:val="Heading1"/>
              <w:spacing w:line="400" w:lineRule="atLeast"/>
              <w:rPr>
                <w:rFonts w:eastAsia="Times New Roman"/>
                <w:color w:val="2A987A"/>
                <w:sz w:val="38"/>
                <w:szCs w:val="38"/>
              </w:rPr>
            </w:pPr>
            <w:r>
              <w:rPr>
                <w:rFonts w:eastAsia="Times New Roman"/>
                <w:color w:val="2A987A"/>
                <w:sz w:val="38"/>
                <w:szCs w:val="38"/>
              </w:rPr>
              <w:t xml:space="preserve">Active supervision in education and care services </w:t>
            </w:r>
          </w:p>
          <w:p w:rsidR="00A2665A" w:rsidRDefault="00A2665A" w:rsidP="00A2665A">
            <w:pPr>
              <w:pStyle w:val="Heading1"/>
              <w:spacing w:line="400" w:lineRule="atLeast"/>
              <w:rPr>
                <w:rFonts w:eastAsia="Times New Roman"/>
                <w:sz w:val="28"/>
                <w:szCs w:val="28"/>
              </w:rPr>
            </w:pPr>
            <w:r>
              <w:rPr>
                <w:rFonts w:eastAsia="Times New Roman"/>
                <w:color w:val="000000"/>
                <w:sz w:val="28"/>
                <w:szCs w:val="28"/>
              </w:rPr>
              <w:t>14 February 2020</w:t>
            </w:r>
          </w:p>
          <w:p w:rsidR="00A2665A" w:rsidRDefault="00A2665A" w:rsidP="00A2665A">
            <w:pPr>
              <w:rPr>
                <w:color w:val="333132"/>
              </w:rPr>
            </w:pPr>
            <w:r>
              <w:rPr>
                <w:color w:val="000000"/>
              </w:rPr>
              <w:t xml:space="preserve">As a new year commences many children enrolled in an education and care service experience multiple transitions between education and care settings and their community. Implementing effective supervision during these busy times will assist educators to provide safe and secure environments for children. This time of </w:t>
            </w:r>
            <w:proofErr w:type="gramStart"/>
            <w:r>
              <w:rPr>
                <w:color w:val="000000"/>
              </w:rPr>
              <w:t>year</w:t>
            </w:r>
            <w:proofErr w:type="gramEnd"/>
            <w:r>
              <w:rPr>
                <w:color w:val="000000"/>
              </w:rPr>
              <w:t xml:space="preserve"> CECA receive an increase of </w:t>
            </w:r>
            <w:proofErr w:type="spellStart"/>
            <w:r>
              <w:rPr>
                <w:color w:val="000000"/>
              </w:rPr>
              <w:t>cases</w:t>
            </w:r>
            <w:proofErr w:type="spellEnd"/>
            <w:r>
              <w:rPr>
                <w:color w:val="000000"/>
              </w:rPr>
              <w:t xml:space="preserve"> related to inadequate supervision and children being unaccounted for. CECA encourage education and care service providers and service teams to work together and </w:t>
            </w:r>
            <w:r>
              <w:rPr>
                <w:color w:val="333132"/>
              </w:rPr>
              <w:t>prioritise regular assessment and continuously improve</w:t>
            </w:r>
            <w:r>
              <w:rPr>
                <w:color w:val="000000"/>
              </w:rPr>
              <w:t>ment</w:t>
            </w:r>
            <w:r>
              <w:rPr>
                <w:color w:val="333132"/>
              </w:rPr>
              <w:t xml:space="preserve"> of </w:t>
            </w:r>
            <w:r>
              <w:rPr>
                <w:color w:val="000000"/>
              </w:rPr>
              <w:t xml:space="preserve">transitions and </w:t>
            </w:r>
            <w:r>
              <w:rPr>
                <w:color w:val="333132"/>
              </w:rPr>
              <w:t xml:space="preserve">supervision strategies. </w:t>
            </w:r>
          </w:p>
          <w:p w:rsidR="00A2665A" w:rsidRDefault="00A2665A" w:rsidP="00A2665A"/>
          <w:p w:rsidR="00A2665A" w:rsidRDefault="00A2665A" w:rsidP="00A2665A">
            <w:r>
              <w:rPr>
                <w:color w:val="000000"/>
              </w:rPr>
              <w:t xml:space="preserve">Supervision strategies should be adjusted to: </w:t>
            </w:r>
          </w:p>
          <w:p w:rsidR="00A2665A" w:rsidRDefault="00A2665A" w:rsidP="00A2665A"/>
          <w:p w:rsidR="00A2665A" w:rsidRDefault="00A2665A" w:rsidP="00A2665A">
            <w:r>
              <w:rPr>
                <w:color w:val="000000"/>
              </w:rPr>
              <w:t>•             Consider the design and arrangement of children’s environments</w:t>
            </w:r>
          </w:p>
          <w:p w:rsidR="00A2665A" w:rsidRDefault="00A2665A" w:rsidP="00A2665A">
            <w:r>
              <w:rPr>
                <w:color w:val="000000"/>
              </w:rPr>
              <w:t xml:space="preserve">•             Reduce or prevent injury; and </w:t>
            </w:r>
          </w:p>
          <w:p w:rsidR="00A2665A" w:rsidRDefault="00A2665A" w:rsidP="00A2665A">
            <w:r>
              <w:rPr>
                <w:color w:val="000000"/>
              </w:rPr>
              <w:t>•             Make decisions about when children’s play needs to be interrupted or redirected</w:t>
            </w:r>
          </w:p>
          <w:p w:rsidR="00A2665A" w:rsidRDefault="00A2665A" w:rsidP="00A2665A">
            <w:r>
              <w:rPr>
                <w:color w:val="000000"/>
              </w:rPr>
              <w:t>•             Ensure there are effective transitions of children between services types and schools</w:t>
            </w:r>
          </w:p>
          <w:p w:rsidR="00A2665A" w:rsidRDefault="00A2665A" w:rsidP="00A2665A">
            <w:pPr>
              <w:pStyle w:val="NormalWeb"/>
            </w:pPr>
            <w:r>
              <w:rPr>
                <w:color w:val="333132"/>
              </w:rPr>
              <w:t xml:space="preserve">The </w:t>
            </w:r>
            <w:hyperlink r:id="rId6" w:history="1">
              <w:r>
                <w:rPr>
                  <w:rStyle w:val="Hyperlink"/>
                </w:rPr>
                <w:t>Education and Care Services National Law</w:t>
              </w:r>
            </w:hyperlink>
            <w:r>
              <w:rPr>
                <w:color w:val="333132"/>
              </w:rPr>
              <w:t xml:space="preserve"> requires that children must be adequately supervised </w:t>
            </w:r>
            <w:r>
              <w:rPr>
                <w:color w:val="000000"/>
              </w:rPr>
              <w:t xml:space="preserve">at all times (s165). Providers and nominated supervisors need to be aware that simply meeting the minimum ratio requirements set out in </w:t>
            </w:r>
            <w:hyperlink r:id="rId7" w:history="1">
              <w:r>
                <w:rPr>
                  <w:rStyle w:val="Hyperlink"/>
                </w:rPr>
                <w:t>Education and Care Services National Regulations</w:t>
              </w:r>
            </w:hyperlink>
            <w:r>
              <w:rPr>
                <w:color w:val="000000"/>
              </w:rPr>
              <w:t xml:space="preserve"> will not guarantee that all children are being adequately supervised at all times. The approved provider, nominated supervisors, co-ordinators and educators have an obligation to adequately supervise children who are being educated and cared for both at the service and on excursions, this is set out in S(165) of the </w:t>
            </w:r>
            <w:hyperlink r:id="rId8" w:history="1">
              <w:r>
                <w:rPr>
                  <w:rStyle w:val="Hyperlink"/>
                </w:rPr>
                <w:t>Education and Care Services National Law</w:t>
              </w:r>
            </w:hyperlink>
            <w:r>
              <w:rPr>
                <w:color w:val="333132"/>
              </w:rPr>
              <w:t xml:space="preserve">. </w:t>
            </w:r>
            <w:r>
              <w:rPr>
                <w:color w:val="000000"/>
              </w:rPr>
              <w:t xml:space="preserve">Effective and adequate supervision prevents and reduces accidents and incidents through early detection of potential hazards and an awareness of the children, and their activities. For more information please read </w:t>
            </w:r>
            <w:hyperlink r:id="rId9" w:history="1">
              <w:r>
                <w:rPr>
                  <w:rStyle w:val="Hyperlink"/>
                </w:rPr>
                <w:t>ACECQA's Active Supervision Information Sheet</w:t>
              </w:r>
            </w:hyperlink>
            <w:r>
              <w:rPr>
                <w:color w:val="000000"/>
              </w:rPr>
              <w:t xml:space="preserve">. </w:t>
            </w:r>
          </w:p>
          <w:p w:rsidR="00A2665A" w:rsidRDefault="00A2665A" w:rsidP="00A2665A">
            <w:pPr>
              <w:pStyle w:val="NormalWeb"/>
              <w:jc w:val="center"/>
            </w:pPr>
            <w:r>
              <w:rPr>
                <w:noProof/>
                <w:color w:val="000000"/>
              </w:rPr>
              <w:drawing>
                <wp:inline distT="0" distB="0" distL="0" distR="0" wp14:anchorId="490AF89D" wp14:editId="5359840E">
                  <wp:extent cx="4084320" cy="2506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84320" cy="2506980"/>
                          </a:xfrm>
                          <a:prstGeom prst="rect">
                            <a:avLst/>
                          </a:prstGeom>
                          <a:noFill/>
                          <a:ln>
                            <a:noFill/>
                          </a:ln>
                        </pic:spPr>
                      </pic:pic>
                    </a:graphicData>
                  </a:graphic>
                </wp:inline>
              </w:drawing>
            </w:r>
          </w:p>
          <w:p w:rsidR="00A2665A" w:rsidRDefault="00A2665A" w:rsidP="00A2665A">
            <w:pPr>
              <w:pStyle w:val="NormalWeb"/>
            </w:pPr>
            <w:r>
              <w:rPr>
                <w:color w:val="000000"/>
              </w:rPr>
              <w:t xml:space="preserve">Transitions may be particularly challenging for children starting preschool and outside of school hours care programs. All education and care settings including schools are encouraged to build positive relationships to develop their knowledge of the children in their care and ensure smooth transitions of children between education and care services. For further information please read ACECQA’S </w:t>
            </w:r>
            <w:hyperlink r:id="rId12" w:history="1">
              <w:r>
                <w:rPr>
                  <w:rStyle w:val="Hyperlink"/>
                </w:rPr>
                <w:t>transition to school</w:t>
              </w:r>
            </w:hyperlink>
            <w:r>
              <w:rPr>
                <w:color w:val="000000"/>
              </w:rPr>
              <w:t xml:space="preserve"> article. </w:t>
            </w:r>
            <w:hyperlink r:id="rId13" w:history="1">
              <w:r>
                <w:rPr>
                  <w:rStyle w:val="Hyperlink"/>
                </w:rPr>
                <w:t>Be You</w:t>
              </w:r>
            </w:hyperlink>
            <w:r>
              <w:rPr>
                <w:color w:val="000000"/>
              </w:rPr>
              <w:t xml:space="preserve"> also provide a suite of </w:t>
            </w:r>
            <w:hyperlink r:id="rId14" w:history="1">
              <w:r>
                <w:rPr>
                  <w:rStyle w:val="Hyperlink"/>
                </w:rPr>
                <w:t>resources</w:t>
              </w:r>
            </w:hyperlink>
            <w:r>
              <w:rPr>
                <w:color w:val="000000"/>
              </w:rPr>
              <w:t xml:space="preserve"> designed to promote effective transitions for children.  </w:t>
            </w:r>
          </w:p>
          <w:p w:rsidR="00A2665A" w:rsidRDefault="00A2665A" w:rsidP="00A2665A">
            <w:pPr>
              <w:pStyle w:val="NormalWeb"/>
            </w:pPr>
            <w:r>
              <w:rPr>
                <w:color w:val="000000"/>
              </w:rPr>
              <w:t>Please share and discuss this information with your colleagues.</w:t>
            </w:r>
          </w:p>
          <w:p w:rsidR="00D27B1A" w:rsidRPr="00A922E8" w:rsidRDefault="00D27B1A" w:rsidP="00F81A6A">
            <w:pPr>
              <w:jc w:val="center"/>
              <w:rPr>
                <w:rFonts w:asciiTheme="minorHAnsi" w:hAnsiTheme="minorHAnsi" w:cstheme="minorHAnsi"/>
                <w:color w:val="0070C0"/>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5" w:history="1">
              <w:r w:rsidRPr="00A922E8">
                <w:rPr>
                  <w:rStyle w:val="Hyperlink"/>
                  <w:rFonts w:asciiTheme="minorHAnsi" w:hAnsiTheme="minorHAnsi" w:cstheme="minorHAnsi"/>
                  <w:color w:val="000000" w:themeColor="text1"/>
                  <w:lang w:val="en-US"/>
                </w:rPr>
                <w:t>CECA@act.gov.au</w:t>
              </w:r>
            </w:hyperlink>
          </w:p>
          <w:p w:rsidR="00D27B1A" w:rsidRPr="00A922E8" w:rsidRDefault="00D27B1A" w:rsidP="00F81A6A">
            <w:pPr>
              <w:spacing w:before="100" w:beforeAutospacing="1" w:after="100" w:afterAutospacing="1"/>
              <w:jc w:val="center"/>
              <w:rPr>
                <w:rFonts w:asciiTheme="minorHAnsi" w:hAnsiTheme="minorHAnsi" w:cstheme="minorHAnsi"/>
                <w:color w:val="333132"/>
                <w:sz w:val="20"/>
                <w:szCs w:val="20"/>
                <w:lang w:eastAsia="en-AU"/>
              </w:rPr>
            </w:pPr>
            <w:r w:rsidRPr="00A922E8">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D27B1A" w:rsidRPr="00A922E8" w:rsidRDefault="00D27B1A" w:rsidP="00D27B1A">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D27B1A" w:rsidRPr="00A922E8" w:rsidTr="00F81A6A">
        <w:trPr>
          <w:tblCellSpacing w:w="0" w:type="dxa"/>
          <w:jc w:val="center"/>
          <w:hidden/>
        </w:trPr>
        <w:tc>
          <w:tcPr>
            <w:tcW w:w="0" w:type="auto"/>
            <w:shd w:val="clear" w:color="auto" w:fill="5C5C5C"/>
            <w:vAlign w:val="center"/>
            <w:hideMark/>
          </w:tcPr>
          <w:p w:rsidR="00D27B1A" w:rsidRPr="00A922E8" w:rsidRDefault="00D27B1A" w:rsidP="00F81A6A">
            <w:pPr>
              <w:rPr>
                <w:rFonts w:asciiTheme="minorHAnsi" w:hAnsiTheme="minorHAnsi" w:cstheme="minorHAnsi"/>
                <w:vanish/>
                <w:color w:val="333132"/>
              </w:rPr>
            </w:pPr>
          </w:p>
        </w:tc>
      </w:tr>
      <w:tr w:rsidR="00D27B1A" w:rsidRPr="00A922E8" w:rsidTr="00F81A6A">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D27B1A" w:rsidRPr="00A922E8" w:rsidTr="00F81A6A">
              <w:trPr>
                <w:gridAfter w:val="2"/>
                <w:wAfter w:w="6309" w:type="dxa"/>
                <w:tblCellSpacing w:w="0" w:type="dxa"/>
                <w:jc w:val="center"/>
              </w:trPr>
              <w:tc>
                <w:tcPr>
                  <w:tcW w:w="4200" w:type="dxa"/>
                  <w:shd w:val="clear" w:color="auto" w:fill="5C5C5C"/>
                  <w:vAlign w:val="center"/>
                  <w:hideMark/>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4200" w:type="dxa"/>
                  <w:shd w:val="clear" w:color="auto" w:fill="5C5C5C"/>
                  <w:tcMar>
                    <w:top w:w="120" w:type="dxa"/>
                    <w:left w:w="630" w:type="dxa"/>
                    <w:bottom w:w="120" w:type="dxa"/>
                    <w:right w:w="0" w:type="dxa"/>
                  </w:tcMar>
                  <w:vAlign w:val="center"/>
                  <w:hideMark/>
                </w:tcPr>
                <w:p w:rsidR="00D27B1A" w:rsidRPr="00A922E8" w:rsidRDefault="00D27B1A"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04EAD674" wp14:editId="4031C41B">
                        <wp:extent cx="1089660" cy="350520"/>
                        <wp:effectExtent l="0" t="0" r="0" b="0"/>
                        <wp:docPr id="20" name="Picture 20"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rsidR="00D27B1A" w:rsidRPr="00A922E8" w:rsidRDefault="00D27B1A" w:rsidP="00F81A6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rsidR="00D27B1A" w:rsidRPr="00A922E8" w:rsidRDefault="00D27B1A"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503D20D7" wp14:editId="5421BA8F">
                        <wp:extent cx="1897380" cy="647700"/>
                        <wp:effectExtent l="0" t="0" r="0" b="0"/>
                        <wp:docPr id="19" name="Picture 19"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pect, Integrity, Collaboration and Innovation, the ACTPS Values and Signature Behaivo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rsidR="00D27B1A" w:rsidRPr="00A922E8" w:rsidRDefault="00D27B1A"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2B5BA4"/>
    <w:multiLevelType w:val="hybridMultilevel"/>
    <w:tmpl w:val="F0E4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5D22A1"/>
    <w:multiLevelType w:val="hybridMultilevel"/>
    <w:tmpl w:val="4C18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1A"/>
    <w:rsid w:val="001C49DD"/>
    <w:rsid w:val="001E4B11"/>
    <w:rsid w:val="00380DFB"/>
    <w:rsid w:val="005B47EB"/>
    <w:rsid w:val="00694CF8"/>
    <w:rsid w:val="009A0AEC"/>
    <w:rsid w:val="00A2665A"/>
    <w:rsid w:val="00A5783B"/>
    <w:rsid w:val="00BB38B7"/>
    <w:rsid w:val="00D27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AF"/>
  <w15:chartTrackingRefBased/>
  <w15:docId w15:val="{9DAAAB8B-7BA3-4658-93C6-CDAB550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A"/>
    <w:pPr>
      <w:spacing w:after="0" w:line="240" w:lineRule="auto"/>
    </w:pPr>
    <w:rPr>
      <w:rFonts w:ascii="Calibri" w:hAnsi="Calibri" w:cs="Calibri"/>
    </w:rPr>
  </w:style>
  <w:style w:type="paragraph" w:styleId="Heading1">
    <w:name w:val="heading 1"/>
    <w:basedOn w:val="Normal"/>
    <w:link w:val="Heading1Char"/>
    <w:uiPriority w:val="9"/>
    <w:qFormat/>
    <w:rsid w:val="00A2665A"/>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1A"/>
    <w:rPr>
      <w:color w:val="0563C1"/>
      <w:u w:val="single"/>
    </w:rPr>
  </w:style>
  <w:style w:type="paragraph" w:styleId="NormalWeb">
    <w:name w:val="Normal (Web)"/>
    <w:basedOn w:val="Normal"/>
    <w:uiPriority w:val="99"/>
    <w:semiHidden/>
    <w:unhideWhenUsed/>
    <w:rsid w:val="00D27B1A"/>
    <w:pPr>
      <w:spacing w:before="100" w:beforeAutospacing="1" w:after="100" w:afterAutospacing="1"/>
    </w:pPr>
    <w:rPr>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D27B1A"/>
    <w:pPr>
      <w:spacing w:after="160" w:line="252" w:lineRule="auto"/>
      <w:ind w:left="720"/>
      <w:contextualSpacing/>
    </w:pPr>
  </w:style>
  <w:style w:type="character" w:styleId="Strong">
    <w:name w:val="Strong"/>
    <w:basedOn w:val="DefaultParagraphFont"/>
    <w:uiPriority w:val="22"/>
    <w:qFormat/>
    <w:rsid w:val="00D27B1A"/>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D27B1A"/>
    <w:rPr>
      <w:rFonts w:ascii="Calibri" w:hAnsi="Calibri" w:cs="Calibri"/>
    </w:rPr>
  </w:style>
  <w:style w:type="character" w:customStyle="1" w:styleId="Heading1Char">
    <w:name w:val="Heading 1 Char"/>
    <w:basedOn w:val="DefaultParagraphFont"/>
    <w:link w:val="Heading1"/>
    <w:uiPriority w:val="9"/>
    <w:rsid w:val="00A2665A"/>
    <w:rPr>
      <w:rFonts w:ascii="Calibri" w:hAnsi="Calibri" w:cs="Calibri"/>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840716">
      <w:bodyDiv w:val="1"/>
      <w:marLeft w:val="0"/>
      <w:marRight w:val="0"/>
      <w:marTop w:val="0"/>
      <w:marBottom w:val="0"/>
      <w:divBdr>
        <w:top w:val="none" w:sz="0" w:space="0" w:color="auto"/>
        <w:left w:val="none" w:sz="0" w:space="0" w:color="auto"/>
        <w:bottom w:val="none" w:sz="0" w:space="0" w:color="auto"/>
        <w:right w:val="none" w:sz="0" w:space="0" w:color="auto"/>
      </w:divBdr>
    </w:div>
    <w:div w:id="16325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acecqa.gov.au/t/i-l-pjrdrll-jllkkkiiud-n/" TargetMode="External"/><Relationship Id="rId13" Type="http://schemas.openxmlformats.org/officeDocument/2006/relationships/hyperlink" Target="https://aus01.safelinks.protection.outlook.com/?url=https%3A%2F%2Fbeyou.edu.au%2F&amp;data=02%7C01%7C%7C65b71a834165479f3caf08d7adbbdd58%7Cb46c190803344236b978585ee88e4199%7C0%7C0%7C637168894698636437&amp;sdata=B1MrRvUCIyPsR3sMssqiINh1XJikAJubx%2BEIM8Bsy1E%3D&amp;reserved=0"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legislation.nsw.gov.au/maintop/view/inforce/subordleg+653+2011+cd+0+N" TargetMode="External"/><Relationship Id="rId12" Type="http://schemas.openxmlformats.org/officeDocument/2006/relationships/hyperlink" Target="https://wehearyou.acecqa.gov.au/2017/02/02/transition-to-schoo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facebook.com/CECA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mpaign.acecqa.gov.au/t/i-l-pjrdrll-jllkkkiiud-n/" TargetMode="External"/><Relationship Id="rId11" Type="http://schemas.openxmlformats.org/officeDocument/2006/relationships/image" Target="cid:image002.jpg@01D5E344.00AA74F0" TargetMode="External"/><Relationship Id="rId5" Type="http://schemas.openxmlformats.org/officeDocument/2006/relationships/image" Target="media/image1.jpeg"/><Relationship Id="rId15" Type="http://schemas.openxmlformats.org/officeDocument/2006/relationships/hyperlink" Target="mailto:CECA@act.gov.a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ecqa.gov.au/search?s=Active+supervision" TargetMode="External"/><Relationship Id="rId14" Type="http://schemas.openxmlformats.org/officeDocument/2006/relationships/hyperlink" Target="https://beyou.edu.au/fact-sheets/development/tran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2020-11-17T02:41:00Z</dcterms:created>
  <dcterms:modified xsi:type="dcterms:W3CDTF">2020-11-17T02:41:00Z</dcterms:modified>
</cp:coreProperties>
</file>