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1" w:type="dxa"/>
        <w:jc w:val="center"/>
        <w:tblCellSpacing w:w="0" w:type="dxa"/>
        <w:shd w:val="clear" w:color="auto" w:fill="F2F2F2"/>
        <w:tblCellMar>
          <w:left w:w="0" w:type="dxa"/>
          <w:right w:w="0" w:type="dxa"/>
        </w:tblCellMar>
        <w:tblLook w:val="04A0" w:firstRow="1" w:lastRow="0" w:firstColumn="1" w:lastColumn="0" w:noHBand="0" w:noVBand="1"/>
      </w:tblPr>
      <w:tblGrid>
        <w:gridCol w:w="3158"/>
        <w:gridCol w:w="3266"/>
        <w:gridCol w:w="4100"/>
      </w:tblGrid>
      <w:tr w:rsidR="00EA3984" w:rsidRPr="00EA3984" w:rsidTr="00C600AD">
        <w:trPr>
          <w:tblCellSpacing w:w="0" w:type="dxa"/>
          <w:jc w:val="center"/>
        </w:trPr>
        <w:tc>
          <w:tcPr>
            <w:tcW w:w="3226" w:type="dxa"/>
            <w:shd w:val="clear" w:color="auto" w:fill="5C5C5C"/>
            <w:tcMar>
              <w:top w:w="225" w:type="dxa"/>
              <w:left w:w="465" w:type="dxa"/>
              <w:bottom w:w="225" w:type="dxa"/>
              <w:right w:w="0" w:type="dxa"/>
            </w:tcMar>
            <w:vAlign w:val="center"/>
            <w:hideMark/>
          </w:tcPr>
          <w:p w:rsidR="00EA3984" w:rsidRPr="00EA3984" w:rsidRDefault="00EA3984" w:rsidP="00EA3984">
            <w:pPr>
              <w:spacing w:after="0" w:line="240" w:lineRule="auto"/>
              <w:rPr>
                <w:rFonts w:cstheme="minorHAnsi"/>
              </w:rPr>
            </w:pPr>
          </w:p>
        </w:tc>
        <w:tc>
          <w:tcPr>
            <w:tcW w:w="3173" w:type="dxa"/>
            <w:shd w:val="clear" w:color="auto" w:fill="5C5C5C"/>
            <w:tcMar>
              <w:top w:w="225" w:type="dxa"/>
              <w:left w:w="645" w:type="dxa"/>
              <w:bottom w:w="225" w:type="dxa"/>
              <w:right w:w="0" w:type="dxa"/>
            </w:tcMar>
            <w:vAlign w:val="center"/>
            <w:hideMark/>
          </w:tcPr>
          <w:p w:rsidR="00EA3984" w:rsidRPr="00EA3984" w:rsidRDefault="00EA3984" w:rsidP="00EA3984">
            <w:pPr>
              <w:spacing w:after="0" w:line="240" w:lineRule="auto"/>
              <w:rPr>
                <w:rFonts w:eastAsia="Times New Roman" w:cstheme="minorHAnsi"/>
                <w:sz w:val="20"/>
                <w:szCs w:val="20"/>
                <w:lang w:eastAsia="en-AU"/>
              </w:rPr>
            </w:pPr>
          </w:p>
        </w:tc>
        <w:tc>
          <w:tcPr>
            <w:tcW w:w="4102" w:type="dxa"/>
            <w:shd w:val="clear" w:color="auto" w:fill="5C5C5C"/>
            <w:tcMar>
              <w:top w:w="225" w:type="dxa"/>
              <w:left w:w="0" w:type="dxa"/>
              <w:bottom w:w="225" w:type="dxa"/>
              <w:right w:w="375" w:type="dxa"/>
            </w:tcMar>
            <w:vAlign w:val="center"/>
            <w:hideMark/>
          </w:tcPr>
          <w:p w:rsidR="00EA3984" w:rsidRPr="00EA3984" w:rsidRDefault="00EA3984" w:rsidP="00EA3984">
            <w:pPr>
              <w:spacing w:before="100" w:beforeAutospacing="1" w:after="100" w:afterAutospacing="1" w:line="240" w:lineRule="auto"/>
              <w:jc w:val="right"/>
              <w:rPr>
                <w:rFonts w:cstheme="minorHAnsi"/>
                <w:color w:val="FFFFFF"/>
                <w:sz w:val="20"/>
                <w:szCs w:val="20"/>
                <w:lang w:eastAsia="en-AU"/>
              </w:rPr>
            </w:pPr>
            <w:r w:rsidRPr="00EA3984">
              <w:rPr>
                <w:rFonts w:cstheme="minorHAnsi"/>
                <w:noProof/>
                <w:color w:val="000000"/>
                <w:lang w:eastAsia="en-AU"/>
              </w:rPr>
              <w:drawing>
                <wp:inline distT="0" distB="0" distL="0" distR="0" wp14:anchorId="45CB1F19" wp14:editId="1C74EAFC">
                  <wp:extent cx="205740" cy="2057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1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EA3984">
              <w:rPr>
                <w:rFonts w:cstheme="minorHAnsi"/>
                <w:noProof/>
                <w:color w:val="000000"/>
                <w:lang w:eastAsia="en-AU"/>
              </w:rPr>
              <w:drawing>
                <wp:inline distT="0" distB="0" distL="0" distR="0" wp14:anchorId="4C678469" wp14:editId="3A4F9932">
                  <wp:extent cx="205740" cy="2057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1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EA3984">
              <w:rPr>
                <w:rFonts w:cstheme="minorHAnsi"/>
                <w:noProof/>
                <w:color w:val="000000"/>
                <w:lang w:eastAsia="en-AU"/>
              </w:rPr>
              <w:drawing>
                <wp:inline distT="0" distB="0" distL="0" distR="0" wp14:anchorId="1AB4DFF8" wp14:editId="2800E78A">
                  <wp:extent cx="205740" cy="2057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1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r w:rsidR="00EA3984" w:rsidRPr="00EA3984" w:rsidTr="00C600AD">
        <w:trPr>
          <w:tblCellSpacing w:w="0" w:type="dxa"/>
          <w:jc w:val="center"/>
        </w:trPr>
        <w:tc>
          <w:tcPr>
            <w:tcW w:w="10501" w:type="dxa"/>
            <w:gridSpan w:val="3"/>
            <w:shd w:val="clear" w:color="auto" w:fill="342682"/>
            <w:vAlign w:val="center"/>
            <w:hideMark/>
          </w:tcPr>
          <w:p w:rsidR="00EA3984" w:rsidRPr="00EA3984" w:rsidRDefault="00EA3984" w:rsidP="00EA3984">
            <w:pPr>
              <w:spacing w:after="0" w:line="240" w:lineRule="auto"/>
              <w:rPr>
                <w:rFonts w:cstheme="minorHAnsi"/>
                <w:color w:val="333132"/>
              </w:rPr>
            </w:pPr>
            <w:r w:rsidRPr="00EA3984">
              <w:rPr>
                <w:rFonts w:cstheme="minorHAnsi"/>
                <w:noProof/>
                <w:color w:val="333132"/>
              </w:rPr>
              <w:drawing>
                <wp:inline distT="0" distB="0" distL="0" distR="0" wp14:anchorId="45BF66AF" wp14:editId="5AD32156">
                  <wp:extent cx="6682740" cy="1909460"/>
                  <wp:effectExtent l="0" t="0" r="0" b="0"/>
                  <wp:docPr id="45" name="Picture 45"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ildren's Education and Care Assurance Al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9552" cy="1917121"/>
                          </a:xfrm>
                          <a:prstGeom prst="rect">
                            <a:avLst/>
                          </a:prstGeom>
                          <a:noFill/>
                          <a:ln>
                            <a:noFill/>
                          </a:ln>
                        </pic:spPr>
                      </pic:pic>
                    </a:graphicData>
                  </a:graphic>
                </wp:inline>
              </w:drawing>
            </w:r>
          </w:p>
        </w:tc>
      </w:tr>
      <w:tr w:rsidR="00EA3984" w:rsidRPr="00EA3984" w:rsidTr="00C600AD">
        <w:trPr>
          <w:tblCellSpacing w:w="0" w:type="dxa"/>
          <w:jc w:val="center"/>
        </w:trPr>
        <w:tc>
          <w:tcPr>
            <w:tcW w:w="10501" w:type="dxa"/>
            <w:gridSpan w:val="3"/>
            <w:shd w:val="clear" w:color="auto" w:fill="F2F2F2"/>
            <w:tcMar>
              <w:top w:w="300" w:type="dxa"/>
              <w:left w:w="750" w:type="dxa"/>
              <w:bottom w:w="375" w:type="dxa"/>
              <w:right w:w="630" w:type="dxa"/>
            </w:tcMar>
            <w:vAlign w:val="center"/>
          </w:tcPr>
          <w:p w:rsidR="00EA3984" w:rsidRPr="00EA3984" w:rsidRDefault="00EA3984" w:rsidP="00EA3984">
            <w:pPr>
              <w:spacing w:before="150" w:after="0" w:line="300" w:lineRule="exact"/>
              <w:jc w:val="center"/>
              <w:rPr>
                <w:rFonts w:cstheme="minorHAnsi"/>
                <w:i/>
                <w:iCs/>
                <w:color w:val="222222"/>
                <w:sz w:val="20"/>
                <w:szCs w:val="20"/>
                <w:lang w:eastAsia="en-AU"/>
              </w:rPr>
            </w:pPr>
            <w:r w:rsidRPr="00EA3984">
              <w:rPr>
                <w:rFonts w:cstheme="minorHAnsi"/>
                <w:i/>
                <w:iCs/>
                <w:color w:val="222222"/>
                <w:sz w:val="20"/>
                <w:szCs w:val="20"/>
                <w:lang w:eastAsia="en-AU"/>
              </w:rPr>
              <w:t>The Children’s Education and Care Assurance Update links professionals, providers and educators with news, resources and information that supports quality outcomes for children in ACT education and care services</w:t>
            </w:r>
          </w:p>
          <w:p w:rsidR="00EA3984" w:rsidRPr="00EA3984" w:rsidRDefault="00EA3984" w:rsidP="00EA3984">
            <w:pPr>
              <w:spacing w:before="100" w:beforeAutospacing="1" w:after="100" w:afterAutospacing="1" w:line="400" w:lineRule="atLeast"/>
              <w:rPr>
                <w:rFonts w:cstheme="minorHAnsi"/>
                <w:sz w:val="24"/>
                <w:szCs w:val="24"/>
                <w:lang w:eastAsia="en-AU"/>
              </w:rPr>
            </w:pPr>
            <w:r w:rsidRPr="00EA3984">
              <w:rPr>
                <w:rFonts w:cstheme="minorHAnsi"/>
                <w:sz w:val="24"/>
                <w:szCs w:val="24"/>
                <w:lang w:eastAsia="en-AU"/>
              </w:rPr>
              <w:t>8 April 2020</w:t>
            </w:r>
          </w:p>
          <w:p w:rsidR="00EA3984" w:rsidRPr="00EA3984" w:rsidRDefault="00EA3984" w:rsidP="00EA3984">
            <w:pPr>
              <w:spacing w:before="100" w:beforeAutospacing="1" w:after="100" w:afterAutospacing="1" w:line="400" w:lineRule="atLeast"/>
              <w:rPr>
                <w:rFonts w:cstheme="minorHAnsi"/>
                <w:b/>
                <w:bCs/>
                <w:color w:val="2A987A"/>
                <w:sz w:val="38"/>
                <w:szCs w:val="38"/>
                <w:lang w:eastAsia="en-AU"/>
              </w:rPr>
            </w:pPr>
            <w:r w:rsidRPr="00EA3984">
              <w:rPr>
                <w:rFonts w:cstheme="minorHAnsi"/>
                <w:b/>
                <w:bCs/>
                <w:color w:val="000000"/>
                <w:sz w:val="32"/>
                <w:szCs w:val="32"/>
                <w:lang w:eastAsia="en-AU"/>
              </w:rPr>
              <w:t xml:space="preserve">Delivering education and care services during COVID-19 </w:t>
            </w:r>
          </w:p>
          <w:p w:rsidR="00EA3984" w:rsidRPr="00EA3984" w:rsidRDefault="00EA3984" w:rsidP="00EA3984">
            <w:pPr>
              <w:spacing w:before="240" w:after="240" w:line="240" w:lineRule="auto"/>
              <w:jc w:val="both"/>
              <w:rPr>
                <w:rFonts w:cstheme="minorHAnsi"/>
              </w:rPr>
            </w:pPr>
            <w:r w:rsidRPr="00EA3984">
              <w:rPr>
                <w:rFonts w:cstheme="minorHAnsi"/>
                <w:color w:val="000000"/>
                <w:lang w:eastAsia="en-AU"/>
              </w:rPr>
              <w:t>ACT Health advice remains that it is safe for children to be in education and care services in the ACT, including out of school hours and vacation care programs. The ACT Government is recommending, based on current health advice, that education and care services remain open for the foreseeable future.</w:t>
            </w:r>
            <w:r w:rsidRPr="00EA3984">
              <w:rPr>
                <w:rFonts w:cstheme="minorHAnsi"/>
                <w:color w:val="000000"/>
              </w:rPr>
              <w:t xml:space="preserve"> Providers are encouraged to communicate with families any changes to their existing education and care programs. </w:t>
            </w:r>
          </w:p>
          <w:p w:rsidR="00EA3984" w:rsidRPr="00EA3984" w:rsidRDefault="00EA3984" w:rsidP="00EA3984">
            <w:pPr>
              <w:spacing w:before="240" w:after="240" w:line="240" w:lineRule="auto"/>
              <w:jc w:val="both"/>
              <w:rPr>
                <w:rFonts w:cstheme="minorHAnsi"/>
              </w:rPr>
            </w:pPr>
            <w:r w:rsidRPr="00EA3984">
              <w:rPr>
                <w:rFonts w:cstheme="minorHAnsi"/>
                <w:color w:val="000000"/>
              </w:rPr>
              <w:t xml:space="preserve">With many changes occurring over the past couple of weeks, the CECA team have been working hard to support education and care services. CECA are contacting education and care services to check-in and to answer any questions, expect to hear from an Authorised Officer soon. </w:t>
            </w:r>
          </w:p>
          <w:p w:rsidR="00EA3984" w:rsidRPr="00EA3984" w:rsidRDefault="00EA3984" w:rsidP="00EA3984">
            <w:pPr>
              <w:spacing w:before="240" w:after="240" w:line="240" w:lineRule="auto"/>
              <w:jc w:val="both"/>
              <w:rPr>
                <w:rFonts w:cstheme="minorHAnsi"/>
              </w:rPr>
            </w:pPr>
            <w:r w:rsidRPr="00EA3984">
              <w:rPr>
                <w:rFonts w:cstheme="minorHAnsi"/>
                <w:color w:val="000000"/>
              </w:rPr>
              <w:t xml:space="preserve">CECA has updated </w:t>
            </w:r>
            <w:r w:rsidRPr="00EA3984">
              <w:rPr>
                <w:rFonts w:cstheme="minorHAnsi"/>
                <w:color w:val="000000" w:themeColor="text1"/>
              </w:rPr>
              <w:t xml:space="preserve">the </w:t>
            </w:r>
            <w:hyperlink r:id="rId8" w:history="1">
              <w:r w:rsidRPr="00EA3984">
                <w:rPr>
                  <w:rFonts w:cstheme="minorHAnsi"/>
                  <w:color w:val="000000" w:themeColor="text1"/>
                  <w:u w:val="single"/>
                </w:rPr>
                <w:t>ACT Education Directorate</w:t>
              </w:r>
            </w:hyperlink>
            <w:r w:rsidRPr="00EA3984">
              <w:rPr>
                <w:rFonts w:cstheme="minorHAnsi"/>
                <w:color w:val="000000" w:themeColor="text1"/>
              </w:rPr>
              <w:t xml:space="preserve"> website to include more Frequently Asked Questions, information about government support for</w:t>
            </w:r>
            <w:r w:rsidRPr="00EA3984">
              <w:rPr>
                <w:rFonts w:cstheme="minorHAnsi"/>
                <w:color w:val="000000"/>
              </w:rPr>
              <w:t xml:space="preserve"> providers, and links to resources from </w:t>
            </w:r>
            <w:r w:rsidRPr="00EA3984">
              <w:rPr>
                <w:rFonts w:cstheme="minorHAnsi"/>
                <w:color w:val="000000"/>
                <w:lang w:eastAsia="en-AU"/>
              </w:rPr>
              <w:t xml:space="preserve">credible and consistent sources to help education and care providers and services leaders make decisions in response to COVID-19. </w:t>
            </w:r>
          </w:p>
          <w:p w:rsidR="00EA3984" w:rsidRPr="00EA3984" w:rsidRDefault="00EA3984" w:rsidP="00EA3984">
            <w:pPr>
              <w:spacing w:after="0" w:line="240" w:lineRule="auto"/>
              <w:rPr>
                <w:rFonts w:cstheme="minorHAnsi"/>
                <w:color w:val="313131"/>
                <w:sz w:val="24"/>
                <w:szCs w:val="24"/>
                <w:u w:val="single"/>
              </w:rPr>
            </w:pPr>
            <w:r w:rsidRPr="00EA3984">
              <w:rPr>
                <w:rFonts w:cstheme="minorHAnsi"/>
                <w:color w:val="000000"/>
              </w:rPr>
              <w:t xml:space="preserve">New information includes </w:t>
            </w:r>
            <w:r w:rsidRPr="00EA3984">
              <w:rPr>
                <w:rFonts w:cstheme="minorHAnsi"/>
                <w:color w:val="000000" w:themeColor="text1"/>
              </w:rPr>
              <w:t>an ‘</w:t>
            </w:r>
            <w:hyperlink r:id="rId9" w:history="1">
              <w:r w:rsidRPr="00EA3984">
                <w:rPr>
                  <w:rFonts w:cstheme="minorHAnsi"/>
                  <w:color w:val="000000" w:themeColor="text1"/>
                  <w:u w:val="single"/>
                </w:rPr>
                <w:t>Infection control during the COVID-19 pandemic</w:t>
              </w:r>
            </w:hyperlink>
            <w:r w:rsidRPr="00EA3984">
              <w:rPr>
                <w:rFonts w:cstheme="minorHAnsi"/>
                <w:color w:val="000000" w:themeColor="text1"/>
              </w:rPr>
              <w:t xml:space="preserve">’ model policy which education and care services may choose to adapt to suit the context of their setting. An </w:t>
            </w:r>
            <w:hyperlink r:id="rId10" w:history="1">
              <w:r w:rsidRPr="00EA3984">
                <w:rPr>
                  <w:rFonts w:cstheme="minorHAnsi"/>
                  <w:color w:val="000000" w:themeColor="text1"/>
                  <w:u w:val="single"/>
                </w:rPr>
                <w:t>Education and care service closure flow chart</w:t>
              </w:r>
            </w:hyperlink>
            <w:r w:rsidRPr="00EA3984">
              <w:rPr>
                <w:rFonts w:cstheme="minorHAnsi"/>
                <w:color w:val="000000" w:themeColor="text1"/>
              </w:rPr>
              <w:t xml:space="preserve"> is now available to support education and care providers and services in an event of a service closure due to the COVID-19 pandemic.</w:t>
            </w:r>
          </w:p>
          <w:p w:rsidR="00EA3984" w:rsidRPr="00EA3984" w:rsidRDefault="00EA3984" w:rsidP="00EA3984">
            <w:pPr>
              <w:spacing w:before="150" w:after="0" w:line="300" w:lineRule="exact"/>
              <w:rPr>
                <w:rFonts w:cstheme="minorHAnsi"/>
                <w:b/>
                <w:bCs/>
                <w:color w:val="000000"/>
                <w:sz w:val="32"/>
                <w:szCs w:val="32"/>
                <w:lang w:eastAsia="en-AU"/>
              </w:rPr>
            </w:pPr>
          </w:p>
          <w:p w:rsidR="00EA3984" w:rsidRPr="00EA3984" w:rsidRDefault="00EA3984" w:rsidP="00EA3984">
            <w:pPr>
              <w:spacing w:before="150" w:after="0" w:line="300" w:lineRule="exact"/>
              <w:rPr>
                <w:rFonts w:cstheme="minorHAnsi"/>
                <w:b/>
                <w:bCs/>
                <w:sz w:val="32"/>
                <w:szCs w:val="32"/>
                <w:lang w:eastAsia="en-AU"/>
              </w:rPr>
            </w:pPr>
            <w:r w:rsidRPr="00EA3984">
              <w:rPr>
                <w:rFonts w:cstheme="minorHAnsi"/>
                <w:b/>
                <w:bCs/>
                <w:color w:val="000000"/>
                <w:sz w:val="32"/>
                <w:szCs w:val="32"/>
                <w:lang w:eastAsia="en-AU"/>
              </w:rPr>
              <w:t xml:space="preserve">CECA’s role during COVID-19 </w:t>
            </w:r>
          </w:p>
          <w:p w:rsidR="00EA3984" w:rsidRPr="00EA3984" w:rsidRDefault="00EA3984" w:rsidP="00EA3984">
            <w:pPr>
              <w:spacing w:before="240" w:after="240" w:line="240" w:lineRule="auto"/>
              <w:rPr>
                <w:rFonts w:cstheme="minorHAnsi"/>
              </w:rPr>
            </w:pPr>
            <w:r w:rsidRPr="00EA3984">
              <w:rPr>
                <w:rFonts w:cstheme="minorHAnsi"/>
                <w:color w:val="000000"/>
              </w:rPr>
              <w:t xml:space="preserve">To support the education and care services CECA will be adapting its approach as the Regulatory Authority in response to COVID-19. The purpose of this change is to ‘reduce the regulatory burden’ during COVID-19 while ensuring that education and care services continue to provide safe, quality education and care for children. </w:t>
            </w:r>
          </w:p>
          <w:p w:rsidR="00EA3984" w:rsidRPr="00EA3984" w:rsidRDefault="00EA3984" w:rsidP="00EA3984">
            <w:pPr>
              <w:spacing w:before="240" w:after="240" w:line="240" w:lineRule="auto"/>
              <w:rPr>
                <w:rFonts w:cstheme="minorHAnsi"/>
                <w:lang w:eastAsia="en-AU"/>
              </w:rPr>
            </w:pPr>
            <w:r w:rsidRPr="00EA3984">
              <w:rPr>
                <w:rFonts w:cstheme="minorHAnsi"/>
                <w:color w:val="000000"/>
                <w:lang w:eastAsia="en-AU"/>
              </w:rPr>
              <w:t xml:space="preserve">All education and care </w:t>
            </w:r>
            <w:r w:rsidRPr="00EA3984">
              <w:rPr>
                <w:rFonts w:cstheme="minorHAnsi"/>
                <w:color w:val="000000" w:themeColor="text1"/>
                <w:lang w:eastAsia="en-AU"/>
              </w:rPr>
              <w:t xml:space="preserve">services are required to continue meeting obligations set out in the </w:t>
            </w:r>
            <w:hyperlink r:id="rId11" w:history="1">
              <w:r w:rsidRPr="00EA3984">
                <w:rPr>
                  <w:rFonts w:cstheme="minorHAnsi"/>
                  <w:color w:val="000000" w:themeColor="text1"/>
                  <w:u w:val="single"/>
                </w:rPr>
                <w:t>National Quality Framework</w:t>
              </w:r>
            </w:hyperlink>
            <w:r w:rsidRPr="00EA3984">
              <w:rPr>
                <w:rFonts w:cstheme="minorHAnsi"/>
                <w:color w:val="000000" w:themeColor="text1"/>
                <w:lang w:eastAsia="en-AU"/>
              </w:rPr>
              <w:t xml:space="preserve"> (NQF). Education and care services who are experiencing operational difficulties should contact CECA on </w:t>
            </w:r>
            <w:hyperlink r:id="rId12" w:history="1">
              <w:r w:rsidRPr="00EA3984">
                <w:rPr>
                  <w:rFonts w:cstheme="minorHAnsi"/>
                  <w:color w:val="000000" w:themeColor="text1"/>
                  <w:u w:val="single"/>
                </w:rPr>
                <w:t>(02) 6207 1114</w:t>
              </w:r>
            </w:hyperlink>
            <w:r w:rsidRPr="00EA3984">
              <w:rPr>
                <w:rFonts w:cstheme="minorHAnsi"/>
                <w:color w:val="000000" w:themeColor="text1"/>
                <w:lang w:eastAsia="en-AU"/>
              </w:rPr>
              <w:t xml:space="preserve"> or email </w:t>
            </w:r>
            <w:hyperlink r:id="rId13" w:history="1">
              <w:r w:rsidRPr="00EA3984">
                <w:rPr>
                  <w:rFonts w:cstheme="minorHAnsi"/>
                  <w:color w:val="000000" w:themeColor="text1"/>
                  <w:u w:val="single"/>
                </w:rPr>
                <w:t>ceca@act.gov.au</w:t>
              </w:r>
            </w:hyperlink>
            <w:r w:rsidRPr="00EA3984">
              <w:rPr>
                <w:rFonts w:cstheme="minorHAnsi"/>
                <w:color w:val="000000" w:themeColor="text1"/>
                <w:lang w:eastAsia="en-AU"/>
              </w:rPr>
              <w:t xml:space="preserve"> for support.</w:t>
            </w:r>
          </w:p>
          <w:p w:rsidR="00EA3984" w:rsidRPr="00EA3984" w:rsidRDefault="00EA3984" w:rsidP="00EA3984">
            <w:pPr>
              <w:spacing w:before="240" w:after="0" w:line="240" w:lineRule="auto"/>
              <w:rPr>
                <w:rFonts w:cstheme="minorHAnsi"/>
                <w:b/>
                <w:bCs/>
                <w:lang w:eastAsia="en-AU"/>
              </w:rPr>
            </w:pPr>
            <w:r w:rsidRPr="00EA3984">
              <w:rPr>
                <w:rFonts w:cstheme="minorHAnsi"/>
                <w:b/>
                <w:bCs/>
                <w:color w:val="000000"/>
              </w:rPr>
              <w:t xml:space="preserve">CECA has redirected its regulatory support into three key functions: </w:t>
            </w:r>
          </w:p>
          <w:p w:rsidR="00EA3984" w:rsidRPr="00EA3984" w:rsidRDefault="00EA3984" w:rsidP="00EA3984">
            <w:pPr>
              <w:spacing w:before="240" w:after="0" w:line="240" w:lineRule="auto"/>
              <w:rPr>
                <w:rFonts w:cstheme="minorHAnsi"/>
                <w:b/>
                <w:bCs/>
              </w:rPr>
            </w:pPr>
            <w:r w:rsidRPr="00EA3984">
              <w:rPr>
                <w:rFonts w:cstheme="minorHAnsi"/>
                <w:b/>
                <w:bCs/>
                <w:color w:val="000000"/>
              </w:rPr>
              <w:t>Support</w:t>
            </w:r>
          </w:p>
          <w:p w:rsidR="00EA3984" w:rsidRPr="00EA3984" w:rsidRDefault="00EA3984" w:rsidP="00EA3984">
            <w:pPr>
              <w:spacing w:before="240" w:after="0" w:line="240" w:lineRule="auto"/>
              <w:rPr>
                <w:rFonts w:cstheme="minorHAnsi"/>
                <w:b/>
                <w:bCs/>
              </w:rPr>
            </w:pPr>
            <w:r w:rsidRPr="00EA3984">
              <w:rPr>
                <w:rFonts w:cstheme="minorHAnsi"/>
                <w:color w:val="000000"/>
              </w:rPr>
              <w:t xml:space="preserve">Regular Assessment and Rating and Audit programs have been </w:t>
            </w:r>
            <w:proofErr w:type="gramStart"/>
            <w:r w:rsidRPr="00EA3984">
              <w:rPr>
                <w:rFonts w:cstheme="minorHAnsi"/>
                <w:color w:val="000000"/>
              </w:rPr>
              <w:t>temporarily suspended</w:t>
            </w:r>
            <w:proofErr w:type="gramEnd"/>
            <w:r w:rsidRPr="00EA3984">
              <w:rPr>
                <w:rFonts w:cstheme="minorHAnsi"/>
                <w:color w:val="000000"/>
              </w:rPr>
              <w:t xml:space="preserve">. </w:t>
            </w:r>
            <w:r w:rsidRPr="00EA3984">
              <w:rPr>
                <w:rFonts w:cstheme="minorHAnsi"/>
                <w:i/>
                <w:iCs/>
                <w:color w:val="000000"/>
              </w:rPr>
              <w:t>Urgent risk audits will be continuing.</w:t>
            </w:r>
            <w:r w:rsidRPr="00EA3984">
              <w:rPr>
                <w:rFonts w:cstheme="minorHAnsi"/>
                <w:b/>
                <w:bCs/>
                <w:color w:val="000000"/>
              </w:rPr>
              <w:t xml:space="preserve"> </w:t>
            </w:r>
          </w:p>
          <w:p w:rsidR="00EA3984" w:rsidRPr="00EA3984" w:rsidRDefault="00EA3984" w:rsidP="00EA3984">
            <w:pPr>
              <w:spacing w:before="240" w:after="0" w:line="240" w:lineRule="auto"/>
              <w:rPr>
                <w:rFonts w:cstheme="minorHAnsi"/>
              </w:rPr>
            </w:pPr>
            <w:r w:rsidRPr="00EA3984">
              <w:rPr>
                <w:rFonts w:cstheme="minorHAnsi"/>
                <w:color w:val="000000"/>
              </w:rPr>
              <w:t>A support team of Authorised Officers has been established to:</w:t>
            </w:r>
          </w:p>
          <w:p w:rsidR="00EA3984" w:rsidRPr="00EA3984" w:rsidRDefault="00EA3984" w:rsidP="00EA3984">
            <w:pPr>
              <w:numPr>
                <w:ilvl w:val="0"/>
                <w:numId w:val="1"/>
              </w:numPr>
              <w:spacing w:before="240" w:after="0" w:line="240" w:lineRule="auto"/>
              <w:rPr>
                <w:rFonts w:cstheme="minorHAnsi"/>
              </w:rPr>
            </w:pPr>
            <w:r w:rsidRPr="00EA3984">
              <w:rPr>
                <w:rFonts w:cstheme="minorHAnsi"/>
                <w:color w:val="000000"/>
              </w:rPr>
              <w:t xml:space="preserve">conduct outreach with education and care </w:t>
            </w:r>
            <w:proofErr w:type="gramStart"/>
            <w:r w:rsidRPr="00EA3984">
              <w:rPr>
                <w:rFonts w:cstheme="minorHAnsi"/>
                <w:color w:val="000000"/>
              </w:rPr>
              <w:t>services;</w:t>
            </w:r>
            <w:proofErr w:type="gramEnd"/>
          </w:p>
          <w:p w:rsidR="00EA3984" w:rsidRPr="00EA3984" w:rsidRDefault="00EA3984" w:rsidP="00EA3984">
            <w:pPr>
              <w:numPr>
                <w:ilvl w:val="0"/>
                <w:numId w:val="1"/>
              </w:numPr>
              <w:spacing w:before="240" w:after="0" w:line="240" w:lineRule="auto"/>
              <w:rPr>
                <w:rFonts w:cstheme="minorHAnsi"/>
              </w:rPr>
            </w:pPr>
            <w:r w:rsidRPr="00EA3984">
              <w:rPr>
                <w:rFonts w:cstheme="minorHAnsi"/>
                <w:color w:val="000000"/>
              </w:rPr>
              <w:t xml:space="preserve">respond to queries from education and care services and </w:t>
            </w:r>
            <w:proofErr w:type="gramStart"/>
            <w:r w:rsidRPr="00EA3984">
              <w:rPr>
                <w:rFonts w:cstheme="minorHAnsi"/>
                <w:color w:val="000000"/>
              </w:rPr>
              <w:t>families;</w:t>
            </w:r>
            <w:proofErr w:type="gramEnd"/>
          </w:p>
          <w:p w:rsidR="00EA3984" w:rsidRPr="00EA3984" w:rsidRDefault="00EA3984" w:rsidP="00EA3984">
            <w:pPr>
              <w:numPr>
                <w:ilvl w:val="0"/>
                <w:numId w:val="1"/>
              </w:numPr>
              <w:spacing w:before="240" w:after="0" w:line="240" w:lineRule="auto"/>
              <w:rPr>
                <w:rFonts w:cstheme="minorHAnsi"/>
              </w:rPr>
            </w:pPr>
            <w:r w:rsidRPr="00EA3984">
              <w:rPr>
                <w:rFonts w:cstheme="minorHAnsi"/>
                <w:color w:val="000000"/>
              </w:rPr>
              <w:t xml:space="preserve">consider waiver applications, service approval amendments, suspensions or closure </w:t>
            </w:r>
            <w:proofErr w:type="gramStart"/>
            <w:r w:rsidRPr="00EA3984">
              <w:rPr>
                <w:rFonts w:cstheme="minorHAnsi"/>
                <w:color w:val="000000"/>
              </w:rPr>
              <w:t>notifications;</w:t>
            </w:r>
            <w:proofErr w:type="gramEnd"/>
            <w:r w:rsidRPr="00EA3984">
              <w:rPr>
                <w:rFonts w:cstheme="minorHAnsi"/>
                <w:color w:val="000000"/>
              </w:rPr>
              <w:t xml:space="preserve"> </w:t>
            </w:r>
          </w:p>
          <w:p w:rsidR="00EA3984" w:rsidRPr="00EA3984" w:rsidRDefault="00EA3984" w:rsidP="00EA3984">
            <w:pPr>
              <w:numPr>
                <w:ilvl w:val="0"/>
                <w:numId w:val="1"/>
              </w:numPr>
              <w:spacing w:before="240" w:after="0" w:line="240" w:lineRule="auto"/>
              <w:rPr>
                <w:rFonts w:cstheme="minorHAnsi"/>
              </w:rPr>
            </w:pPr>
            <w:r w:rsidRPr="00EA3984">
              <w:rPr>
                <w:rFonts w:cstheme="minorHAnsi"/>
                <w:color w:val="000000"/>
              </w:rPr>
              <w:t>work with individual education and care services to advise measures that will support their situation and continue to ensure the safety and wellbeing of children; and</w:t>
            </w:r>
          </w:p>
          <w:p w:rsidR="00EA3984" w:rsidRPr="00EA3984" w:rsidRDefault="00EA3984" w:rsidP="00EA3984">
            <w:pPr>
              <w:numPr>
                <w:ilvl w:val="0"/>
                <w:numId w:val="1"/>
              </w:numPr>
              <w:spacing w:before="240" w:after="0" w:line="240" w:lineRule="auto"/>
              <w:rPr>
                <w:rFonts w:cstheme="minorHAnsi"/>
                <w:i/>
                <w:iCs/>
              </w:rPr>
            </w:pPr>
            <w:r w:rsidRPr="00EA3984">
              <w:rPr>
                <w:rFonts w:cstheme="minorHAnsi"/>
                <w:color w:val="000000"/>
              </w:rPr>
              <w:t>provide support in event of service closure.</w:t>
            </w:r>
          </w:p>
          <w:p w:rsidR="00EA3984" w:rsidRPr="00EA3984" w:rsidRDefault="00EA3984" w:rsidP="00EA3984">
            <w:pPr>
              <w:spacing w:before="240" w:after="0" w:line="240" w:lineRule="auto"/>
              <w:ind w:left="360"/>
              <w:rPr>
                <w:rFonts w:cstheme="minorHAnsi"/>
              </w:rPr>
            </w:pPr>
            <w:r w:rsidRPr="00EA3984">
              <w:rPr>
                <w:rFonts w:cstheme="minorHAnsi"/>
                <w:color w:val="000000"/>
              </w:rPr>
              <w:t>CECA have also expanded and increased communications with education and care providers and services.</w:t>
            </w:r>
          </w:p>
          <w:p w:rsidR="00EA3984" w:rsidRPr="00EA3984" w:rsidRDefault="00EA3984" w:rsidP="00EA3984">
            <w:pPr>
              <w:spacing w:before="240" w:after="0" w:line="240" w:lineRule="auto"/>
              <w:rPr>
                <w:rFonts w:cstheme="minorHAnsi"/>
                <w:b/>
                <w:bCs/>
              </w:rPr>
            </w:pPr>
            <w:r w:rsidRPr="00EA3984">
              <w:rPr>
                <w:rFonts w:cstheme="minorHAnsi"/>
                <w:b/>
                <w:bCs/>
                <w:color w:val="000000"/>
              </w:rPr>
              <w:t>Capacity</w:t>
            </w:r>
          </w:p>
          <w:p w:rsidR="00EA3984" w:rsidRPr="00EA3984" w:rsidRDefault="00EA3984" w:rsidP="00EA3984">
            <w:pPr>
              <w:spacing w:before="240" w:after="0" w:line="240" w:lineRule="auto"/>
              <w:rPr>
                <w:rFonts w:cstheme="minorHAnsi"/>
              </w:rPr>
            </w:pPr>
            <w:r w:rsidRPr="00EA3984">
              <w:rPr>
                <w:rFonts w:cstheme="minorHAnsi"/>
                <w:color w:val="000000"/>
              </w:rPr>
              <w:t xml:space="preserve">The CECA is preparing for the possibility of prolonged isolation. This planning includes the continuation of service for children of essential workers and children experiencing vulnerability. </w:t>
            </w:r>
          </w:p>
          <w:p w:rsidR="00EA3984" w:rsidRPr="00EA3984" w:rsidRDefault="00EA3984" w:rsidP="00EA3984">
            <w:pPr>
              <w:spacing w:before="240" w:after="0" w:line="240" w:lineRule="auto"/>
              <w:rPr>
                <w:rFonts w:cstheme="minorHAnsi"/>
                <w:b/>
                <w:bCs/>
              </w:rPr>
            </w:pPr>
            <w:r w:rsidRPr="00EA3984">
              <w:rPr>
                <w:rFonts w:cstheme="minorHAnsi"/>
                <w:b/>
                <w:bCs/>
                <w:color w:val="000000"/>
              </w:rPr>
              <w:t>Child Safety</w:t>
            </w:r>
          </w:p>
          <w:p w:rsidR="00EA3984" w:rsidRPr="00EA3984" w:rsidRDefault="00EA3984" w:rsidP="00EA3984">
            <w:pPr>
              <w:spacing w:before="240" w:after="0" w:line="240" w:lineRule="auto"/>
              <w:rPr>
                <w:rFonts w:cstheme="minorHAnsi"/>
              </w:rPr>
            </w:pPr>
            <w:r w:rsidRPr="00EA3984">
              <w:rPr>
                <w:rFonts w:cstheme="minorHAnsi"/>
                <w:color w:val="000000"/>
              </w:rPr>
              <w:t xml:space="preserve">CECA is aware that during times of crisis people who should not have access to children may try to take advantage of the situation. In addition, health emergencies can result in individuals displaying different responses. All individuals working with children need to be mindful of their approach to ensure typical interactions with children are not compromised. </w:t>
            </w:r>
          </w:p>
          <w:p w:rsidR="00EA3984" w:rsidRPr="00EA3984" w:rsidRDefault="00EA3984" w:rsidP="00EA3984">
            <w:pPr>
              <w:spacing w:before="240" w:after="0" w:line="240" w:lineRule="auto"/>
              <w:rPr>
                <w:rFonts w:cstheme="minorHAnsi"/>
              </w:rPr>
            </w:pPr>
            <w:r w:rsidRPr="00EA3984">
              <w:rPr>
                <w:rFonts w:cstheme="minorHAnsi"/>
                <w:color w:val="000000"/>
              </w:rPr>
              <w:t>CECA is continuing to investigate incidents and allegations relating to risk of harm to children. CECA continue to work with key child protection agencies to ensure the safety of children through this period.</w:t>
            </w:r>
          </w:p>
          <w:p w:rsidR="00EA3984" w:rsidRPr="00EA3984" w:rsidRDefault="00EA3984" w:rsidP="00EA3984">
            <w:pPr>
              <w:spacing w:before="240" w:after="0" w:line="240" w:lineRule="auto"/>
              <w:rPr>
                <w:rFonts w:cstheme="minorHAnsi"/>
                <w:color w:val="000000" w:themeColor="text1"/>
              </w:rPr>
            </w:pPr>
            <w:r w:rsidRPr="00EA3984">
              <w:rPr>
                <w:rFonts w:cstheme="minorHAnsi"/>
                <w:color w:val="000000"/>
              </w:rPr>
              <w:t xml:space="preserve">CECA’s support team is here for advice, please </w:t>
            </w:r>
            <w:r w:rsidRPr="00EA3984">
              <w:rPr>
                <w:rFonts w:cstheme="minorHAnsi"/>
                <w:color w:val="000000" w:themeColor="text1"/>
              </w:rPr>
              <w:t xml:space="preserve">phone (02) 6207 1114 or email </w:t>
            </w:r>
            <w:hyperlink r:id="rId14" w:history="1">
              <w:r w:rsidRPr="00EA3984">
                <w:rPr>
                  <w:rFonts w:cstheme="minorHAnsi"/>
                  <w:color w:val="0563C1"/>
                  <w:u w:val="single"/>
                </w:rPr>
                <w:t>CECA@act.gov.au</w:t>
              </w:r>
            </w:hyperlink>
            <w:r w:rsidRPr="00EA3984">
              <w:rPr>
                <w:rFonts w:cstheme="minorHAnsi"/>
                <w:color w:val="000000" w:themeColor="text1"/>
              </w:rPr>
              <w:t xml:space="preserve"> if you have questions about operating during COVID-19. </w:t>
            </w:r>
          </w:p>
          <w:p w:rsidR="00EA3984" w:rsidRPr="00EA3984" w:rsidRDefault="00EA3984" w:rsidP="00EA3984">
            <w:pPr>
              <w:spacing w:after="0" w:line="240" w:lineRule="auto"/>
              <w:rPr>
                <w:rFonts w:cstheme="minorHAnsi"/>
                <w:color w:val="000000" w:themeColor="text1"/>
                <w:lang w:eastAsia="en-AU"/>
              </w:rPr>
            </w:pPr>
          </w:p>
          <w:p w:rsidR="00EA3984" w:rsidRPr="00EA3984" w:rsidRDefault="00EA3984" w:rsidP="00EA3984">
            <w:pPr>
              <w:spacing w:after="0" w:line="240" w:lineRule="auto"/>
              <w:jc w:val="center"/>
              <w:rPr>
                <w:rFonts w:cstheme="minorHAnsi"/>
                <w:color w:val="000000" w:themeColor="text1"/>
              </w:rPr>
            </w:pPr>
            <w:r w:rsidRPr="00EA3984">
              <w:rPr>
                <w:rFonts w:cstheme="minorHAnsi"/>
                <w:color w:val="000000" w:themeColor="text1"/>
                <w:lang w:eastAsia="en-AU"/>
              </w:rPr>
              <w:t xml:space="preserve">For enquires in relation to this notification please call CECA on (02) 6207 1114 or email </w:t>
            </w:r>
            <w:hyperlink r:id="rId15" w:history="1">
              <w:r w:rsidRPr="00EA3984">
                <w:rPr>
                  <w:rFonts w:cstheme="minorHAnsi"/>
                  <w:color w:val="000000" w:themeColor="text1"/>
                  <w:u w:val="single"/>
                  <w:lang w:val="en-US"/>
                </w:rPr>
                <w:t>CECA@act.gov.au</w:t>
              </w:r>
            </w:hyperlink>
          </w:p>
          <w:p w:rsidR="00EA3984" w:rsidRPr="00EA3984" w:rsidRDefault="00EA3984" w:rsidP="00EA3984">
            <w:pPr>
              <w:spacing w:after="0" w:line="240" w:lineRule="auto"/>
              <w:rPr>
                <w:rFonts w:cstheme="minorHAnsi"/>
              </w:rPr>
            </w:pPr>
          </w:p>
          <w:p w:rsidR="00EA3984" w:rsidRPr="00EA3984" w:rsidRDefault="00EA3984" w:rsidP="00EA3984">
            <w:pPr>
              <w:spacing w:after="0" w:line="240" w:lineRule="auto"/>
              <w:jc w:val="center"/>
              <w:rPr>
                <w:rFonts w:cstheme="minorHAnsi"/>
                <w:color w:val="000000"/>
                <w:lang w:eastAsia="en-AU"/>
              </w:rPr>
            </w:pPr>
            <w:r w:rsidRPr="00EA3984">
              <w:rPr>
                <w:rFonts w:cstheme="minorHAnsi"/>
                <w:color w:val="767171"/>
                <w:lang w:eastAsia="en-AU"/>
              </w:rPr>
              <w:t>This email has been authorised by the ACT Regulatory Authority (CECA). CECA are responsible for administering the National Quality Framework within the ACT</w:t>
            </w:r>
          </w:p>
        </w:tc>
      </w:tr>
    </w:tbl>
    <w:p w:rsidR="00EA3984" w:rsidRPr="00EA3984" w:rsidRDefault="00EA3984" w:rsidP="00EA3984">
      <w:pPr>
        <w:spacing w:after="0" w:line="240" w:lineRule="auto"/>
        <w:rPr>
          <w:rFonts w:cstheme="minorHAnsi"/>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EA3984" w:rsidRPr="00EA3984" w:rsidTr="00C600AD">
        <w:trPr>
          <w:tblCellSpacing w:w="0" w:type="dxa"/>
          <w:jc w:val="center"/>
        </w:trPr>
        <w:tc>
          <w:tcPr>
            <w:tcW w:w="0" w:type="auto"/>
            <w:shd w:val="clear" w:color="auto" w:fill="5C5C5C"/>
            <w:vAlign w:val="center"/>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11"/>
              <w:gridCol w:w="6289"/>
            </w:tblGrid>
            <w:tr w:rsidR="00EA3984" w:rsidRPr="00EA3984" w:rsidTr="00C600AD">
              <w:trPr>
                <w:gridAfter w:val="2"/>
                <w:tblCellSpacing w:w="0" w:type="dxa"/>
                <w:jc w:val="center"/>
              </w:trPr>
              <w:tc>
                <w:tcPr>
                  <w:tcW w:w="0" w:type="auto"/>
                  <w:shd w:val="clear" w:color="auto" w:fill="5C5C5C"/>
                  <w:vAlign w:val="center"/>
                  <w:hideMark/>
                </w:tcPr>
                <w:p w:rsidR="00EA3984" w:rsidRPr="00EA3984" w:rsidRDefault="00EA3984" w:rsidP="00EA3984">
                  <w:pPr>
                    <w:spacing w:after="0" w:line="240" w:lineRule="auto"/>
                    <w:rPr>
                      <w:rFonts w:cstheme="minorHAnsi"/>
                    </w:rPr>
                  </w:pPr>
                </w:p>
              </w:tc>
            </w:tr>
            <w:tr w:rsidR="00EA3984" w:rsidRPr="00EA3984" w:rsidTr="00C600AD">
              <w:trPr>
                <w:tblCellSpacing w:w="0" w:type="dxa"/>
                <w:jc w:val="center"/>
              </w:trPr>
              <w:tc>
                <w:tcPr>
                  <w:tcW w:w="0" w:type="auto"/>
                  <w:shd w:val="clear" w:color="auto" w:fill="5C5C5C"/>
                  <w:tcMar>
                    <w:top w:w="120" w:type="dxa"/>
                    <w:left w:w="630" w:type="dxa"/>
                    <w:bottom w:w="120" w:type="dxa"/>
                    <w:right w:w="0" w:type="dxa"/>
                  </w:tcMar>
                  <w:vAlign w:val="center"/>
                  <w:hideMark/>
                </w:tcPr>
                <w:p w:rsidR="00EA3984" w:rsidRPr="00EA3984" w:rsidRDefault="00EA3984" w:rsidP="00EA3984">
                  <w:pPr>
                    <w:spacing w:before="100" w:beforeAutospacing="1" w:after="100" w:afterAutospacing="1" w:line="240" w:lineRule="auto"/>
                    <w:rPr>
                      <w:rFonts w:cstheme="minorHAnsi"/>
                      <w:color w:val="FFFFFF"/>
                      <w:sz w:val="20"/>
                      <w:szCs w:val="20"/>
                      <w:lang w:eastAsia="en-AU"/>
                    </w:rPr>
                  </w:pPr>
                  <w:r w:rsidRPr="00EA3984">
                    <w:rPr>
                      <w:rFonts w:cstheme="minorHAnsi"/>
                      <w:noProof/>
                      <w:color w:val="0000FF"/>
                      <w:sz w:val="20"/>
                      <w:szCs w:val="20"/>
                      <w:lang w:eastAsia="en-AU"/>
                    </w:rPr>
                    <w:drawing>
                      <wp:inline distT="0" distB="0" distL="0" distR="0" wp14:anchorId="70B2D14E" wp14:editId="1714A136">
                        <wp:extent cx="1089660" cy="350520"/>
                        <wp:effectExtent l="0" t="0" r="0" b="0"/>
                        <wp:docPr id="44" name="Picture 44"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660" cy="350520"/>
                                </a:xfrm>
                                <a:prstGeom prst="rect">
                                  <a:avLst/>
                                </a:prstGeom>
                                <a:noFill/>
                                <a:ln>
                                  <a:noFill/>
                                </a:ln>
                              </pic:spPr>
                            </pic:pic>
                          </a:graphicData>
                        </a:graphic>
                      </wp:inline>
                    </w:drawing>
                  </w:r>
                </w:p>
              </w:tc>
              <w:tc>
                <w:tcPr>
                  <w:tcW w:w="0" w:type="auto"/>
                  <w:shd w:val="clear" w:color="auto" w:fill="5C5C5C"/>
                  <w:tcMar>
                    <w:top w:w="120" w:type="dxa"/>
                    <w:left w:w="0" w:type="dxa"/>
                    <w:bottom w:w="120" w:type="dxa"/>
                    <w:right w:w="0" w:type="dxa"/>
                  </w:tcMar>
                  <w:vAlign w:val="center"/>
                  <w:hideMark/>
                </w:tcPr>
                <w:p w:rsidR="00EA3984" w:rsidRPr="00EA3984" w:rsidRDefault="00EA3984" w:rsidP="00EA3984">
                  <w:pPr>
                    <w:spacing w:after="0" w:line="240" w:lineRule="auto"/>
                    <w:rPr>
                      <w:rFonts w:cstheme="minorHAns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rsidR="00EA3984" w:rsidRPr="00EA3984" w:rsidRDefault="00EA3984" w:rsidP="00EA3984">
                  <w:pPr>
                    <w:spacing w:after="0" w:line="240" w:lineRule="auto"/>
                    <w:jc w:val="right"/>
                    <w:rPr>
                      <w:rFonts w:cstheme="minorHAnsi"/>
                      <w:color w:val="333132"/>
                    </w:rPr>
                  </w:pPr>
                  <w:r w:rsidRPr="00EA3984">
                    <w:rPr>
                      <w:rFonts w:cstheme="minorHAnsi"/>
                      <w:noProof/>
                      <w:color w:val="333132"/>
                    </w:rPr>
                    <w:drawing>
                      <wp:inline distT="0" distB="0" distL="0" distR="0" wp14:anchorId="0D796279" wp14:editId="04C364DF">
                        <wp:extent cx="1897380" cy="647700"/>
                        <wp:effectExtent l="0" t="0" r="0" b="0"/>
                        <wp:docPr id="43" name="Picture 43"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spect, Integrity, Collaboration and Innovation, the ACTPS Values and Signature Behaivou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7380" cy="647700"/>
                                </a:xfrm>
                                <a:prstGeom prst="rect">
                                  <a:avLst/>
                                </a:prstGeom>
                                <a:noFill/>
                                <a:ln>
                                  <a:noFill/>
                                </a:ln>
                              </pic:spPr>
                            </pic:pic>
                          </a:graphicData>
                        </a:graphic>
                      </wp:inline>
                    </w:drawing>
                  </w:r>
                </w:p>
              </w:tc>
            </w:tr>
          </w:tbl>
          <w:p w:rsidR="00EA3984" w:rsidRPr="00EA3984" w:rsidRDefault="00EA3984" w:rsidP="00EA3984">
            <w:pPr>
              <w:spacing w:after="0" w:line="240" w:lineRule="auto"/>
              <w:jc w:val="center"/>
              <w:rPr>
                <w:rFonts w:eastAsia="Times New Roman" w:cstheme="minorHAnsi"/>
                <w:sz w:val="20"/>
                <w:szCs w:val="20"/>
                <w:lang w:eastAsia="en-AU"/>
              </w:rPr>
            </w:pPr>
          </w:p>
        </w:tc>
      </w:tr>
    </w:tbl>
    <w:p w:rsidR="00EA3984" w:rsidRPr="00EA3984" w:rsidRDefault="00EA3984" w:rsidP="00EA3984">
      <w:pPr>
        <w:spacing w:after="0" w:line="240" w:lineRule="auto"/>
        <w:rPr>
          <w:rFonts w:cstheme="minorHAnsi"/>
        </w:rPr>
      </w:pPr>
    </w:p>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7611E"/>
    <w:multiLevelType w:val="hybridMultilevel"/>
    <w:tmpl w:val="03263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84"/>
    <w:rsid w:val="000F192A"/>
    <w:rsid w:val="001C49DD"/>
    <w:rsid w:val="001E4B11"/>
    <w:rsid w:val="00380DFB"/>
    <w:rsid w:val="00694CF8"/>
    <w:rsid w:val="00A5783B"/>
    <w:rsid w:val="00A6711C"/>
    <w:rsid w:val="00EA3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FDC5"/>
  <w15:chartTrackingRefBased/>
  <w15:docId w15:val="{333D120A-383A-4DE2-830F-95D1E9D2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early-childhood/information-on-novel-coronavirus-covid-19-for-early-childhood" TargetMode="External"/><Relationship Id="rId13" Type="http://schemas.openxmlformats.org/officeDocument/2006/relationships/hyperlink" Target="mailto:ceca@act.gov.au"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tel:0262071114"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facebook.com/CECA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60DBE.301F8E10" TargetMode="External"/><Relationship Id="rId11" Type="http://schemas.openxmlformats.org/officeDocument/2006/relationships/hyperlink" Target="https://www.acecqa.gov.au/nqf/national-law-regulations" TargetMode="External"/><Relationship Id="rId5" Type="http://schemas.openxmlformats.org/officeDocument/2006/relationships/image" Target="media/image1.gif"/><Relationship Id="rId15" Type="http://schemas.openxmlformats.org/officeDocument/2006/relationships/hyperlink" Target="mailto:CECA@act.gov.au" TargetMode="External"/><Relationship Id="rId10" Type="http://schemas.openxmlformats.org/officeDocument/2006/relationships/hyperlink" Target="https://www.education.act.gov.au/__data/assets/word_doc/0006/1535712/Education-and-care-service-closure-flow-chart-in-response-to-COVID-19.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act.gov.au/__data/assets/word_doc/0007/1535713/Infection-control-during-the-COVID-19-pandemic-model-policy.docx" TargetMode="External"/><Relationship Id="rId14" Type="http://schemas.openxmlformats.org/officeDocument/2006/relationships/hyperlink" Target="mailto:CECA@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Wang, Zhenxing</cp:lastModifiedBy>
  <cp:revision>1</cp:revision>
  <dcterms:created xsi:type="dcterms:W3CDTF">2020-11-20T05:24:00Z</dcterms:created>
  <dcterms:modified xsi:type="dcterms:W3CDTF">2020-11-20T05:24:00Z</dcterms:modified>
</cp:coreProperties>
</file>