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5091" w:rsidRDefault="004A4D81" w:rsidP="006831AF">
      <w:pPr>
        <w:pStyle w:val="PolicyHeading1-Accessible"/>
        <w:tabs>
          <w:tab w:val="left" w:pos="709"/>
        </w:tabs>
      </w:pPr>
      <w:r>
        <w:t>Managing Occupational Violence Policy</w:t>
      </w:r>
    </w:p>
    <w:p w:rsidR="004A4D81" w:rsidRDefault="004A4D81" w:rsidP="00E95AFF">
      <w:pPr>
        <w:pStyle w:val="Policy-BodyText"/>
        <w:numPr>
          <w:ilvl w:val="0"/>
          <w:numId w:val="0"/>
        </w:numPr>
        <w:tabs>
          <w:tab w:val="left" w:pos="709"/>
        </w:tabs>
        <w:spacing w:line="240" w:lineRule="auto"/>
        <w:ind w:left="709" w:hanging="709"/>
      </w:pPr>
    </w:p>
    <w:p w:rsidR="00FC6D75" w:rsidRPr="006831AF" w:rsidRDefault="002A05E2" w:rsidP="009757D6">
      <w:pPr>
        <w:pStyle w:val="Policy-BodyText"/>
        <w:numPr>
          <w:ilvl w:val="0"/>
          <w:numId w:val="0"/>
        </w:numPr>
        <w:tabs>
          <w:tab w:val="left" w:pos="709"/>
        </w:tabs>
        <w:spacing w:line="240" w:lineRule="auto"/>
        <w:ind w:left="709" w:hanging="709"/>
        <w:rPr>
          <w:rStyle w:val="ExplanatoryTextChar"/>
          <w:rFonts w:eastAsiaTheme="majorEastAsia"/>
          <w:b w:val="0"/>
          <w:sz w:val="24"/>
          <w:szCs w:val="24"/>
        </w:rPr>
      </w:pPr>
      <w:r w:rsidRPr="00E222AC">
        <w:rPr>
          <w:rStyle w:val="ExplanatoryTextChar"/>
          <w:rFonts w:eastAsiaTheme="minorEastAsia"/>
          <w:b w:val="0"/>
          <w:sz w:val="24"/>
          <w:szCs w:val="24"/>
        </w:rPr>
        <w:t>Policy Identifier:</w:t>
      </w:r>
      <w:r w:rsidR="009E52DD">
        <w:rPr>
          <w:rStyle w:val="ExplanatoryTextChar"/>
          <w:rFonts w:eastAsiaTheme="minorEastAsia"/>
          <w:b w:val="0"/>
          <w:sz w:val="24"/>
          <w:szCs w:val="24"/>
        </w:rPr>
        <w:t xml:space="preserve"> </w:t>
      </w:r>
      <w:r w:rsidR="009E52DD" w:rsidRPr="009E52DD">
        <w:rPr>
          <w:rStyle w:val="ExplanatoryTextChar"/>
          <w:rFonts w:eastAsiaTheme="minorEastAsia"/>
          <w:b w:val="0"/>
          <w:sz w:val="24"/>
          <w:szCs w:val="24"/>
        </w:rPr>
        <w:t>MOV201707</w:t>
      </w:r>
      <w:r w:rsidR="009E52DD">
        <w:rPr>
          <w:rStyle w:val="ExplanatoryTextChar"/>
          <w:rFonts w:eastAsiaTheme="minorEastAsia"/>
          <w:b w:val="0"/>
          <w:sz w:val="24"/>
          <w:szCs w:val="24"/>
        </w:rPr>
        <w:t xml:space="preserve">          </w:t>
      </w:r>
      <w:r w:rsidRPr="00E222AC">
        <w:rPr>
          <w:rStyle w:val="ExplanatoryTextChar"/>
          <w:rFonts w:eastAsiaTheme="minorEastAsia"/>
          <w:b w:val="0"/>
          <w:sz w:val="24"/>
          <w:szCs w:val="24"/>
        </w:rPr>
        <w:t>Published:</w:t>
      </w:r>
      <w:r w:rsidRPr="00E222AC">
        <w:rPr>
          <w:rStyle w:val="ExplanatoryTextChar"/>
          <w:rFonts w:eastAsiaTheme="majorEastAsia"/>
          <w:b w:val="0"/>
          <w:sz w:val="24"/>
          <w:szCs w:val="24"/>
        </w:rPr>
        <w:t xml:space="preserve"> </w:t>
      </w:r>
      <w:r w:rsidR="00397C3D" w:rsidRPr="006831AF">
        <w:rPr>
          <w:rStyle w:val="ExplanatoryTextChar"/>
          <w:rFonts w:eastAsiaTheme="majorEastAsia"/>
          <w:b w:val="0"/>
          <w:sz w:val="24"/>
          <w:szCs w:val="24"/>
        </w:rPr>
        <w:t>Ju</w:t>
      </w:r>
      <w:r w:rsidR="00AB42CE" w:rsidRPr="006831AF">
        <w:rPr>
          <w:rStyle w:val="ExplanatoryTextChar"/>
          <w:rFonts w:eastAsiaTheme="majorEastAsia"/>
          <w:b w:val="0"/>
          <w:sz w:val="24"/>
          <w:szCs w:val="24"/>
        </w:rPr>
        <w:t>ly</w:t>
      </w:r>
      <w:r w:rsidR="00397C3D" w:rsidRPr="006831AF">
        <w:rPr>
          <w:rStyle w:val="ExplanatoryTextChar"/>
          <w:rFonts w:eastAsiaTheme="majorEastAsia"/>
          <w:b w:val="0"/>
          <w:sz w:val="24"/>
          <w:szCs w:val="24"/>
        </w:rPr>
        <w:t xml:space="preserve"> 2017</w:t>
      </w:r>
    </w:p>
    <w:p w:rsidR="005D5B2E" w:rsidRPr="006831AF" w:rsidRDefault="005D5B2E" w:rsidP="009757D6">
      <w:pPr>
        <w:pStyle w:val="PolicyHeading2-Accessible"/>
        <w:tabs>
          <w:tab w:val="clear" w:pos="567"/>
          <w:tab w:val="left" w:pos="709"/>
        </w:tabs>
        <w:ind w:left="709" w:hanging="709"/>
        <w:rPr>
          <w:szCs w:val="24"/>
        </w:rPr>
      </w:pPr>
      <w:r w:rsidRPr="006831AF">
        <w:rPr>
          <w:szCs w:val="24"/>
        </w:rPr>
        <w:t>Statement</w:t>
      </w:r>
      <w:r w:rsidR="00B1612F" w:rsidRPr="006831AF">
        <w:rPr>
          <w:szCs w:val="24"/>
        </w:rPr>
        <w:br/>
      </w:r>
    </w:p>
    <w:p w:rsidR="00131D26" w:rsidRPr="006831AF" w:rsidRDefault="005D5B2E" w:rsidP="009757D6">
      <w:pPr>
        <w:pStyle w:val="Policy-BodyText"/>
        <w:tabs>
          <w:tab w:val="clear" w:pos="567"/>
          <w:tab w:val="left" w:pos="709"/>
        </w:tabs>
        <w:ind w:left="709" w:hanging="709"/>
      </w:pPr>
      <w:r w:rsidRPr="006831AF">
        <w:t>This policy sets out the commitment of the ACT Education Directorate</w:t>
      </w:r>
      <w:r w:rsidR="00B1612F" w:rsidRPr="006831AF">
        <w:t xml:space="preserve"> to ensure</w:t>
      </w:r>
      <w:r w:rsidRPr="006831AF">
        <w:t xml:space="preserve"> </w:t>
      </w:r>
      <w:r w:rsidR="00196EBD" w:rsidRPr="006831AF">
        <w:t>the risk</w:t>
      </w:r>
      <w:r w:rsidRPr="006831AF">
        <w:t xml:space="preserve"> of occupational violence to staff</w:t>
      </w:r>
      <w:r w:rsidR="00B1612F" w:rsidRPr="006831AF">
        <w:t xml:space="preserve"> in workplaces</w:t>
      </w:r>
      <w:r w:rsidRPr="006831AF">
        <w:t xml:space="preserve"> is eliminated so far as is reasonably practicable</w:t>
      </w:r>
      <w:r w:rsidR="00B1612F" w:rsidRPr="006831AF">
        <w:t>, to minimise the impact of any exposure and to provide rapid response and appropriate support following any incident.</w:t>
      </w:r>
      <w:r w:rsidR="00131D26" w:rsidRPr="006831AF">
        <w:br/>
      </w:r>
    </w:p>
    <w:p w:rsidR="00B1612F" w:rsidRPr="006831AF" w:rsidRDefault="00196EBD" w:rsidP="009757D6">
      <w:pPr>
        <w:pStyle w:val="Policy-BodyText"/>
        <w:tabs>
          <w:tab w:val="clear" w:pos="567"/>
          <w:tab w:val="left" w:pos="709"/>
        </w:tabs>
        <w:ind w:left="709" w:hanging="709"/>
      </w:pPr>
      <w:r w:rsidRPr="006831AF">
        <w:t>The policy commits the ACT Education Directorate, through all levels of the organisation, to protect staff in the course of their work from exposure to occupational violence risk and to clearly demonstrate that occupational violence is unacceptable.</w:t>
      </w:r>
      <w:r w:rsidRPr="006831AF">
        <w:br/>
      </w:r>
    </w:p>
    <w:p w:rsidR="00B1612F" w:rsidRPr="006831AF" w:rsidRDefault="00B1612F" w:rsidP="009757D6">
      <w:pPr>
        <w:pStyle w:val="PolicyHeading2-Accessible"/>
        <w:tabs>
          <w:tab w:val="clear" w:pos="567"/>
          <w:tab w:val="left" w:pos="709"/>
        </w:tabs>
        <w:ind w:left="709" w:hanging="709"/>
        <w:rPr>
          <w:szCs w:val="24"/>
        </w:rPr>
      </w:pPr>
      <w:r w:rsidRPr="006831AF">
        <w:rPr>
          <w:szCs w:val="24"/>
        </w:rPr>
        <w:t>Purpose</w:t>
      </w:r>
      <w:r w:rsidRPr="006831AF">
        <w:rPr>
          <w:szCs w:val="24"/>
        </w:rPr>
        <w:br/>
      </w:r>
    </w:p>
    <w:p w:rsidR="00A307F0" w:rsidRPr="006831AF" w:rsidRDefault="00B1612F" w:rsidP="009757D6">
      <w:pPr>
        <w:pStyle w:val="Policy-BodyText"/>
        <w:tabs>
          <w:tab w:val="clear" w:pos="567"/>
          <w:tab w:val="left" w:pos="709"/>
        </w:tabs>
        <w:ind w:left="709" w:hanging="709"/>
      </w:pPr>
      <w:r w:rsidRPr="006831AF">
        <w:t>The purpose of the policy is to provide a framework for the management of occupational violence risks across ACT Education Directorate workplaces and to provide the foundation for supporting plans, procedures and other guides.</w:t>
      </w:r>
      <w:r w:rsidR="00B21591" w:rsidRPr="006831AF">
        <w:t xml:space="preserve"> </w:t>
      </w:r>
      <w:r w:rsidR="00A307F0" w:rsidRPr="006831AF">
        <w:br/>
      </w:r>
    </w:p>
    <w:p w:rsidR="0075364F" w:rsidRPr="006831AF" w:rsidRDefault="00A307F0" w:rsidP="008F0F8E">
      <w:pPr>
        <w:pStyle w:val="Policy-BodyText"/>
        <w:tabs>
          <w:tab w:val="clear" w:pos="567"/>
          <w:tab w:val="left" w:pos="709"/>
        </w:tabs>
        <w:ind w:left="709" w:hanging="709"/>
      </w:pPr>
      <w:r w:rsidRPr="006831AF">
        <w:t>In particular, this policy should be read in conjunction with</w:t>
      </w:r>
      <w:r w:rsidR="0075364F" w:rsidRPr="006831AF">
        <w:t>:</w:t>
      </w:r>
    </w:p>
    <w:p w:rsidR="00521524" w:rsidRPr="006831AF" w:rsidRDefault="00A3286F">
      <w:pPr>
        <w:pStyle w:val="Policy-BodyText"/>
        <w:numPr>
          <w:ilvl w:val="0"/>
          <w:numId w:val="21"/>
        </w:numPr>
        <w:tabs>
          <w:tab w:val="left" w:pos="709"/>
        </w:tabs>
      </w:pPr>
      <w:r w:rsidRPr="006831AF">
        <w:rPr>
          <w:i/>
        </w:rPr>
        <w:t xml:space="preserve">The ACT Public Sector Managing Occupational Violence Policy 2012. </w:t>
      </w:r>
      <w:r w:rsidRPr="006831AF">
        <w:t>This policy outlines the requirement for all Directorates to have an Occupational Violence</w:t>
      </w:r>
      <w:r w:rsidR="00124674" w:rsidRPr="006831AF">
        <w:t xml:space="preserve"> Management</w:t>
      </w:r>
      <w:r w:rsidRPr="006831AF">
        <w:t xml:space="preserve"> Plan to manage this risk.</w:t>
      </w:r>
    </w:p>
    <w:p w:rsidR="00521524" w:rsidRPr="006831AF" w:rsidRDefault="0075364F" w:rsidP="009757D6">
      <w:pPr>
        <w:pStyle w:val="Policy-BodyText"/>
        <w:numPr>
          <w:ilvl w:val="0"/>
          <w:numId w:val="21"/>
        </w:numPr>
        <w:tabs>
          <w:tab w:val="left" w:pos="709"/>
        </w:tabs>
      </w:pPr>
      <w:r w:rsidRPr="006831AF">
        <w:t>T</w:t>
      </w:r>
      <w:r w:rsidR="00A307F0" w:rsidRPr="006831AF">
        <w:t xml:space="preserve">he Directorate </w:t>
      </w:r>
      <w:r w:rsidR="00A307F0" w:rsidRPr="006831AF">
        <w:rPr>
          <w:i/>
        </w:rPr>
        <w:t>Occupational Violence Management Plan</w:t>
      </w:r>
      <w:r w:rsidR="00E91C4A" w:rsidRPr="006831AF">
        <w:rPr>
          <w:i/>
        </w:rPr>
        <w:t xml:space="preserve"> </w:t>
      </w:r>
      <w:r w:rsidR="00A3286F" w:rsidRPr="006831AF">
        <w:t>(Plan). This Plan</w:t>
      </w:r>
      <w:r w:rsidR="00A307F0" w:rsidRPr="006831AF">
        <w:t xml:space="preserve"> outline</w:t>
      </w:r>
      <w:r w:rsidR="00004181" w:rsidRPr="006831AF">
        <w:t>s</w:t>
      </w:r>
      <w:r w:rsidR="00A307F0" w:rsidRPr="006831AF">
        <w:t xml:space="preserve"> procedures</w:t>
      </w:r>
      <w:r w:rsidR="00E91C4A" w:rsidRPr="006831AF">
        <w:t xml:space="preserve">, </w:t>
      </w:r>
      <w:r w:rsidR="00A307F0" w:rsidRPr="006831AF">
        <w:t>strategies and provide</w:t>
      </w:r>
      <w:r w:rsidR="00004181" w:rsidRPr="006831AF">
        <w:t>s</w:t>
      </w:r>
      <w:r w:rsidR="00A307F0" w:rsidRPr="006831AF">
        <w:t xml:space="preserve"> tools for schools to manage occupational violence in the workplace.</w:t>
      </w:r>
      <w:r w:rsidR="00AB74A8" w:rsidRPr="006831AF">
        <w:br/>
      </w:r>
    </w:p>
    <w:p w:rsidR="005C44BD" w:rsidRPr="006831AF" w:rsidRDefault="0051790B" w:rsidP="009757D6">
      <w:pPr>
        <w:pStyle w:val="PolicyHeading2-Accessible"/>
        <w:tabs>
          <w:tab w:val="clear" w:pos="567"/>
          <w:tab w:val="left" w:pos="709"/>
        </w:tabs>
        <w:ind w:left="709" w:hanging="709"/>
        <w:rPr>
          <w:szCs w:val="24"/>
        </w:rPr>
      </w:pPr>
      <w:r w:rsidRPr="006831AF">
        <w:rPr>
          <w:szCs w:val="24"/>
        </w:rPr>
        <w:t>Definition</w:t>
      </w:r>
      <w:r w:rsidR="006A7F8C" w:rsidRPr="006831AF">
        <w:rPr>
          <w:szCs w:val="24"/>
        </w:rPr>
        <w:br/>
      </w:r>
    </w:p>
    <w:p w:rsidR="0051790B" w:rsidRPr="006831AF" w:rsidRDefault="0051790B" w:rsidP="009757D6">
      <w:pPr>
        <w:pStyle w:val="Policy-BodyText"/>
        <w:tabs>
          <w:tab w:val="clear" w:pos="567"/>
          <w:tab w:val="left" w:pos="709"/>
        </w:tabs>
        <w:ind w:left="709" w:hanging="709"/>
        <w:rPr>
          <w:b/>
        </w:rPr>
      </w:pPr>
      <w:r w:rsidRPr="006831AF">
        <w:t>Occupational violence (also referred to as ‘workplace violence’) is defined as ‘any action, incident or behaviour that departs from reasonable conduct in which a person is assaulted, threatened, harmed, injured in the course of, or as a direct result of, his or her work.’</w:t>
      </w:r>
      <w:r w:rsidR="003E3013" w:rsidRPr="006831AF">
        <w:rPr>
          <w:rStyle w:val="FootnoteReference"/>
          <w:rFonts w:eastAsia="Calibri" w:cs="Arial"/>
        </w:rPr>
        <w:footnoteReference w:id="1"/>
      </w:r>
      <w:r w:rsidR="006A7F8C" w:rsidRPr="006831AF">
        <w:br/>
      </w:r>
    </w:p>
    <w:p w:rsidR="0051790B" w:rsidRPr="006831AF" w:rsidRDefault="0051790B" w:rsidP="009757D6">
      <w:pPr>
        <w:pStyle w:val="Policy-BodyText"/>
        <w:tabs>
          <w:tab w:val="clear" w:pos="567"/>
          <w:tab w:val="left" w:pos="709"/>
        </w:tabs>
        <w:ind w:left="709" w:hanging="709"/>
      </w:pPr>
      <w:r w:rsidRPr="006831AF">
        <w:t>Occupational violence may include personal intimidation, verbal abuse, physical assault</w:t>
      </w:r>
      <w:r w:rsidR="00AB42CE" w:rsidRPr="006831AF">
        <w:t>,</w:t>
      </w:r>
      <w:r w:rsidRPr="006831AF">
        <w:t xml:space="preserve"> sexual harassment, </w:t>
      </w:r>
      <w:proofErr w:type="gramStart"/>
      <w:r w:rsidRPr="006831AF">
        <w:t>threatening</w:t>
      </w:r>
      <w:proofErr w:type="gramEnd"/>
      <w:r w:rsidRPr="006831AF">
        <w:t xml:space="preserve"> behaviour, abuse through technology (text, emails,</w:t>
      </w:r>
      <w:r w:rsidR="006E670C" w:rsidRPr="006831AF">
        <w:t xml:space="preserve"> social media</w:t>
      </w:r>
      <w:r w:rsidRPr="006831AF">
        <w:t xml:space="preserve"> and phone calls), making vexatious complaints, and making derogatory, slanderous or threatening statements to or about another person.</w:t>
      </w:r>
      <w:r w:rsidR="00611B4A" w:rsidRPr="006831AF">
        <w:t xml:space="preserve"> </w:t>
      </w:r>
      <w:r w:rsidR="00A3286F" w:rsidRPr="006831AF">
        <w:br/>
      </w:r>
    </w:p>
    <w:p w:rsidR="00A307F0" w:rsidRPr="006831AF" w:rsidRDefault="00A307F0" w:rsidP="009757D6">
      <w:pPr>
        <w:pStyle w:val="PolicyHeading2-Accessible"/>
        <w:tabs>
          <w:tab w:val="clear" w:pos="567"/>
          <w:tab w:val="left" w:pos="709"/>
        </w:tabs>
        <w:ind w:left="709" w:hanging="709"/>
        <w:rPr>
          <w:szCs w:val="24"/>
        </w:rPr>
      </w:pPr>
      <w:r w:rsidRPr="006831AF">
        <w:rPr>
          <w:szCs w:val="24"/>
        </w:rPr>
        <w:lastRenderedPageBreak/>
        <w:t>Scope</w:t>
      </w:r>
    </w:p>
    <w:p w:rsidR="00A307F0" w:rsidRPr="006831AF" w:rsidRDefault="00A307F0" w:rsidP="009757D6">
      <w:pPr>
        <w:pStyle w:val="Policy-BodyText"/>
        <w:numPr>
          <w:ilvl w:val="0"/>
          <w:numId w:val="0"/>
        </w:numPr>
        <w:tabs>
          <w:tab w:val="left" w:pos="709"/>
        </w:tabs>
        <w:ind w:left="709" w:hanging="709"/>
      </w:pPr>
    </w:p>
    <w:p w:rsidR="00FD51B5" w:rsidRPr="006831AF" w:rsidRDefault="00A307F0" w:rsidP="009757D6">
      <w:pPr>
        <w:pStyle w:val="Policy-BodyText"/>
        <w:tabs>
          <w:tab w:val="clear" w:pos="567"/>
          <w:tab w:val="left" w:pos="709"/>
        </w:tabs>
        <w:ind w:left="709" w:hanging="709"/>
      </w:pPr>
      <w:r w:rsidRPr="006831AF">
        <w:t>This policy applies to all ACT Education Directorate Workplaces</w:t>
      </w:r>
      <w:r w:rsidR="00124674" w:rsidRPr="006831AF">
        <w:t>,</w:t>
      </w:r>
      <w:r w:rsidRPr="006831AF">
        <w:t xml:space="preserve"> any person considered to be a staff member or ‘worker’ for the ACT Education Directorate pursuant to section 7 of the </w:t>
      </w:r>
      <w:r w:rsidRPr="006831AF">
        <w:rPr>
          <w:i/>
        </w:rPr>
        <w:t>Work Health and Safety Act 2011</w:t>
      </w:r>
      <w:r w:rsidR="0070176E" w:rsidRPr="006831AF">
        <w:t xml:space="preserve"> </w:t>
      </w:r>
      <w:r w:rsidR="00124674" w:rsidRPr="006831AF">
        <w:t xml:space="preserve">(ACT) </w:t>
      </w:r>
      <w:r w:rsidRPr="006831AF">
        <w:t>(the WHS Act) and others.</w:t>
      </w:r>
      <w:r w:rsidR="00FD51B5" w:rsidRPr="006831AF">
        <w:br/>
      </w:r>
    </w:p>
    <w:p w:rsidR="00A307F0" w:rsidRPr="006831AF" w:rsidRDefault="00FD51B5" w:rsidP="009757D6">
      <w:pPr>
        <w:pStyle w:val="Policy-BodyText"/>
        <w:tabs>
          <w:tab w:val="clear" w:pos="567"/>
          <w:tab w:val="left" w:pos="709"/>
        </w:tabs>
        <w:ind w:left="709" w:hanging="709"/>
      </w:pPr>
      <w:r w:rsidRPr="006831AF">
        <w:t>The workplace can include settings such as school excursions, areas beyond the work location and activities outside of school hours.</w:t>
      </w:r>
      <w:r w:rsidR="00A307F0" w:rsidRPr="006831AF">
        <w:br/>
      </w:r>
    </w:p>
    <w:p w:rsidR="00BD00C1" w:rsidRPr="006831AF" w:rsidRDefault="0051790B" w:rsidP="009757D6">
      <w:pPr>
        <w:pStyle w:val="Policy-BodyText"/>
        <w:tabs>
          <w:tab w:val="clear" w:pos="567"/>
          <w:tab w:val="left" w:pos="709"/>
        </w:tabs>
        <w:ind w:left="709" w:hanging="709"/>
      </w:pPr>
      <w:r w:rsidRPr="006831AF">
        <w:t xml:space="preserve">Occupational violence is not limited to </w:t>
      </w:r>
      <w:r w:rsidR="00AB42CE" w:rsidRPr="006831AF">
        <w:t>incidents which occur within a workplace,</w:t>
      </w:r>
      <w:r w:rsidR="00860862" w:rsidRPr="006831AF">
        <w:t xml:space="preserve"> </w:t>
      </w:r>
      <w:r w:rsidRPr="006831AF">
        <w:t>but</w:t>
      </w:r>
      <w:r w:rsidR="00860862" w:rsidRPr="006831AF">
        <w:t xml:space="preserve"> also those that are a </w:t>
      </w:r>
      <w:r w:rsidRPr="006831AF">
        <w:t xml:space="preserve">result of work. </w:t>
      </w:r>
    </w:p>
    <w:p w:rsidR="00BD00C1" w:rsidRPr="006831AF" w:rsidRDefault="00BD00C1" w:rsidP="008F0F8E">
      <w:pPr>
        <w:pStyle w:val="Policy-BodyText"/>
        <w:numPr>
          <w:ilvl w:val="0"/>
          <w:numId w:val="0"/>
        </w:numPr>
        <w:tabs>
          <w:tab w:val="left" w:pos="709"/>
        </w:tabs>
        <w:ind w:left="709" w:hanging="709"/>
      </w:pPr>
    </w:p>
    <w:p w:rsidR="00BD00C1" w:rsidRPr="006831AF" w:rsidRDefault="003804FC" w:rsidP="008F0F8E">
      <w:pPr>
        <w:pStyle w:val="Policy-BodyText"/>
        <w:tabs>
          <w:tab w:val="clear" w:pos="567"/>
          <w:tab w:val="left" w:pos="709"/>
        </w:tabs>
        <w:ind w:left="709" w:hanging="709"/>
      </w:pPr>
      <w:r w:rsidRPr="006831AF">
        <w:t xml:space="preserve">This policy concerns occupational violence between a worker and a client or person other than a worker. The </w:t>
      </w:r>
      <w:r w:rsidR="00A3286F" w:rsidRPr="006831AF">
        <w:rPr>
          <w:i/>
        </w:rPr>
        <w:t>Respect at Work Policy</w:t>
      </w:r>
      <w:r w:rsidRPr="006831AF">
        <w:t xml:space="preserve"> and </w:t>
      </w:r>
      <w:r w:rsidR="00A3286F" w:rsidRPr="006831AF">
        <w:rPr>
          <w:i/>
        </w:rPr>
        <w:t>Preventing Work Bullying Guidelines</w:t>
      </w:r>
      <w:r w:rsidRPr="006831AF">
        <w:t xml:space="preserve"> deal with issues between staff in the workplace.</w:t>
      </w:r>
    </w:p>
    <w:p w:rsidR="00BD00C1" w:rsidRPr="006831AF" w:rsidRDefault="00BD00C1" w:rsidP="008F0F8E">
      <w:pPr>
        <w:pStyle w:val="Policy-BodyText"/>
        <w:numPr>
          <w:ilvl w:val="0"/>
          <w:numId w:val="0"/>
        </w:numPr>
        <w:tabs>
          <w:tab w:val="left" w:pos="709"/>
        </w:tabs>
        <w:ind w:left="709" w:hanging="709"/>
      </w:pPr>
    </w:p>
    <w:p w:rsidR="00BD00C1" w:rsidRPr="006831AF" w:rsidRDefault="000F44E5" w:rsidP="008F0F8E">
      <w:pPr>
        <w:pStyle w:val="Policy-BodyText"/>
        <w:tabs>
          <w:tab w:val="clear" w:pos="567"/>
          <w:tab w:val="left" w:pos="709"/>
        </w:tabs>
        <w:ind w:left="709" w:hanging="709"/>
      </w:pPr>
      <w:r w:rsidRPr="006831AF">
        <w:t>The actions and behaviours of students,</w:t>
      </w:r>
      <w:r w:rsidR="0075364F" w:rsidRPr="006831AF">
        <w:t xml:space="preserve"> </w:t>
      </w:r>
      <w:r w:rsidRPr="006831AF">
        <w:t>visitors</w:t>
      </w:r>
      <w:r w:rsidR="003B5DB2" w:rsidRPr="006831AF">
        <w:t xml:space="preserve">, </w:t>
      </w:r>
      <w:r w:rsidRPr="006831AF">
        <w:t xml:space="preserve">parents </w:t>
      </w:r>
      <w:r w:rsidR="003B5DB2" w:rsidRPr="006831AF">
        <w:t xml:space="preserve">and others (as defined) </w:t>
      </w:r>
      <w:r w:rsidRPr="006831AF">
        <w:t>in so far as they create an occupational violence risk are pertinent to the scope of the policy.</w:t>
      </w:r>
    </w:p>
    <w:p w:rsidR="00BD00C1" w:rsidRPr="006831AF" w:rsidRDefault="00BD00C1" w:rsidP="009757D6">
      <w:pPr>
        <w:pStyle w:val="Policy-BodyText"/>
        <w:numPr>
          <w:ilvl w:val="0"/>
          <w:numId w:val="0"/>
        </w:numPr>
        <w:tabs>
          <w:tab w:val="left" w:pos="709"/>
        </w:tabs>
        <w:ind w:left="709" w:hanging="709"/>
      </w:pPr>
    </w:p>
    <w:p w:rsidR="007247D7" w:rsidRPr="006831AF" w:rsidRDefault="00FD51B5" w:rsidP="009757D6">
      <w:pPr>
        <w:pStyle w:val="PolicyHeading2-Accessible"/>
        <w:tabs>
          <w:tab w:val="clear" w:pos="567"/>
          <w:tab w:val="left" w:pos="709"/>
        </w:tabs>
        <w:ind w:left="709" w:hanging="709"/>
        <w:rPr>
          <w:szCs w:val="24"/>
        </w:rPr>
      </w:pPr>
      <w:r w:rsidRPr="006831AF">
        <w:rPr>
          <w:rFonts w:eastAsiaTheme="minorEastAsia"/>
          <w:szCs w:val="24"/>
        </w:rPr>
        <w:t>Context</w:t>
      </w:r>
      <w:r w:rsidR="007247D7" w:rsidRPr="006831AF">
        <w:rPr>
          <w:rFonts w:eastAsiaTheme="minorEastAsia"/>
          <w:szCs w:val="24"/>
        </w:rPr>
        <w:br/>
      </w:r>
    </w:p>
    <w:p w:rsidR="004F5088" w:rsidRPr="006831AF" w:rsidRDefault="000F44E5" w:rsidP="009757D6">
      <w:pPr>
        <w:pStyle w:val="Policy-BodyText"/>
        <w:tabs>
          <w:tab w:val="clear" w:pos="567"/>
          <w:tab w:val="left" w:pos="709"/>
        </w:tabs>
        <w:ind w:left="709" w:hanging="709"/>
      </w:pPr>
      <w:r w:rsidRPr="006831AF">
        <w:t>Greater exposure of human service</w:t>
      </w:r>
      <w:r w:rsidR="00855AF4" w:rsidRPr="006831AF">
        <w:t>s</w:t>
      </w:r>
      <w:r w:rsidRPr="006831AF">
        <w:t xml:space="preserve"> professions such as </w:t>
      </w:r>
      <w:r w:rsidR="00855AF4" w:rsidRPr="006831AF">
        <w:t>education</w:t>
      </w:r>
      <w:r w:rsidRPr="006831AF">
        <w:t xml:space="preserve"> to occupational violence has been documented in recent years.</w:t>
      </w:r>
      <w:r w:rsidR="007247D7" w:rsidRPr="006831AF">
        <w:t xml:space="preserve"> The results of surveys in the ACT and elsewhere in Australia has shown an increasing frequency of occupational violence incidents. This information is considered to underestimate the level of exposure as these surveys have also shown a lack of awareness of reporting obligations and in some areas a culture of acceptance of occupational violence.</w:t>
      </w:r>
    </w:p>
    <w:p w:rsidR="00BD00C1" w:rsidRPr="006831AF" w:rsidRDefault="00BD00C1" w:rsidP="008F0F8E">
      <w:pPr>
        <w:pStyle w:val="Policy-BodyText"/>
        <w:numPr>
          <w:ilvl w:val="0"/>
          <w:numId w:val="0"/>
        </w:numPr>
        <w:tabs>
          <w:tab w:val="left" w:pos="709"/>
        </w:tabs>
        <w:ind w:left="709" w:hanging="709"/>
      </w:pPr>
    </w:p>
    <w:p w:rsidR="00107F35" w:rsidRPr="006831AF" w:rsidRDefault="007A0301" w:rsidP="009757D6">
      <w:pPr>
        <w:pStyle w:val="Policy-BodyText"/>
        <w:tabs>
          <w:tab w:val="clear" w:pos="567"/>
          <w:tab w:val="left" w:pos="709"/>
        </w:tabs>
        <w:ind w:left="709" w:hanging="709"/>
      </w:pPr>
      <w:r w:rsidRPr="006831AF">
        <w:t>This policy has been initiated in response to both the increasing levels of occupational violence and to the need to unambiguously demonstrate that occupational violence is a serious and complex matter requiring a measured and consist</w:t>
      </w:r>
      <w:r w:rsidR="00AB42CE" w:rsidRPr="006831AF">
        <w:t>ent response across the system.</w:t>
      </w:r>
    </w:p>
    <w:p w:rsidR="00AB42CE" w:rsidRPr="006831AF" w:rsidRDefault="00AB42CE" w:rsidP="00AB42CE">
      <w:pPr>
        <w:pStyle w:val="ListParagraph"/>
      </w:pPr>
    </w:p>
    <w:p w:rsidR="009757D6" w:rsidRPr="006831AF" w:rsidRDefault="009757D6" w:rsidP="009757D6">
      <w:pPr>
        <w:pStyle w:val="Policy-BodyText"/>
        <w:tabs>
          <w:tab w:val="clear" w:pos="567"/>
          <w:tab w:val="left" w:pos="709"/>
        </w:tabs>
        <w:ind w:left="709" w:hanging="709"/>
      </w:pPr>
      <w:r w:rsidRPr="006831AF">
        <w:t>Responses to occupational violence must be evidence-based, positive and preventive and consistent with the commitment of the ACT Government and that:</w:t>
      </w:r>
    </w:p>
    <w:p w:rsidR="009757D6" w:rsidRPr="006831AF" w:rsidRDefault="009757D6" w:rsidP="009757D6">
      <w:pPr>
        <w:pStyle w:val="Policy-BodyText"/>
        <w:numPr>
          <w:ilvl w:val="0"/>
          <w:numId w:val="0"/>
        </w:numPr>
        <w:tabs>
          <w:tab w:val="left" w:pos="709"/>
        </w:tabs>
        <w:ind w:left="709" w:hanging="709"/>
      </w:pPr>
    </w:p>
    <w:p w:rsidR="009757D6" w:rsidRPr="006831AF" w:rsidRDefault="009757D6" w:rsidP="009757D6">
      <w:pPr>
        <w:pStyle w:val="Policy-BodyText"/>
        <w:numPr>
          <w:ilvl w:val="0"/>
          <w:numId w:val="0"/>
        </w:numPr>
        <w:tabs>
          <w:tab w:val="left" w:pos="709"/>
        </w:tabs>
        <w:ind w:left="709"/>
      </w:pPr>
      <w:r w:rsidRPr="006831AF">
        <w:t xml:space="preserve">‘issues posed by students with complex needs and challenging behaviour </w:t>
      </w:r>
      <w:r w:rsidRPr="006831AF">
        <w:rPr>
          <w:rFonts w:cs="Calibri"/>
        </w:rPr>
        <w:t xml:space="preserve">should not be </w:t>
      </w:r>
      <w:proofErr w:type="spellStart"/>
      <w:r w:rsidRPr="006831AF">
        <w:rPr>
          <w:rFonts w:cs="Calibri"/>
        </w:rPr>
        <w:t>problematised</w:t>
      </w:r>
      <w:proofErr w:type="spellEnd"/>
      <w:r w:rsidRPr="006831AF">
        <w:rPr>
          <w:rFonts w:cs="Calibri"/>
        </w:rPr>
        <w:t>, but instead seen as an opportunity, invitation and challenge to further exemplify the inclusive vision of the ACT and its schools.’</w:t>
      </w:r>
      <w:r w:rsidRPr="006831AF">
        <w:rPr>
          <w:rStyle w:val="FootnoteReference"/>
          <w:rFonts w:cs="Calibri"/>
        </w:rPr>
        <w:footnoteReference w:id="2"/>
      </w:r>
      <w:r w:rsidR="003366FD">
        <w:rPr>
          <w:rFonts w:cs="Calibri"/>
        </w:rPr>
        <w:t xml:space="preserve"> </w:t>
      </w:r>
    </w:p>
    <w:p w:rsidR="00107F35" w:rsidRPr="006831AF" w:rsidRDefault="000A4279" w:rsidP="009757D6">
      <w:pPr>
        <w:pStyle w:val="Policy-BodyText"/>
        <w:numPr>
          <w:ilvl w:val="0"/>
          <w:numId w:val="0"/>
        </w:numPr>
        <w:tabs>
          <w:tab w:val="left" w:pos="709"/>
        </w:tabs>
        <w:ind w:left="709" w:hanging="709"/>
      </w:pPr>
      <w:r>
        <w:br w:type="column"/>
      </w:r>
    </w:p>
    <w:p w:rsidR="007A0301" w:rsidRPr="006831AF" w:rsidRDefault="007A0301" w:rsidP="004A283D">
      <w:pPr>
        <w:pStyle w:val="PolicyHeading2-Accessible"/>
        <w:tabs>
          <w:tab w:val="clear" w:pos="567"/>
          <w:tab w:val="left" w:pos="709"/>
        </w:tabs>
        <w:ind w:left="709" w:hanging="709"/>
        <w:rPr>
          <w:bCs w:val="0"/>
          <w:szCs w:val="24"/>
        </w:rPr>
      </w:pPr>
      <w:r w:rsidRPr="006831AF">
        <w:rPr>
          <w:szCs w:val="24"/>
        </w:rPr>
        <w:t>Legislation</w:t>
      </w:r>
      <w:r w:rsidR="00767414" w:rsidRPr="006831AF">
        <w:rPr>
          <w:szCs w:val="24"/>
        </w:rPr>
        <w:br/>
      </w:r>
    </w:p>
    <w:p w:rsidR="00984083" w:rsidRPr="006831AF" w:rsidRDefault="00767414" w:rsidP="009757D6">
      <w:pPr>
        <w:pStyle w:val="Policy-BodyText"/>
        <w:tabs>
          <w:tab w:val="clear" w:pos="567"/>
          <w:tab w:val="left" w:pos="709"/>
        </w:tabs>
        <w:ind w:left="709" w:hanging="709"/>
      </w:pPr>
      <w:r w:rsidRPr="006831AF">
        <w:t xml:space="preserve">The primary legislative reference is the </w:t>
      </w:r>
      <w:r w:rsidR="00124674" w:rsidRPr="006831AF">
        <w:t>WHS Act</w:t>
      </w:r>
      <w:r w:rsidRPr="006831AF">
        <w:t xml:space="preserve"> which sets out the duties and obli</w:t>
      </w:r>
      <w:r w:rsidR="00984083" w:rsidRPr="006831AF">
        <w:t>gations relevant to managing occupational violence risks</w:t>
      </w:r>
      <w:r w:rsidRPr="006831AF">
        <w:t xml:space="preserve">. </w:t>
      </w:r>
      <w:r w:rsidR="00984083" w:rsidRPr="006831AF">
        <w:br/>
      </w:r>
    </w:p>
    <w:p w:rsidR="00BD00C1" w:rsidRPr="006831AF" w:rsidRDefault="00984083" w:rsidP="009757D6">
      <w:pPr>
        <w:pStyle w:val="Policy-BodyText"/>
        <w:tabs>
          <w:tab w:val="clear" w:pos="567"/>
          <w:tab w:val="left" w:pos="709"/>
        </w:tabs>
        <w:ind w:left="709" w:hanging="709"/>
      </w:pPr>
      <w:r w:rsidRPr="006831AF">
        <w:t>The ACT Education Directorate ha</w:t>
      </w:r>
      <w:r w:rsidR="006A786A" w:rsidRPr="006831AF">
        <w:t>s</w:t>
      </w:r>
      <w:r w:rsidRPr="006831AF">
        <w:t xml:space="preserve"> a legal responsibility under the </w:t>
      </w:r>
      <w:r w:rsidR="00124674" w:rsidRPr="006831AF">
        <w:t>WHS Act</w:t>
      </w:r>
      <w:r w:rsidRPr="006831AF">
        <w:t xml:space="preserve"> to provide a workplace for staff that is safe and healthy. The WHS Act requires EDU to either eliminate risk to worker health and safety so far as is reasonably practicable</w:t>
      </w:r>
      <w:r w:rsidR="006A786A" w:rsidRPr="006831AF">
        <w:t xml:space="preserve"> or</w:t>
      </w:r>
      <w:r w:rsidRPr="006831AF">
        <w:t xml:space="preserve"> if it is not possible to eliminate the risk</w:t>
      </w:r>
      <w:r w:rsidR="006A786A" w:rsidRPr="006831AF">
        <w:t>,</w:t>
      </w:r>
      <w:r w:rsidRPr="006831AF">
        <w:t xml:space="preserve"> then to minimise the risk so f</w:t>
      </w:r>
      <w:r w:rsidR="00CD51FA" w:rsidRPr="006831AF">
        <w:t>ar as is reasonably practicable</w:t>
      </w:r>
      <w:r w:rsidR="0070176E" w:rsidRPr="006831AF">
        <w:t>.</w:t>
      </w:r>
      <w:r w:rsidR="006A786A" w:rsidRPr="006831AF">
        <w:t xml:space="preserve"> </w:t>
      </w:r>
    </w:p>
    <w:p w:rsidR="00BD00C1" w:rsidRPr="006831AF" w:rsidRDefault="00BD00C1" w:rsidP="009757D6">
      <w:pPr>
        <w:pStyle w:val="Policy-BodyText"/>
        <w:numPr>
          <w:ilvl w:val="0"/>
          <w:numId w:val="0"/>
        </w:numPr>
        <w:tabs>
          <w:tab w:val="left" w:pos="709"/>
        </w:tabs>
        <w:ind w:left="709" w:hanging="709"/>
      </w:pPr>
    </w:p>
    <w:p w:rsidR="007A0301" w:rsidRPr="006831AF" w:rsidRDefault="0064382D" w:rsidP="009757D6">
      <w:pPr>
        <w:pStyle w:val="Policy-BodyText"/>
        <w:tabs>
          <w:tab w:val="clear" w:pos="567"/>
          <w:tab w:val="left" w:pos="709"/>
        </w:tabs>
        <w:ind w:left="709" w:hanging="709"/>
        <w:rPr>
          <w:i/>
        </w:rPr>
      </w:pPr>
      <w:r w:rsidRPr="006831AF">
        <w:t>There is adjacent legislation that is relevant to occupational violence and includes</w:t>
      </w:r>
      <w:r w:rsidR="00A21E75" w:rsidRPr="006831AF">
        <w:t>:</w:t>
      </w:r>
      <w:r w:rsidR="00072AEA" w:rsidRPr="006831AF">
        <w:br/>
      </w:r>
    </w:p>
    <w:p w:rsidR="00521524" w:rsidRPr="006831AF" w:rsidRDefault="005751FC" w:rsidP="009757D6">
      <w:pPr>
        <w:pStyle w:val="Policy-BodyText"/>
        <w:numPr>
          <w:ilvl w:val="0"/>
          <w:numId w:val="20"/>
        </w:numPr>
        <w:tabs>
          <w:tab w:val="left" w:pos="709"/>
        </w:tabs>
        <w:rPr>
          <w:i/>
        </w:rPr>
      </w:pPr>
      <w:hyperlink r:id="rId12" w:history="1">
        <w:r w:rsidR="003E3013" w:rsidRPr="006831AF">
          <w:rPr>
            <w:i/>
          </w:rPr>
          <w:t>Public Sector Management Act 1994</w:t>
        </w:r>
      </w:hyperlink>
      <w:r w:rsidR="00124674" w:rsidRPr="006831AF">
        <w:rPr>
          <w:i/>
        </w:rPr>
        <w:t xml:space="preserve"> </w:t>
      </w:r>
      <w:r w:rsidR="00124674" w:rsidRPr="006831AF">
        <w:t>(ACT)</w:t>
      </w:r>
    </w:p>
    <w:p w:rsidR="00521524" w:rsidRPr="006831AF" w:rsidRDefault="005751FC" w:rsidP="009757D6">
      <w:pPr>
        <w:pStyle w:val="Policy-BodyText"/>
        <w:numPr>
          <w:ilvl w:val="0"/>
          <w:numId w:val="20"/>
        </w:numPr>
        <w:tabs>
          <w:tab w:val="left" w:pos="709"/>
        </w:tabs>
        <w:rPr>
          <w:i/>
        </w:rPr>
      </w:pPr>
      <w:hyperlink r:id="rId13" w:history="1">
        <w:r w:rsidR="003E3013" w:rsidRPr="006831AF">
          <w:rPr>
            <w:i/>
          </w:rPr>
          <w:t>Education Act 2004</w:t>
        </w:r>
      </w:hyperlink>
      <w:r w:rsidR="003E3013" w:rsidRPr="006831AF">
        <w:rPr>
          <w:i/>
        </w:rPr>
        <w:t xml:space="preserve"> </w:t>
      </w:r>
      <w:r w:rsidR="00124674" w:rsidRPr="006831AF">
        <w:t>(ACT)</w:t>
      </w:r>
    </w:p>
    <w:p w:rsidR="00521524" w:rsidRPr="006831AF" w:rsidRDefault="005751FC" w:rsidP="009757D6">
      <w:pPr>
        <w:pStyle w:val="Policy-BodyText"/>
        <w:numPr>
          <w:ilvl w:val="0"/>
          <w:numId w:val="20"/>
        </w:numPr>
        <w:tabs>
          <w:tab w:val="left" w:pos="709"/>
        </w:tabs>
        <w:rPr>
          <w:i/>
        </w:rPr>
      </w:pPr>
      <w:hyperlink r:id="rId14" w:history="1">
        <w:r w:rsidR="003E3013" w:rsidRPr="006831AF">
          <w:rPr>
            <w:i/>
          </w:rPr>
          <w:t>Human Rights Act 2004</w:t>
        </w:r>
      </w:hyperlink>
      <w:r w:rsidR="00124674" w:rsidRPr="006831AF">
        <w:rPr>
          <w:i/>
        </w:rPr>
        <w:t xml:space="preserve"> </w:t>
      </w:r>
      <w:r w:rsidR="00124674" w:rsidRPr="006831AF">
        <w:t>(ACT)</w:t>
      </w:r>
    </w:p>
    <w:p w:rsidR="00521524" w:rsidRPr="006831AF" w:rsidRDefault="005751FC" w:rsidP="009757D6">
      <w:pPr>
        <w:pStyle w:val="Policy-BodyText"/>
        <w:numPr>
          <w:ilvl w:val="0"/>
          <w:numId w:val="20"/>
        </w:numPr>
        <w:tabs>
          <w:tab w:val="left" w:pos="709"/>
        </w:tabs>
        <w:rPr>
          <w:i/>
        </w:rPr>
      </w:pPr>
      <w:hyperlink r:id="rId15" w:history="1">
        <w:r w:rsidR="003E3013" w:rsidRPr="006831AF">
          <w:rPr>
            <w:i/>
          </w:rPr>
          <w:t>Crimes Act 1900</w:t>
        </w:r>
      </w:hyperlink>
      <w:r w:rsidR="00124674" w:rsidRPr="006831AF">
        <w:rPr>
          <w:i/>
        </w:rPr>
        <w:t xml:space="preserve"> </w:t>
      </w:r>
      <w:r w:rsidR="00124674" w:rsidRPr="006831AF">
        <w:t>(ACT)</w:t>
      </w:r>
    </w:p>
    <w:p w:rsidR="00521524" w:rsidRPr="006831AF" w:rsidRDefault="00A16717" w:rsidP="009757D6">
      <w:pPr>
        <w:pStyle w:val="Policy-BodyText"/>
        <w:numPr>
          <w:ilvl w:val="0"/>
          <w:numId w:val="20"/>
        </w:numPr>
        <w:tabs>
          <w:tab w:val="left" w:pos="709"/>
        </w:tabs>
        <w:rPr>
          <w:i/>
        </w:rPr>
      </w:pPr>
      <w:r w:rsidRPr="006831AF">
        <w:rPr>
          <w:i/>
        </w:rPr>
        <w:t>Discrimination Act 1991</w:t>
      </w:r>
      <w:r w:rsidR="00124674" w:rsidRPr="006831AF">
        <w:rPr>
          <w:i/>
        </w:rPr>
        <w:t xml:space="preserve"> </w:t>
      </w:r>
      <w:r w:rsidRPr="006831AF">
        <w:t>(ACT)</w:t>
      </w:r>
    </w:p>
    <w:p w:rsidR="00521524" w:rsidRPr="006831AF" w:rsidRDefault="00A16717" w:rsidP="009757D6">
      <w:pPr>
        <w:pStyle w:val="Policy-BodyText"/>
        <w:numPr>
          <w:ilvl w:val="0"/>
          <w:numId w:val="20"/>
        </w:numPr>
        <w:tabs>
          <w:tab w:val="left" w:pos="709"/>
        </w:tabs>
        <w:rPr>
          <w:i/>
        </w:rPr>
      </w:pPr>
      <w:r w:rsidRPr="006831AF">
        <w:rPr>
          <w:i/>
        </w:rPr>
        <w:t>Disability Discrimination Act 199</w:t>
      </w:r>
      <w:r w:rsidR="00124674" w:rsidRPr="006831AF">
        <w:rPr>
          <w:i/>
        </w:rPr>
        <w:t xml:space="preserve">2 </w:t>
      </w:r>
      <w:r w:rsidRPr="006831AF">
        <w:t>(</w:t>
      </w:r>
      <w:proofErr w:type="spellStart"/>
      <w:r w:rsidRPr="006831AF">
        <w:t>Cth</w:t>
      </w:r>
      <w:proofErr w:type="spellEnd"/>
      <w:r w:rsidRPr="006831AF">
        <w:t>)</w:t>
      </w:r>
    </w:p>
    <w:p w:rsidR="00521524" w:rsidRPr="006831AF" w:rsidRDefault="00A16717" w:rsidP="009757D6">
      <w:pPr>
        <w:pStyle w:val="Policy-BodyText"/>
        <w:numPr>
          <w:ilvl w:val="0"/>
          <w:numId w:val="20"/>
        </w:numPr>
        <w:tabs>
          <w:tab w:val="left" w:pos="709"/>
        </w:tabs>
        <w:rPr>
          <w:i/>
        </w:rPr>
      </w:pPr>
      <w:r w:rsidRPr="006831AF">
        <w:rPr>
          <w:i/>
        </w:rPr>
        <w:t>Disability Standards for Education 2005</w:t>
      </w:r>
      <w:r w:rsidR="00124674" w:rsidRPr="006831AF">
        <w:rPr>
          <w:i/>
        </w:rPr>
        <w:t xml:space="preserve"> </w:t>
      </w:r>
      <w:r w:rsidRPr="006831AF">
        <w:t>(</w:t>
      </w:r>
      <w:proofErr w:type="spellStart"/>
      <w:r w:rsidRPr="006831AF">
        <w:t>Cth</w:t>
      </w:r>
      <w:proofErr w:type="spellEnd"/>
      <w:r w:rsidRPr="006831AF">
        <w:t>)</w:t>
      </w:r>
    </w:p>
    <w:p w:rsidR="00521524" w:rsidRPr="006831AF" w:rsidRDefault="006A786A">
      <w:pPr>
        <w:pStyle w:val="Policy-BodyText"/>
        <w:numPr>
          <w:ilvl w:val="0"/>
          <w:numId w:val="20"/>
        </w:numPr>
        <w:tabs>
          <w:tab w:val="left" w:pos="709"/>
        </w:tabs>
        <w:rPr>
          <w:i/>
        </w:rPr>
      </w:pPr>
      <w:r w:rsidRPr="006831AF">
        <w:rPr>
          <w:i/>
        </w:rPr>
        <w:t xml:space="preserve">Ombudsman Act 1989 </w:t>
      </w:r>
      <w:r w:rsidRPr="006831AF">
        <w:t>(ACT)</w:t>
      </w:r>
    </w:p>
    <w:p w:rsidR="00072AEA" w:rsidRPr="006831AF" w:rsidRDefault="00072AEA" w:rsidP="008F0F8E">
      <w:pPr>
        <w:pStyle w:val="Policy-BodyText"/>
        <w:numPr>
          <w:ilvl w:val="0"/>
          <w:numId w:val="0"/>
        </w:numPr>
        <w:tabs>
          <w:tab w:val="left" w:pos="709"/>
        </w:tabs>
        <w:ind w:left="709" w:hanging="709"/>
      </w:pPr>
    </w:p>
    <w:p w:rsidR="007A0301" w:rsidRPr="006831AF" w:rsidRDefault="00072AEA" w:rsidP="009757D6">
      <w:pPr>
        <w:pStyle w:val="PolicyHeading2-Accessible"/>
        <w:tabs>
          <w:tab w:val="clear" w:pos="567"/>
          <w:tab w:val="left" w:pos="709"/>
        </w:tabs>
        <w:ind w:left="709" w:hanging="709"/>
        <w:rPr>
          <w:bCs w:val="0"/>
          <w:szCs w:val="24"/>
        </w:rPr>
      </w:pPr>
      <w:r w:rsidRPr="006831AF">
        <w:rPr>
          <w:bCs w:val="0"/>
          <w:szCs w:val="24"/>
        </w:rPr>
        <w:t>Consultation</w:t>
      </w:r>
      <w:r w:rsidR="00EC0C71" w:rsidRPr="006831AF">
        <w:rPr>
          <w:bCs w:val="0"/>
          <w:szCs w:val="24"/>
        </w:rPr>
        <w:br/>
      </w:r>
    </w:p>
    <w:p w:rsidR="00EC0C71" w:rsidRPr="006831AF" w:rsidRDefault="00EC0C71" w:rsidP="009757D6">
      <w:pPr>
        <w:pStyle w:val="Policy-BodyText"/>
        <w:tabs>
          <w:tab w:val="clear" w:pos="567"/>
          <w:tab w:val="left" w:pos="709"/>
        </w:tabs>
        <w:ind w:left="709" w:hanging="709"/>
      </w:pPr>
      <w:r w:rsidRPr="006831AF">
        <w:t>The duty to consult with employees</w:t>
      </w:r>
      <w:r w:rsidR="003B5DB2" w:rsidRPr="006831AF">
        <w:t xml:space="preserve"> at the workplace</w:t>
      </w:r>
      <w:r w:rsidRPr="006831AF">
        <w:t xml:space="preserve"> is embedded in the WHS Act and is critical to manag</w:t>
      </w:r>
      <w:r w:rsidR="00FD6FAF" w:rsidRPr="006831AF">
        <w:t>ing</w:t>
      </w:r>
      <w:r w:rsidRPr="006831AF">
        <w:t xml:space="preserve"> complex issues such as occupational violence. Understanding the nature of risks and the measures to eliminate or minimise them requires timely</w:t>
      </w:r>
      <w:r w:rsidR="004334E4" w:rsidRPr="006831AF">
        <w:t xml:space="preserve"> </w:t>
      </w:r>
      <w:r w:rsidRPr="006831AF">
        <w:t>consultation and communication. This policy reinforces the need for ongoing consultation in order to effectively manage occupational violence.</w:t>
      </w:r>
      <w:r w:rsidRPr="006831AF">
        <w:br/>
      </w:r>
    </w:p>
    <w:p w:rsidR="00EC0C71" w:rsidRPr="006831AF" w:rsidRDefault="00EC0C71" w:rsidP="009757D6">
      <w:pPr>
        <w:pStyle w:val="Policy-BodyText"/>
        <w:tabs>
          <w:tab w:val="clear" w:pos="567"/>
          <w:tab w:val="left" w:pos="709"/>
        </w:tabs>
        <w:ind w:left="709" w:hanging="709"/>
      </w:pPr>
      <w:r w:rsidRPr="006831AF">
        <w:t>The role of elected Health and Safety Representatives</w:t>
      </w:r>
      <w:r w:rsidR="0080304D" w:rsidRPr="006831AF">
        <w:t xml:space="preserve"> (HSR)</w:t>
      </w:r>
      <w:r w:rsidRPr="006831AF">
        <w:t xml:space="preserve"> in the consultation process</w:t>
      </w:r>
      <w:r w:rsidR="003B5DB2" w:rsidRPr="006831AF">
        <w:t xml:space="preserve"> at the workplace</w:t>
      </w:r>
      <w:r w:rsidRPr="006831AF">
        <w:t xml:space="preserve"> is important if the experience and concerns of work groups about occupational violence</w:t>
      </w:r>
      <w:r w:rsidR="00EA21E5" w:rsidRPr="006831AF">
        <w:t xml:space="preserve"> is to contribute to making workplaces safer. The WHS Act outlines the role</w:t>
      </w:r>
      <w:r w:rsidR="0080304D" w:rsidRPr="006831AF">
        <w:t>,</w:t>
      </w:r>
      <w:r w:rsidR="00EA21E5" w:rsidRPr="006831AF">
        <w:t xml:space="preserve"> </w:t>
      </w:r>
      <w:r w:rsidR="0080304D" w:rsidRPr="006831AF">
        <w:t xml:space="preserve">power </w:t>
      </w:r>
      <w:r w:rsidR="00EA21E5" w:rsidRPr="006831AF">
        <w:t>and obligations</w:t>
      </w:r>
      <w:r w:rsidR="0080304D" w:rsidRPr="006831AF">
        <w:t xml:space="preserve"> of HSRs </w:t>
      </w:r>
      <w:r w:rsidR="00FD6FAF" w:rsidRPr="006831AF">
        <w:t>in</w:t>
      </w:r>
      <w:r w:rsidR="0080304D" w:rsidRPr="006831AF">
        <w:t xml:space="preserve"> address</w:t>
      </w:r>
      <w:r w:rsidR="00FD6FAF" w:rsidRPr="006831AF">
        <w:t>ing</w:t>
      </w:r>
      <w:r w:rsidR="0080304D" w:rsidRPr="006831AF">
        <w:t xml:space="preserve"> issues such as occupational violence.</w:t>
      </w:r>
      <w:r w:rsidR="003B5DB2" w:rsidRPr="006831AF">
        <w:br/>
      </w:r>
    </w:p>
    <w:p w:rsidR="007A0301" w:rsidRPr="006831AF" w:rsidRDefault="008D70B0" w:rsidP="009757D6">
      <w:pPr>
        <w:pStyle w:val="PolicyHeading2-Accessible"/>
        <w:tabs>
          <w:tab w:val="clear" w:pos="567"/>
          <w:tab w:val="left" w:pos="709"/>
        </w:tabs>
        <w:ind w:left="709" w:hanging="709"/>
        <w:rPr>
          <w:bCs w:val="0"/>
          <w:szCs w:val="24"/>
        </w:rPr>
      </w:pPr>
      <w:r w:rsidRPr="006831AF">
        <w:rPr>
          <w:bCs w:val="0"/>
          <w:szCs w:val="24"/>
        </w:rPr>
        <w:t>Responsibilities</w:t>
      </w:r>
      <w:r w:rsidR="00BC3810" w:rsidRPr="006831AF">
        <w:rPr>
          <w:bCs w:val="0"/>
          <w:szCs w:val="24"/>
        </w:rPr>
        <w:br/>
      </w:r>
    </w:p>
    <w:p w:rsidR="008D70B0" w:rsidRPr="006831AF" w:rsidRDefault="008D70B0" w:rsidP="009757D6">
      <w:pPr>
        <w:pStyle w:val="Policy-BodyText"/>
        <w:tabs>
          <w:tab w:val="clear" w:pos="567"/>
          <w:tab w:val="left" w:pos="709"/>
        </w:tabs>
        <w:ind w:left="709" w:hanging="709"/>
      </w:pPr>
      <w:r w:rsidRPr="006831AF">
        <w:rPr>
          <w:b/>
        </w:rPr>
        <w:t>Director</w:t>
      </w:r>
      <w:r w:rsidR="009F4F2F" w:rsidRPr="006831AF">
        <w:rPr>
          <w:b/>
        </w:rPr>
        <w:t>-</w:t>
      </w:r>
      <w:r w:rsidRPr="006831AF">
        <w:rPr>
          <w:b/>
        </w:rPr>
        <w:t>General ACT Education Directorate</w:t>
      </w:r>
      <w:r w:rsidRPr="006831AF">
        <w:t xml:space="preserve"> </w:t>
      </w:r>
      <w:r w:rsidR="00BC3810" w:rsidRPr="006831AF">
        <w:t>is responsible for:</w:t>
      </w:r>
      <w:r w:rsidR="00BC3810" w:rsidRPr="006831AF">
        <w:br/>
      </w:r>
    </w:p>
    <w:p w:rsidR="00BC3810" w:rsidRPr="006831AF" w:rsidRDefault="00DD5F72" w:rsidP="009757D6">
      <w:pPr>
        <w:pStyle w:val="Policy-BodyText"/>
        <w:numPr>
          <w:ilvl w:val="2"/>
          <w:numId w:val="3"/>
        </w:numPr>
        <w:tabs>
          <w:tab w:val="clear" w:pos="680"/>
          <w:tab w:val="left" w:pos="709"/>
        </w:tabs>
        <w:ind w:left="709" w:hanging="709"/>
      </w:pPr>
      <w:r w:rsidRPr="006831AF">
        <w:t>Ensuring t</w:t>
      </w:r>
      <w:r w:rsidR="00BC3810" w:rsidRPr="006831AF">
        <w:t xml:space="preserve">he safety and wellbeing of staff across Directorate workplaces in relation to </w:t>
      </w:r>
      <w:r w:rsidR="008F0F8E" w:rsidRPr="006831AF">
        <w:tab/>
      </w:r>
      <w:r w:rsidR="00BC3810" w:rsidRPr="006831AF">
        <w:t>occupational violence</w:t>
      </w:r>
    </w:p>
    <w:p w:rsidR="00BC3810" w:rsidRPr="006831AF" w:rsidRDefault="00DD5F72" w:rsidP="009757D6">
      <w:pPr>
        <w:pStyle w:val="Policy-BodyText"/>
        <w:numPr>
          <w:ilvl w:val="2"/>
          <w:numId w:val="3"/>
        </w:numPr>
        <w:tabs>
          <w:tab w:val="clear" w:pos="680"/>
          <w:tab w:val="left" w:pos="709"/>
        </w:tabs>
        <w:ind w:left="709" w:hanging="709"/>
      </w:pPr>
      <w:r w:rsidRPr="006831AF">
        <w:t>Identifying</w:t>
      </w:r>
      <w:r w:rsidR="00BC3810" w:rsidRPr="006831AF">
        <w:t xml:space="preserve"> occu</w:t>
      </w:r>
      <w:r w:rsidR="00C1122B" w:rsidRPr="006831AF">
        <w:t>pational violence hazards found in</w:t>
      </w:r>
      <w:r w:rsidR="00BC3810" w:rsidRPr="006831AF">
        <w:t xml:space="preserve"> Directorate workplaces</w:t>
      </w:r>
    </w:p>
    <w:p w:rsidR="00BC3810" w:rsidRPr="006831AF" w:rsidRDefault="00DD5F72" w:rsidP="009757D6">
      <w:pPr>
        <w:pStyle w:val="Policy-BodyText"/>
        <w:numPr>
          <w:ilvl w:val="2"/>
          <w:numId w:val="3"/>
        </w:numPr>
        <w:tabs>
          <w:tab w:val="clear" w:pos="680"/>
          <w:tab w:val="left" w:pos="709"/>
        </w:tabs>
        <w:ind w:left="709" w:hanging="709"/>
      </w:pPr>
      <w:r w:rsidRPr="006831AF">
        <w:lastRenderedPageBreak/>
        <w:t xml:space="preserve">Assessing </w:t>
      </w:r>
      <w:r w:rsidR="00BC3810" w:rsidRPr="006831AF">
        <w:t>occup</w:t>
      </w:r>
      <w:r w:rsidR="00C1122B" w:rsidRPr="006831AF">
        <w:t>ational violence risks found in</w:t>
      </w:r>
      <w:r w:rsidR="00BC3810" w:rsidRPr="006831AF">
        <w:t xml:space="preserve"> Directorate workplaces</w:t>
      </w:r>
    </w:p>
    <w:p w:rsidR="004F427C" w:rsidRPr="006831AF" w:rsidRDefault="00527DA2" w:rsidP="009757D6">
      <w:pPr>
        <w:pStyle w:val="Policy-BodyText"/>
        <w:numPr>
          <w:ilvl w:val="2"/>
          <w:numId w:val="3"/>
        </w:numPr>
        <w:tabs>
          <w:tab w:val="clear" w:pos="680"/>
          <w:tab w:val="left" w:pos="709"/>
        </w:tabs>
        <w:ind w:left="709" w:hanging="709"/>
      </w:pPr>
      <w:r w:rsidRPr="006831AF">
        <w:t xml:space="preserve">Implementing effective risk controls that afford the highest level of protection that is </w:t>
      </w:r>
      <w:r w:rsidR="008F0F8E" w:rsidRPr="006831AF">
        <w:tab/>
      </w:r>
      <w:r w:rsidRPr="006831AF">
        <w:t>reasonably practicable</w:t>
      </w:r>
      <w:r w:rsidR="000A6E66" w:rsidRPr="006831AF">
        <w:t xml:space="preserve"> </w:t>
      </w:r>
    </w:p>
    <w:p w:rsidR="000A6E66" w:rsidRPr="006831AF" w:rsidRDefault="000A6E66" w:rsidP="009757D6">
      <w:pPr>
        <w:pStyle w:val="Policy-BodyText"/>
        <w:numPr>
          <w:ilvl w:val="2"/>
          <w:numId w:val="3"/>
        </w:numPr>
        <w:tabs>
          <w:tab w:val="clear" w:pos="680"/>
          <w:tab w:val="left" w:pos="709"/>
        </w:tabs>
        <w:ind w:left="709" w:hanging="709"/>
      </w:pPr>
      <w:r w:rsidRPr="006831AF">
        <w:t>Ensuring the Directorate risk register reflects the current status of identified risks</w:t>
      </w:r>
    </w:p>
    <w:p w:rsidR="00BC3810" w:rsidRPr="006831AF" w:rsidRDefault="00DD5F72" w:rsidP="009757D6">
      <w:pPr>
        <w:pStyle w:val="Policy-BodyText"/>
        <w:numPr>
          <w:ilvl w:val="2"/>
          <w:numId w:val="3"/>
        </w:numPr>
        <w:tabs>
          <w:tab w:val="clear" w:pos="680"/>
          <w:tab w:val="left" w:pos="709"/>
        </w:tabs>
        <w:ind w:left="709" w:hanging="709"/>
      </w:pPr>
      <w:r w:rsidRPr="006831AF">
        <w:t>Developing and disseminating</w:t>
      </w:r>
      <w:r w:rsidR="00C1122B" w:rsidRPr="006831AF">
        <w:t xml:space="preserve"> standard</w:t>
      </w:r>
      <w:r w:rsidR="00BC3810" w:rsidRPr="006831AF">
        <w:t xml:space="preserve"> procedures, guides and prevention measures </w:t>
      </w:r>
      <w:r w:rsidR="008F0F8E" w:rsidRPr="006831AF">
        <w:tab/>
      </w:r>
      <w:r w:rsidR="00BC3810" w:rsidRPr="006831AF">
        <w:t>to address occupational violence risks</w:t>
      </w:r>
    </w:p>
    <w:p w:rsidR="00BC3810" w:rsidRPr="006831AF" w:rsidRDefault="00DD5F72" w:rsidP="009757D6">
      <w:pPr>
        <w:pStyle w:val="Policy-BodyText"/>
        <w:numPr>
          <w:ilvl w:val="2"/>
          <w:numId w:val="3"/>
        </w:numPr>
        <w:tabs>
          <w:tab w:val="clear" w:pos="680"/>
          <w:tab w:val="left" w:pos="709"/>
        </w:tabs>
        <w:ind w:left="709" w:hanging="709"/>
      </w:pPr>
      <w:r w:rsidRPr="006831AF">
        <w:t>Identifying, resourcing and facilitating</w:t>
      </w:r>
      <w:r w:rsidR="00BC3810" w:rsidRPr="006831AF">
        <w:t xml:space="preserve"> relevant training for Directorate staff to </w:t>
      </w:r>
      <w:r w:rsidR="008F0F8E" w:rsidRPr="006831AF">
        <w:tab/>
      </w:r>
      <w:r w:rsidR="00BC3810" w:rsidRPr="006831AF">
        <w:t xml:space="preserve">undertake their respective roles </w:t>
      </w:r>
      <w:r w:rsidR="00C1122B" w:rsidRPr="006831AF">
        <w:t>in a way that eliminates or minimises occupational violence risks</w:t>
      </w:r>
    </w:p>
    <w:p w:rsidR="00C1122B" w:rsidRPr="006831AF" w:rsidRDefault="003F6370" w:rsidP="009757D6">
      <w:pPr>
        <w:pStyle w:val="Policy-BodyText"/>
        <w:numPr>
          <w:ilvl w:val="2"/>
          <w:numId w:val="3"/>
        </w:numPr>
        <w:tabs>
          <w:tab w:val="clear" w:pos="680"/>
          <w:tab w:val="left" w:pos="709"/>
        </w:tabs>
        <w:ind w:left="709" w:hanging="709"/>
      </w:pPr>
      <w:r w:rsidRPr="006831AF">
        <w:t xml:space="preserve">Coordinating responses to occupational violence incidents with system wide </w:t>
      </w:r>
      <w:r w:rsidR="008F0F8E" w:rsidRPr="006831AF">
        <w:tab/>
      </w:r>
      <w:r w:rsidRPr="006831AF">
        <w:t>implications</w:t>
      </w:r>
    </w:p>
    <w:p w:rsidR="005553FF" w:rsidRPr="006831AF" w:rsidRDefault="005B13B6" w:rsidP="009757D6">
      <w:pPr>
        <w:pStyle w:val="Policy-BodyText"/>
        <w:numPr>
          <w:ilvl w:val="2"/>
          <w:numId w:val="3"/>
        </w:numPr>
        <w:tabs>
          <w:tab w:val="clear" w:pos="680"/>
          <w:tab w:val="left" w:pos="709"/>
        </w:tabs>
        <w:ind w:left="709" w:hanging="709"/>
      </w:pPr>
      <w:r w:rsidRPr="006831AF">
        <w:t>Coordinating</w:t>
      </w:r>
      <w:r w:rsidR="005553FF" w:rsidRPr="006831AF">
        <w:t xml:space="preserve"> </w:t>
      </w:r>
      <w:r w:rsidRPr="006831AF">
        <w:t>notifiable incident reporting and any subsequent investigation</w:t>
      </w:r>
    </w:p>
    <w:p w:rsidR="003F6370" w:rsidRPr="006831AF" w:rsidRDefault="005A1AFC" w:rsidP="009757D6">
      <w:pPr>
        <w:pStyle w:val="Policy-BodyText"/>
        <w:numPr>
          <w:ilvl w:val="2"/>
          <w:numId w:val="3"/>
        </w:numPr>
        <w:tabs>
          <w:tab w:val="clear" w:pos="680"/>
          <w:tab w:val="left" w:pos="709"/>
        </w:tabs>
        <w:ind w:left="709" w:hanging="709"/>
      </w:pPr>
      <w:r w:rsidRPr="006831AF">
        <w:t xml:space="preserve">Monitoring system wide data on incidents, injuries and health related </w:t>
      </w:r>
      <w:r w:rsidR="005553FF" w:rsidRPr="006831AF">
        <w:t xml:space="preserve">to </w:t>
      </w:r>
      <w:r w:rsidRPr="006831AF">
        <w:t>occupational violence for the purpose of assessing the effectiveness of current prevention measures</w:t>
      </w:r>
    </w:p>
    <w:p w:rsidR="0070176E" w:rsidRPr="006831AF" w:rsidRDefault="005A1AFC" w:rsidP="009757D6">
      <w:pPr>
        <w:pStyle w:val="Policy-BodyText"/>
        <w:numPr>
          <w:ilvl w:val="2"/>
          <w:numId w:val="3"/>
        </w:numPr>
        <w:tabs>
          <w:tab w:val="clear" w:pos="680"/>
          <w:tab w:val="left" w:pos="709"/>
        </w:tabs>
        <w:ind w:left="709" w:hanging="709"/>
      </w:pPr>
      <w:r w:rsidRPr="006831AF">
        <w:t>Providing resources, support and assistance</w:t>
      </w:r>
      <w:r w:rsidR="00674394" w:rsidRPr="006831AF">
        <w:t xml:space="preserve"> as required to workplaces </w:t>
      </w:r>
      <w:r w:rsidR="00FD6FAF" w:rsidRPr="006831AF">
        <w:t xml:space="preserve">after </w:t>
      </w:r>
      <w:r w:rsidR="00674394" w:rsidRPr="006831AF">
        <w:t xml:space="preserve">experiencing </w:t>
      </w:r>
      <w:r w:rsidR="00FD6FAF" w:rsidRPr="006831AF">
        <w:t xml:space="preserve">the impacts of </w:t>
      </w:r>
      <w:r w:rsidR="00674394" w:rsidRPr="006831AF">
        <w:t>occupational violence</w:t>
      </w:r>
    </w:p>
    <w:p w:rsidR="00BD00C1" w:rsidRPr="006831AF" w:rsidRDefault="00F218C5" w:rsidP="008F0F8E">
      <w:pPr>
        <w:pStyle w:val="Policy-BodyText"/>
        <w:numPr>
          <w:ilvl w:val="2"/>
          <w:numId w:val="3"/>
        </w:numPr>
        <w:tabs>
          <w:tab w:val="clear" w:pos="680"/>
          <w:tab w:val="left" w:pos="709"/>
        </w:tabs>
        <w:ind w:left="709" w:hanging="709"/>
      </w:pPr>
      <w:r w:rsidRPr="006831AF">
        <w:t xml:space="preserve"> Ensuring resolution of occupational violence matters.</w:t>
      </w:r>
    </w:p>
    <w:p w:rsidR="00BD00C1" w:rsidRPr="006831AF" w:rsidRDefault="00BD00C1" w:rsidP="008F0F8E">
      <w:pPr>
        <w:pStyle w:val="Policy-BodyText"/>
        <w:numPr>
          <w:ilvl w:val="0"/>
          <w:numId w:val="0"/>
        </w:numPr>
        <w:tabs>
          <w:tab w:val="left" w:pos="709"/>
        </w:tabs>
        <w:ind w:left="709" w:hanging="709"/>
      </w:pPr>
    </w:p>
    <w:p w:rsidR="00521524" w:rsidRPr="006831AF" w:rsidRDefault="00521524" w:rsidP="008F0F8E">
      <w:pPr>
        <w:pStyle w:val="Policy-BodyText"/>
        <w:tabs>
          <w:tab w:val="clear" w:pos="567"/>
          <w:tab w:val="left" w:pos="709"/>
        </w:tabs>
        <w:ind w:left="709" w:hanging="709"/>
        <w:rPr>
          <w:b/>
        </w:rPr>
      </w:pPr>
      <w:r w:rsidRPr="006831AF">
        <w:rPr>
          <w:b/>
        </w:rPr>
        <w:t xml:space="preserve">Directorate Executive, Directors School Improvement </w:t>
      </w:r>
      <w:r w:rsidRPr="006831AF">
        <w:t>are responsible for:</w:t>
      </w:r>
    </w:p>
    <w:p w:rsidR="00951416" w:rsidRPr="006831AF" w:rsidRDefault="00951416" w:rsidP="00951416">
      <w:pPr>
        <w:pStyle w:val="Policy-BodyText"/>
        <w:numPr>
          <w:ilvl w:val="0"/>
          <w:numId w:val="0"/>
        </w:numPr>
        <w:tabs>
          <w:tab w:val="left" w:pos="709"/>
        </w:tabs>
        <w:ind w:left="709"/>
        <w:rPr>
          <w:b/>
        </w:rPr>
      </w:pPr>
    </w:p>
    <w:p w:rsidR="009757D6" w:rsidRPr="006831AF" w:rsidRDefault="00024DBE" w:rsidP="00951416">
      <w:pPr>
        <w:pStyle w:val="Policy-BodyText"/>
        <w:numPr>
          <w:ilvl w:val="2"/>
          <w:numId w:val="3"/>
        </w:numPr>
        <w:tabs>
          <w:tab w:val="left" w:pos="709"/>
        </w:tabs>
      </w:pPr>
      <w:r w:rsidRPr="006831AF">
        <w:t xml:space="preserve">Identifying hazards and responding to work health and safety concerns raised by </w:t>
      </w:r>
      <w:r w:rsidR="00124674" w:rsidRPr="006831AF">
        <w:tab/>
      </w:r>
      <w:r w:rsidRPr="006831AF">
        <w:t>Principals, including cond</w:t>
      </w:r>
      <w:r w:rsidR="00646E2C">
        <w:t>ucting risk assessments</w:t>
      </w:r>
    </w:p>
    <w:p w:rsidR="00521524" w:rsidRPr="006831AF" w:rsidRDefault="00521524" w:rsidP="00951416">
      <w:pPr>
        <w:pStyle w:val="Policy-BodyText"/>
        <w:numPr>
          <w:ilvl w:val="2"/>
          <w:numId w:val="3"/>
        </w:numPr>
        <w:tabs>
          <w:tab w:val="left" w:pos="709"/>
        </w:tabs>
        <w:rPr>
          <w:b/>
        </w:rPr>
      </w:pPr>
      <w:r w:rsidRPr="006831AF">
        <w:t>Ensuring the development and regular review of the effectiveness of policies and</w:t>
      </w:r>
      <w:r w:rsidRPr="006831AF">
        <w:rPr>
          <w:b/>
        </w:rPr>
        <w:t xml:space="preserve"> </w:t>
      </w:r>
      <w:r w:rsidR="00951416" w:rsidRPr="006831AF">
        <w:rPr>
          <w:b/>
        </w:rPr>
        <w:tab/>
      </w:r>
      <w:r w:rsidRPr="006831AF">
        <w:t>procedures to ensure staff safety and wellbeing in re</w:t>
      </w:r>
      <w:r w:rsidR="00060B41" w:rsidRPr="006831AF">
        <w:t>lation to occupational v</w:t>
      </w:r>
      <w:r w:rsidR="00951416" w:rsidRPr="006831AF">
        <w:t>iolence</w:t>
      </w:r>
      <w:r w:rsidRPr="006831AF">
        <w:rPr>
          <w:b/>
        </w:rPr>
        <w:t xml:space="preserve"> </w:t>
      </w:r>
    </w:p>
    <w:p w:rsidR="00060B41" w:rsidRPr="006831AF" w:rsidRDefault="00521524" w:rsidP="00951416">
      <w:pPr>
        <w:pStyle w:val="Policy-BodyText"/>
        <w:numPr>
          <w:ilvl w:val="2"/>
          <w:numId w:val="3"/>
        </w:numPr>
        <w:tabs>
          <w:tab w:val="left" w:pos="709"/>
        </w:tabs>
      </w:pPr>
      <w:r w:rsidRPr="006831AF">
        <w:t xml:space="preserve">Ensuring that risks associated with identified occupational violence hazards are </w:t>
      </w:r>
      <w:r w:rsidR="00951416" w:rsidRPr="006831AF">
        <w:tab/>
      </w:r>
      <w:r w:rsidR="00060B41" w:rsidRPr="006831AF">
        <w:t xml:space="preserve">identified and </w:t>
      </w:r>
      <w:r w:rsidRPr="006831AF">
        <w:t xml:space="preserve">managed in accordance with Directorate policy and procedure with </w:t>
      </w:r>
      <w:r w:rsidR="00060B41" w:rsidRPr="006831AF">
        <w:tab/>
      </w:r>
      <w:r w:rsidRPr="006831AF">
        <w:t xml:space="preserve">controls implemented at the highest level of protection </w:t>
      </w:r>
      <w:r w:rsidR="00951416" w:rsidRPr="006831AF">
        <w:t>that is reasonably practicable</w:t>
      </w:r>
    </w:p>
    <w:p w:rsidR="00521524" w:rsidRPr="006831AF" w:rsidRDefault="00060B41" w:rsidP="00951416">
      <w:pPr>
        <w:pStyle w:val="Policy-BodyText"/>
        <w:numPr>
          <w:ilvl w:val="2"/>
          <w:numId w:val="3"/>
        </w:numPr>
        <w:tabs>
          <w:tab w:val="left" w:pos="709"/>
        </w:tabs>
      </w:pPr>
      <w:r w:rsidRPr="006831AF">
        <w:t xml:space="preserve">Ensuring that a process </w:t>
      </w:r>
      <w:r w:rsidR="00AB42CE" w:rsidRPr="006831AF">
        <w:t xml:space="preserve">for managing </w:t>
      </w:r>
      <w:r w:rsidRPr="006831AF">
        <w:t xml:space="preserve">currency of local workplace risk registers is </w:t>
      </w:r>
      <w:r w:rsidRPr="006831AF">
        <w:tab/>
        <w:t>implemented</w:t>
      </w:r>
    </w:p>
    <w:p w:rsidR="00521524" w:rsidRPr="006831AF" w:rsidRDefault="00521524" w:rsidP="00951416">
      <w:pPr>
        <w:pStyle w:val="Policy-BodyText"/>
        <w:numPr>
          <w:ilvl w:val="2"/>
          <w:numId w:val="3"/>
        </w:numPr>
        <w:tabs>
          <w:tab w:val="left" w:pos="709"/>
        </w:tabs>
      </w:pPr>
      <w:r w:rsidRPr="006831AF">
        <w:t>Ensuring that a process for monitor</w:t>
      </w:r>
      <w:r w:rsidR="00287050" w:rsidRPr="006831AF">
        <w:t xml:space="preserve">ing effectiveness of </w:t>
      </w:r>
      <w:r w:rsidR="00060B41" w:rsidRPr="006831AF">
        <w:t>prevention measures and</w:t>
      </w:r>
      <w:r w:rsidRPr="006831AF">
        <w:t xml:space="preserve"> </w:t>
      </w:r>
      <w:r w:rsidR="00287050" w:rsidRPr="006831AF">
        <w:t>post-</w:t>
      </w:r>
      <w:r w:rsidR="00951416" w:rsidRPr="006831AF">
        <w:tab/>
      </w:r>
      <w:r w:rsidR="00287050" w:rsidRPr="006831AF">
        <w:t>incident response is implemen</w:t>
      </w:r>
      <w:r w:rsidR="00951416" w:rsidRPr="006831AF">
        <w:t>ted</w:t>
      </w:r>
      <w:r w:rsidR="00287050" w:rsidRPr="006831AF">
        <w:t xml:space="preserve"> </w:t>
      </w:r>
    </w:p>
    <w:p w:rsidR="00951416" w:rsidRPr="006831AF" w:rsidRDefault="00CB491D" w:rsidP="00951416">
      <w:pPr>
        <w:pStyle w:val="Policy-BodyText"/>
        <w:numPr>
          <w:ilvl w:val="2"/>
          <w:numId w:val="3"/>
        </w:numPr>
        <w:tabs>
          <w:tab w:val="left" w:pos="709"/>
        </w:tabs>
      </w:pPr>
      <w:r w:rsidRPr="006831AF">
        <w:t>Providing local workplaces with</w:t>
      </w:r>
      <w:r w:rsidR="00287050" w:rsidRPr="006831AF">
        <w:t xml:space="preserve"> </w:t>
      </w:r>
      <w:r w:rsidRPr="006831AF">
        <w:t xml:space="preserve">support and resources to assist them to exercise their </w:t>
      </w:r>
      <w:r w:rsidR="00951416" w:rsidRPr="006831AF">
        <w:tab/>
      </w:r>
      <w:r w:rsidRPr="006831AF">
        <w:t>role in a way that eliminates or minim</w:t>
      </w:r>
      <w:r w:rsidR="00060B41" w:rsidRPr="006831AF">
        <w:t>ises occupational v</w:t>
      </w:r>
      <w:r w:rsidR="00951416" w:rsidRPr="006831AF">
        <w:t>iolence risk</w:t>
      </w:r>
      <w:r w:rsidRPr="006831AF">
        <w:t xml:space="preserve"> </w:t>
      </w:r>
    </w:p>
    <w:p w:rsidR="00521524" w:rsidRPr="006831AF" w:rsidRDefault="00CB491D" w:rsidP="00951416">
      <w:pPr>
        <w:pStyle w:val="Policy-BodyText"/>
        <w:numPr>
          <w:ilvl w:val="2"/>
          <w:numId w:val="3"/>
        </w:numPr>
        <w:tabs>
          <w:tab w:val="left" w:pos="709"/>
        </w:tabs>
      </w:pPr>
      <w:r w:rsidRPr="006831AF">
        <w:t xml:space="preserve">Communicating and consulting on occupational violence issues </w:t>
      </w:r>
      <w:r w:rsidR="00951416" w:rsidRPr="006831AF">
        <w:t>at a system level.</w:t>
      </w:r>
    </w:p>
    <w:p w:rsidR="00E95AFF" w:rsidRPr="006831AF" w:rsidRDefault="00E95AFF" w:rsidP="00CB491D">
      <w:pPr>
        <w:pStyle w:val="Policy-BodyText"/>
        <w:numPr>
          <w:ilvl w:val="0"/>
          <w:numId w:val="0"/>
        </w:numPr>
        <w:tabs>
          <w:tab w:val="left" w:pos="709"/>
        </w:tabs>
        <w:ind w:left="709"/>
        <w:rPr>
          <w:b/>
        </w:rPr>
      </w:pPr>
    </w:p>
    <w:p w:rsidR="00674394" w:rsidRPr="006831AF" w:rsidRDefault="00674394" w:rsidP="009757D6">
      <w:pPr>
        <w:pStyle w:val="Policy-BodyText"/>
        <w:tabs>
          <w:tab w:val="clear" w:pos="567"/>
          <w:tab w:val="left" w:pos="709"/>
        </w:tabs>
        <w:ind w:left="709" w:hanging="709"/>
      </w:pPr>
      <w:r w:rsidRPr="006831AF">
        <w:rPr>
          <w:b/>
        </w:rPr>
        <w:t xml:space="preserve">Managers and School Leaders </w:t>
      </w:r>
      <w:r w:rsidRPr="006831AF">
        <w:t>are responsible for:</w:t>
      </w:r>
      <w:r w:rsidRPr="006831AF">
        <w:br/>
      </w:r>
    </w:p>
    <w:p w:rsidR="00674394" w:rsidRPr="006831AF" w:rsidRDefault="00674394" w:rsidP="009757D6">
      <w:pPr>
        <w:pStyle w:val="Policy-BodyText"/>
        <w:numPr>
          <w:ilvl w:val="2"/>
          <w:numId w:val="3"/>
        </w:numPr>
        <w:tabs>
          <w:tab w:val="left" w:pos="709"/>
        </w:tabs>
        <w:ind w:left="709" w:hanging="709"/>
      </w:pPr>
      <w:r w:rsidRPr="006831AF">
        <w:t>Implementing the policies and procedures developed to ensure the safety and wellbeing of staff in their workplace in relation to occupational violence</w:t>
      </w:r>
    </w:p>
    <w:p w:rsidR="00FA44F9" w:rsidRPr="006831AF" w:rsidRDefault="00FA44F9" w:rsidP="009757D6">
      <w:pPr>
        <w:pStyle w:val="Policy-BodyText"/>
        <w:numPr>
          <w:ilvl w:val="2"/>
          <w:numId w:val="3"/>
        </w:numPr>
        <w:tabs>
          <w:tab w:val="left" w:pos="709"/>
        </w:tabs>
        <w:ind w:left="709" w:hanging="709"/>
      </w:pPr>
      <w:r w:rsidRPr="006831AF">
        <w:t>Identifying</w:t>
      </w:r>
      <w:r w:rsidR="00CF1A55" w:rsidRPr="006831AF">
        <w:t xml:space="preserve"> </w:t>
      </w:r>
      <w:r w:rsidRPr="006831AF">
        <w:t xml:space="preserve">occupational violence hazards at the workplace and establishing the presence of any common risk factors outlined in the Directorate </w:t>
      </w:r>
      <w:r w:rsidR="00A3286F" w:rsidRPr="006831AF">
        <w:rPr>
          <w:i/>
        </w:rPr>
        <w:t>Occupational Violence Management Plan</w:t>
      </w:r>
    </w:p>
    <w:p w:rsidR="00FA44F9" w:rsidRPr="006831AF" w:rsidRDefault="00FA44F9" w:rsidP="009757D6">
      <w:pPr>
        <w:pStyle w:val="Policy-BodyText"/>
        <w:numPr>
          <w:ilvl w:val="2"/>
          <w:numId w:val="3"/>
        </w:numPr>
        <w:tabs>
          <w:tab w:val="left" w:pos="709"/>
        </w:tabs>
        <w:ind w:left="709" w:hanging="709"/>
      </w:pPr>
      <w:r w:rsidRPr="006831AF">
        <w:t>Undertaking subsequent risk assessments and applying Directorate</w:t>
      </w:r>
      <w:r w:rsidR="00796EA2" w:rsidRPr="006831AF">
        <w:t xml:space="preserve"> risk assessment templates</w:t>
      </w:r>
    </w:p>
    <w:p w:rsidR="00674394" w:rsidRPr="006831AF" w:rsidRDefault="00FA44F9" w:rsidP="009757D6">
      <w:pPr>
        <w:pStyle w:val="Policy-BodyText"/>
        <w:numPr>
          <w:ilvl w:val="2"/>
          <w:numId w:val="3"/>
        </w:numPr>
        <w:tabs>
          <w:tab w:val="left" w:pos="709"/>
        </w:tabs>
        <w:ind w:left="709" w:hanging="709"/>
      </w:pPr>
      <w:r w:rsidRPr="006831AF">
        <w:lastRenderedPageBreak/>
        <w:t>M</w:t>
      </w:r>
      <w:r w:rsidR="00635D48" w:rsidRPr="006831AF">
        <w:t>onitoring</w:t>
      </w:r>
      <w:r w:rsidR="002E32C9" w:rsidRPr="006831AF">
        <w:t xml:space="preserve"> </w:t>
      </w:r>
      <w:r w:rsidR="00CF1A55" w:rsidRPr="006831AF">
        <w:t>the e</w:t>
      </w:r>
      <w:r w:rsidR="00527DA2" w:rsidRPr="006831AF">
        <w:t>ffectiveness of current risk controls</w:t>
      </w:r>
      <w:r w:rsidR="00CF1A55" w:rsidRPr="006831AF">
        <w:t xml:space="preserve"> </w:t>
      </w:r>
      <w:r w:rsidR="00FD6FAF" w:rsidRPr="006831AF">
        <w:t>in</w:t>
      </w:r>
      <w:r w:rsidR="00CF1A55" w:rsidRPr="006831AF">
        <w:t xml:space="preserve"> manag</w:t>
      </w:r>
      <w:r w:rsidR="00FD6FAF" w:rsidRPr="006831AF">
        <w:t>ing</w:t>
      </w:r>
      <w:r w:rsidR="00CF1A55" w:rsidRPr="006831AF">
        <w:t xml:space="preserve"> occupational violence</w:t>
      </w:r>
      <w:r w:rsidR="002E32C9" w:rsidRPr="006831AF">
        <w:t xml:space="preserve"> after any incident</w:t>
      </w:r>
      <w:r w:rsidRPr="006831AF">
        <w:t xml:space="preserve">, </w:t>
      </w:r>
      <w:r w:rsidR="002E32C9" w:rsidRPr="006831AF">
        <w:t>system wide alert</w:t>
      </w:r>
      <w:r w:rsidR="003D3CBC" w:rsidRPr="006831AF">
        <w:t xml:space="preserve"> or</w:t>
      </w:r>
      <w:r w:rsidRPr="006831AF">
        <w:t xml:space="preserve"> evidence of escalated risk and otherwise on a regular basis</w:t>
      </w:r>
    </w:p>
    <w:p w:rsidR="004F3E5E" w:rsidRPr="006831AF" w:rsidRDefault="004F3E5E" w:rsidP="009757D6">
      <w:pPr>
        <w:pStyle w:val="Policy-BodyText"/>
        <w:numPr>
          <w:ilvl w:val="2"/>
          <w:numId w:val="3"/>
        </w:numPr>
        <w:tabs>
          <w:tab w:val="left" w:pos="709"/>
        </w:tabs>
        <w:ind w:left="709" w:hanging="709"/>
      </w:pPr>
      <w:r w:rsidRPr="006831AF">
        <w:t>Modelling behaviours consistent with reducing occupational violence risk</w:t>
      </w:r>
    </w:p>
    <w:p w:rsidR="00FB57E9" w:rsidRPr="006831AF" w:rsidRDefault="00635D48" w:rsidP="009757D6">
      <w:pPr>
        <w:pStyle w:val="Policy-BodyText"/>
        <w:numPr>
          <w:ilvl w:val="2"/>
          <w:numId w:val="3"/>
        </w:numPr>
        <w:tabs>
          <w:tab w:val="left" w:pos="709"/>
        </w:tabs>
        <w:ind w:left="709" w:hanging="709"/>
      </w:pPr>
      <w:r w:rsidRPr="006831AF">
        <w:t xml:space="preserve">Communicating and consulting </w:t>
      </w:r>
      <w:r w:rsidR="00FB57E9" w:rsidRPr="006831AF">
        <w:t>at a local level on occupational violence issues</w:t>
      </w:r>
    </w:p>
    <w:p w:rsidR="007736B8" w:rsidRPr="006831AF" w:rsidRDefault="00796EA2" w:rsidP="009757D6">
      <w:pPr>
        <w:pStyle w:val="Policy-BodyText"/>
        <w:numPr>
          <w:ilvl w:val="2"/>
          <w:numId w:val="3"/>
        </w:numPr>
        <w:tabs>
          <w:tab w:val="left" w:pos="709"/>
        </w:tabs>
        <w:ind w:left="709" w:hanging="709"/>
      </w:pPr>
      <w:r w:rsidRPr="006831AF">
        <w:t>Making</w:t>
      </w:r>
      <w:r w:rsidR="007736B8" w:rsidRPr="006831AF">
        <w:t xml:space="preserve"> staff aware of occupational violence policy and procedures</w:t>
      </w:r>
      <w:r w:rsidR="00E130BF" w:rsidRPr="006831AF">
        <w:t xml:space="preserve"> and seek</w:t>
      </w:r>
      <w:r w:rsidR="00635D48" w:rsidRPr="006831AF">
        <w:t>ing</w:t>
      </w:r>
      <w:r w:rsidR="00E130BF" w:rsidRPr="006831AF">
        <w:t xml:space="preserve"> compliance with </w:t>
      </w:r>
      <w:r w:rsidR="00716C25" w:rsidRPr="006831AF">
        <w:t xml:space="preserve">such </w:t>
      </w:r>
      <w:r w:rsidR="00E130BF" w:rsidRPr="006831AF">
        <w:t>policy and procedures</w:t>
      </w:r>
    </w:p>
    <w:p w:rsidR="00FB57E9" w:rsidRPr="006831AF" w:rsidRDefault="00CB6961" w:rsidP="009757D6">
      <w:pPr>
        <w:pStyle w:val="Policy-BodyText"/>
        <w:numPr>
          <w:ilvl w:val="2"/>
          <w:numId w:val="3"/>
        </w:numPr>
        <w:tabs>
          <w:tab w:val="left" w:pos="709"/>
        </w:tabs>
        <w:ind w:left="709" w:hanging="709"/>
      </w:pPr>
      <w:r w:rsidRPr="006831AF">
        <w:t xml:space="preserve">Building a positive reporting culture </w:t>
      </w:r>
      <w:r w:rsidR="00FB57E9" w:rsidRPr="006831AF">
        <w:t>and act</w:t>
      </w:r>
      <w:r w:rsidR="00635D48" w:rsidRPr="006831AF">
        <w:t>ing</w:t>
      </w:r>
      <w:r w:rsidR="00FB57E9" w:rsidRPr="006831AF">
        <w:t xml:space="preserve"> to prevent a reoccurrence within the bounds of local level resources and capability</w:t>
      </w:r>
    </w:p>
    <w:p w:rsidR="000577F6" w:rsidRPr="006831AF" w:rsidRDefault="000577F6" w:rsidP="008F0F8E">
      <w:pPr>
        <w:pStyle w:val="Policy-BodyText"/>
        <w:numPr>
          <w:ilvl w:val="2"/>
          <w:numId w:val="3"/>
        </w:numPr>
        <w:tabs>
          <w:tab w:val="left" w:pos="709"/>
        </w:tabs>
        <w:ind w:left="709" w:hanging="709"/>
      </w:pPr>
      <w:r w:rsidRPr="006831AF">
        <w:t>Ensuring occupational violence incidents are reported</w:t>
      </w:r>
    </w:p>
    <w:p w:rsidR="00796EA2" w:rsidRPr="006831AF" w:rsidRDefault="004F3E5E" w:rsidP="009757D6">
      <w:pPr>
        <w:pStyle w:val="Policy-BodyText"/>
        <w:numPr>
          <w:ilvl w:val="2"/>
          <w:numId w:val="3"/>
        </w:numPr>
        <w:tabs>
          <w:tab w:val="left" w:pos="709"/>
        </w:tabs>
        <w:ind w:left="709" w:hanging="709"/>
      </w:pPr>
      <w:r w:rsidRPr="006831AF">
        <w:t>Ensuring</w:t>
      </w:r>
      <w:r w:rsidR="00FB57E9" w:rsidRPr="006831AF">
        <w:t xml:space="preserve"> any notifiable incidents</w:t>
      </w:r>
      <w:r w:rsidR="00796EA2" w:rsidRPr="006831AF">
        <w:t xml:space="preserve"> are reported in mandated timelines</w:t>
      </w:r>
    </w:p>
    <w:p w:rsidR="007736B8" w:rsidRPr="006831AF" w:rsidRDefault="007736B8" w:rsidP="009757D6">
      <w:pPr>
        <w:pStyle w:val="Policy-BodyText"/>
        <w:numPr>
          <w:ilvl w:val="2"/>
          <w:numId w:val="3"/>
        </w:numPr>
        <w:tabs>
          <w:tab w:val="left" w:pos="709"/>
        </w:tabs>
        <w:ind w:left="709" w:hanging="709"/>
      </w:pPr>
      <w:r w:rsidRPr="006831AF">
        <w:t>Respond</w:t>
      </w:r>
      <w:r w:rsidR="004F3E5E" w:rsidRPr="006831AF">
        <w:t>ing</w:t>
      </w:r>
      <w:r w:rsidRPr="006831AF">
        <w:t xml:space="preserve"> to occupational violence incidents where emergency </w:t>
      </w:r>
      <w:r w:rsidR="004F3E5E" w:rsidRPr="006831AF">
        <w:t>services are</w:t>
      </w:r>
      <w:r w:rsidR="007401DF" w:rsidRPr="006831AF">
        <w:t xml:space="preserve"> engaged</w:t>
      </w:r>
      <w:r w:rsidR="004F3E5E" w:rsidRPr="006831AF">
        <w:t xml:space="preserve"> and ensuring</w:t>
      </w:r>
      <w:r w:rsidRPr="006831AF">
        <w:t xml:space="preserve"> protocols for emergency</w:t>
      </w:r>
      <w:r w:rsidR="007401DF" w:rsidRPr="006831AF">
        <w:t xml:space="preserve"> plans are followed</w:t>
      </w:r>
    </w:p>
    <w:p w:rsidR="002F6FF7" w:rsidRPr="006831AF" w:rsidRDefault="004F3E5E" w:rsidP="009757D6">
      <w:pPr>
        <w:pStyle w:val="Policy-BodyText"/>
        <w:numPr>
          <w:ilvl w:val="2"/>
          <w:numId w:val="3"/>
        </w:numPr>
        <w:tabs>
          <w:tab w:val="left" w:pos="709"/>
        </w:tabs>
        <w:ind w:left="709" w:hanging="709"/>
      </w:pPr>
      <w:r w:rsidRPr="006831AF">
        <w:t>Providing</w:t>
      </w:r>
      <w:r w:rsidR="007736B8" w:rsidRPr="006831AF">
        <w:t xml:space="preserve"> </w:t>
      </w:r>
      <w:r w:rsidRPr="006831AF">
        <w:t>or facilitating</w:t>
      </w:r>
      <w:r w:rsidR="007736B8" w:rsidRPr="006831AF">
        <w:t xml:space="preserve"> </w:t>
      </w:r>
      <w:r w:rsidR="007401DF" w:rsidRPr="006831AF">
        <w:t>occupational violence</w:t>
      </w:r>
      <w:r w:rsidR="007736B8" w:rsidRPr="006831AF">
        <w:t xml:space="preserve"> incident support as set out in Directorate procedures</w:t>
      </w:r>
    </w:p>
    <w:p w:rsidR="007736B8" w:rsidRPr="006831AF" w:rsidRDefault="00A64DE4" w:rsidP="009757D6">
      <w:pPr>
        <w:pStyle w:val="Policy-BodyText"/>
        <w:numPr>
          <w:ilvl w:val="2"/>
          <w:numId w:val="3"/>
        </w:numPr>
        <w:tabs>
          <w:tab w:val="left" w:pos="709"/>
        </w:tabs>
        <w:ind w:left="709" w:hanging="709"/>
      </w:pPr>
      <w:r w:rsidRPr="006831AF">
        <w:t xml:space="preserve"> Providing a p</w:t>
      </w:r>
      <w:r w:rsidR="001A755E" w:rsidRPr="006831AF">
        <w:t>ositive and supportive workplace</w:t>
      </w:r>
      <w:r w:rsidRPr="006831AF">
        <w:t xml:space="preserve"> for anyone impacted by occupational violence</w:t>
      </w:r>
      <w:r w:rsidR="00124674" w:rsidRPr="006831AF">
        <w:t>.</w:t>
      </w:r>
      <w:r w:rsidR="001435BD" w:rsidRPr="006831AF">
        <w:br/>
      </w:r>
    </w:p>
    <w:p w:rsidR="007A0301" w:rsidRPr="006831AF" w:rsidRDefault="001435BD" w:rsidP="0078426B">
      <w:pPr>
        <w:pStyle w:val="Policy-BodyText"/>
        <w:tabs>
          <w:tab w:val="clear" w:pos="567"/>
          <w:tab w:val="left" w:pos="709"/>
        </w:tabs>
        <w:ind w:left="709" w:hanging="709"/>
        <w:rPr>
          <w:b/>
          <w:bCs/>
        </w:rPr>
      </w:pPr>
      <w:r w:rsidRPr="006831AF">
        <w:rPr>
          <w:b/>
        </w:rPr>
        <w:t>Employees</w:t>
      </w:r>
      <w:r w:rsidRPr="006831AF">
        <w:t xml:space="preserve"> are responsible for:</w:t>
      </w:r>
      <w:r w:rsidRPr="006831AF">
        <w:br/>
      </w:r>
    </w:p>
    <w:p w:rsidR="001435BD" w:rsidRPr="006831AF" w:rsidRDefault="001435BD" w:rsidP="0078426B">
      <w:pPr>
        <w:pStyle w:val="Policy-BodyText"/>
        <w:numPr>
          <w:ilvl w:val="2"/>
          <w:numId w:val="3"/>
        </w:numPr>
        <w:tabs>
          <w:tab w:val="left" w:pos="709"/>
        </w:tabs>
        <w:ind w:left="709" w:hanging="709"/>
      </w:pPr>
      <w:r w:rsidRPr="006831AF">
        <w:t>Complying with</w:t>
      </w:r>
      <w:r w:rsidR="00CB6961" w:rsidRPr="006831AF">
        <w:t xml:space="preserve"> Whole of Government and</w:t>
      </w:r>
      <w:r w:rsidRPr="006831AF">
        <w:t xml:space="preserve"> Directorate policy and procedures on occupational violence</w:t>
      </w:r>
    </w:p>
    <w:p w:rsidR="001435BD" w:rsidRPr="006831AF" w:rsidRDefault="001435BD" w:rsidP="0078426B">
      <w:pPr>
        <w:pStyle w:val="Policy-BodyText"/>
        <w:numPr>
          <w:ilvl w:val="2"/>
          <w:numId w:val="3"/>
        </w:numPr>
        <w:tabs>
          <w:tab w:val="left" w:pos="709"/>
        </w:tabs>
        <w:ind w:left="709" w:hanging="709"/>
      </w:pPr>
      <w:r w:rsidRPr="006831AF">
        <w:t>Report</w:t>
      </w:r>
      <w:r w:rsidR="004F3E5E" w:rsidRPr="006831AF">
        <w:t>ing</w:t>
      </w:r>
      <w:r w:rsidRPr="006831AF">
        <w:t xml:space="preserve"> incidents of occupational violence</w:t>
      </w:r>
      <w:r w:rsidR="0086096D" w:rsidRPr="006831AF">
        <w:t xml:space="preserve"> in line with the Whole of Government </w:t>
      </w:r>
      <w:r w:rsidR="003E3013" w:rsidRPr="006831AF">
        <w:t>‘Responding to workplace accidents/incidents’</w:t>
      </w:r>
      <w:r w:rsidR="0086096D" w:rsidRPr="006831AF">
        <w:t xml:space="preserve"> policy</w:t>
      </w:r>
    </w:p>
    <w:p w:rsidR="001435BD" w:rsidRPr="006831AF" w:rsidRDefault="001435BD" w:rsidP="0078426B">
      <w:pPr>
        <w:pStyle w:val="Policy-BodyText"/>
        <w:numPr>
          <w:ilvl w:val="2"/>
          <w:numId w:val="3"/>
        </w:numPr>
        <w:tabs>
          <w:tab w:val="left" w:pos="709"/>
        </w:tabs>
        <w:ind w:left="709" w:hanging="709"/>
      </w:pPr>
      <w:r w:rsidRPr="006831AF">
        <w:t>Apply</w:t>
      </w:r>
      <w:r w:rsidR="004F3E5E" w:rsidRPr="006831AF">
        <w:t>ing</w:t>
      </w:r>
      <w:r w:rsidRPr="006831AF">
        <w:t xml:space="preserve"> training </w:t>
      </w:r>
      <w:r w:rsidR="004F3E5E" w:rsidRPr="006831AF">
        <w:t>provided for</w:t>
      </w:r>
      <w:r w:rsidRPr="006831AF">
        <w:t xml:space="preserve"> managing occupational violence risks</w:t>
      </w:r>
    </w:p>
    <w:p w:rsidR="001435BD" w:rsidRPr="006831AF" w:rsidRDefault="001435BD" w:rsidP="0078426B">
      <w:pPr>
        <w:pStyle w:val="Policy-BodyText"/>
        <w:numPr>
          <w:ilvl w:val="2"/>
          <w:numId w:val="3"/>
        </w:numPr>
        <w:tabs>
          <w:tab w:val="left" w:pos="709"/>
        </w:tabs>
        <w:ind w:left="709" w:hanging="709"/>
      </w:pPr>
      <w:r w:rsidRPr="006831AF">
        <w:t>Ensuring their actions do not create an occupational violence risk to themselves or to others</w:t>
      </w:r>
      <w:r w:rsidR="000577F6" w:rsidRPr="006831AF">
        <w:t>.</w:t>
      </w:r>
    </w:p>
    <w:p w:rsidR="0078426B" w:rsidRPr="006831AF" w:rsidRDefault="0078426B" w:rsidP="0078426B">
      <w:pPr>
        <w:pStyle w:val="Policy-BodyText"/>
        <w:numPr>
          <w:ilvl w:val="0"/>
          <w:numId w:val="0"/>
        </w:numPr>
        <w:tabs>
          <w:tab w:val="left" w:pos="709"/>
        </w:tabs>
      </w:pPr>
    </w:p>
    <w:p w:rsidR="003101C5" w:rsidRPr="006831AF" w:rsidRDefault="003101C5" w:rsidP="009757D6">
      <w:pPr>
        <w:pStyle w:val="PolicyHeading2-Accessible"/>
        <w:tabs>
          <w:tab w:val="clear" w:pos="567"/>
          <w:tab w:val="left" w:pos="709"/>
        </w:tabs>
        <w:ind w:left="709" w:hanging="709"/>
        <w:rPr>
          <w:szCs w:val="24"/>
        </w:rPr>
      </w:pPr>
      <w:r w:rsidRPr="006831AF">
        <w:rPr>
          <w:szCs w:val="24"/>
        </w:rPr>
        <w:t>Policy Owner</w:t>
      </w:r>
    </w:p>
    <w:p w:rsidR="00521524" w:rsidRPr="006831AF" w:rsidRDefault="00521524">
      <w:pPr>
        <w:pStyle w:val="Policy-BodyText"/>
        <w:numPr>
          <w:ilvl w:val="0"/>
          <w:numId w:val="0"/>
        </w:numPr>
      </w:pPr>
    </w:p>
    <w:p w:rsidR="0040727E" w:rsidRPr="006831AF" w:rsidRDefault="00400118" w:rsidP="009757D6">
      <w:pPr>
        <w:pStyle w:val="Policy-BodyText"/>
        <w:tabs>
          <w:tab w:val="clear" w:pos="567"/>
          <w:tab w:val="left" w:pos="709"/>
        </w:tabs>
        <w:ind w:left="709" w:hanging="709"/>
      </w:pPr>
      <w:r w:rsidRPr="006831AF">
        <w:t xml:space="preserve">The </w:t>
      </w:r>
      <w:r w:rsidRPr="006831AF">
        <w:rPr>
          <w:rStyle w:val="ExplanatoryTextChar"/>
          <w:rFonts w:eastAsiaTheme="minorEastAsia"/>
          <w:b w:val="0"/>
          <w:sz w:val="24"/>
          <w:szCs w:val="24"/>
        </w:rPr>
        <w:t xml:space="preserve">Deputy Director General </w:t>
      </w:r>
      <w:r w:rsidR="006A0672" w:rsidRPr="006831AF">
        <w:rPr>
          <w:rStyle w:val="ExplanatoryTextChar"/>
          <w:rFonts w:eastAsiaTheme="minorEastAsia"/>
          <w:b w:val="0"/>
          <w:sz w:val="24"/>
          <w:szCs w:val="24"/>
        </w:rPr>
        <w:t>Business Services</w:t>
      </w:r>
      <w:r w:rsidRPr="006831AF">
        <w:rPr>
          <w:rStyle w:val="ExplanatoryTextChar"/>
          <w:rFonts w:eastAsiaTheme="minorEastAsia"/>
          <w:b w:val="0"/>
          <w:sz w:val="24"/>
          <w:szCs w:val="24"/>
        </w:rPr>
        <w:t xml:space="preserve"> is responsible for this policy.</w:t>
      </w:r>
    </w:p>
    <w:p w:rsidR="0078426B" w:rsidRPr="006831AF" w:rsidRDefault="0078426B" w:rsidP="009757D6">
      <w:pPr>
        <w:pStyle w:val="Policy-BodyText"/>
        <w:numPr>
          <w:ilvl w:val="0"/>
          <w:numId w:val="0"/>
        </w:numPr>
        <w:tabs>
          <w:tab w:val="left" w:pos="709"/>
        </w:tabs>
        <w:ind w:left="709" w:hanging="709"/>
      </w:pPr>
    </w:p>
    <w:p w:rsidR="005C44BD" w:rsidRPr="006831AF" w:rsidRDefault="005C44BD" w:rsidP="009757D6">
      <w:pPr>
        <w:pStyle w:val="PolicyHeading2-Accessible"/>
        <w:tabs>
          <w:tab w:val="clear" w:pos="567"/>
          <w:tab w:val="left" w:pos="709"/>
        </w:tabs>
        <w:ind w:left="709" w:hanging="709"/>
        <w:rPr>
          <w:szCs w:val="24"/>
        </w:rPr>
      </w:pPr>
      <w:r w:rsidRPr="006831AF">
        <w:rPr>
          <w:szCs w:val="24"/>
        </w:rPr>
        <w:t>Monitoring and review</w:t>
      </w:r>
    </w:p>
    <w:p w:rsidR="002C1B14" w:rsidRPr="006831AF" w:rsidRDefault="002C1B14" w:rsidP="009757D6">
      <w:pPr>
        <w:pStyle w:val="Policy-BodyText"/>
        <w:numPr>
          <w:ilvl w:val="0"/>
          <w:numId w:val="0"/>
        </w:numPr>
        <w:tabs>
          <w:tab w:val="left" w:pos="709"/>
        </w:tabs>
        <w:spacing w:line="240" w:lineRule="auto"/>
        <w:ind w:left="709" w:hanging="709"/>
      </w:pPr>
    </w:p>
    <w:p w:rsidR="00400118" w:rsidRPr="006831AF" w:rsidRDefault="00400118" w:rsidP="009757D6">
      <w:pPr>
        <w:pStyle w:val="Policy-BodyText"/>
        <w:tabs>
          <w:tab w:val="clear" w:pos="567"/>
          <w:tab w:val="left" w:pos="709"/>
        </w:tabs>
        <w:spacing w:line="240" w:lineRule="auto"/>
        <w:ind w:left="709" w:hanging="709"/>
      </w:pPr>
      <w:r w:rsidRPr="006831AF">
        <w:t>The Policy Owner, People and Performance monitors this policy by annual scan and full revie</w:t>
      </w:r>
      <w:r w:rsidR="00646E2C">
        <w:t>w conducted within three years</w:t>
      </w:r>
      <w:r w:rsidRPr="006831AF">
        <w:t xml:space="preserve"> </w:t>
      </w:r>
    </w:p>
    <w:p w:rsidR="003101C5" w:rsidRPr="006831AF" w:rsidRDefault="0070176E" w:rsidP="009757D6">
      <w:pPr>
        <w:pStyle w:val="Policy-BodyText"/>
        <w:tabs>
          <w:tab w:val="clear" w:pos="567"/>
          <w:tab w:val="left" w:pos="709"/>
        </w:tabs>
        <w:spacing w:line="240" w:lineRule="auto"/>
        <w:ind w:left="709" w:hanging="709"/>
      </w:pPr>
      <w:r w:rsidRPr="006831AF">
        <w:t>A process of review and evaluation will be developed as part of consultation to support the effectiveness of this policy.</w:t>
      </w:r>
      <w:r w:rsidR="00400118" w:rsidRPr="006831AF">
        <w:t xml:space="preserve"> </w:t>
      </w:r>
    </w:p>
    <w:p w:rsidR="00110734" w:rsidRPr="006831AF" w:rsidRDefault="00110734" w:rsidP="00110734">
      <w:pPr>
        <w:pStyle w:val="Policy-BodyText"/>
        <w:numPr>
          <w:ilvl w:val="0"/>
          <w:numId w:val="0"/>
        </w:numPr>
      </w:pPr>
    </w:p>
    <w:p w:rsidR="005C44BD" w:rsidRPr="006831AF" w:rsidRDefault="005C44BD" w:rsidP="009757D6">
      <w:pPr>
        <w:pStyle w:val="PolicyHeading2-Accessible"/>
        <w:tabs>
          <w:tab w:val="clear" w:pos="567"/>
          <w:tab w:val="left" w:pos="709"/>
        </w:tabs>
        <w:ind w:left="709" w:hanging="709"/>
        <w:rPr>
          <w:szCs w:val="24"/>
        </w:rPr>
      </w:pPr>
      <w:r w:rsidRPr="006831AF">
        <w:rPr>
          <w:szCs w:val="24"/>
        </w:rPr>
        <w:t>Contact</w:t>
      </w:r>
    </w:p>
    <w:p w:rsidR="003101C5" w:rsidRPr="006831AF" w:rsidRDefault="003101C5" w:rsidP="009757D6">
      <w:pPr>
        <w:pStyle w:val="Policy-BodyText"/>
        <w:numPr>
          <w:ilvl w:val="0"/>
          <w:numId w:val="0"/>
        </w:numPr>
        <w:tabs>
          <w:tab w:val="left" w:pos="709"/>
        </w:tabs>
        <w:ind w:left="709" w:hanging="709"/>
      </w:pPr>
    </w:p>
    <w:p w:rsidR="00400118" w:rsidRPr="006831AF" w:rsidRDefault="00400118" w:rsidP="009757D6">
      <w:pPr>
        <w:pStyle w:val="Policy-BodyText"/>
        <w:tabs>
          <w:tab w:val="clear" w:pos="567"/>
          <w:tab w:val="left" w:pos="709"/>
        </w:tabs>
        <w:ind w:left="709" w:hanging="709"/>
      </w:pPr>
      <w:r w:rsidRPr="006831AF">
        <w:t>For support contact</w:t>
      </w:r>
      <w:r w:rsidRPr="006831AF">
        <w:rPr>
          <w:rStyle w:val="ExplanatoryTextChar"/>
          <w:rFonts w:eastAsiaTheme="minorEastAsia"/>
          <w:b w:val="0"/>
          <w:sz w:val="24"/>
          <w:szCs w:val="24"/>
        </w:rPr>
        <w:t xml:space="preserve"> People and Performance Branch</w:t>
      </w:r>
      <w:r w:rsidRPr="006831AF">
        <w:t xml:space="preserve"> on </w:t>
      </w:r>
      <w:r w:rsidRPr="006831AF">
        <w:rPr>
          <w:rStyle w:val="ExplanatoryTextChar"/>
          <w:rFonts w:eastAsiaTheme="minorEastAsia"/>
          <w:b w:val="0"/>
          <w:sz w:val="24"/>
          <w:szCs w:val="24"/>
        </w:rPr>
        <w:t>02 6205</w:t>
      </w:r>
      <w:r w:rsidR="00124674" w:rsidRPr="006831AF">
        <w:rPr>
          <w:rStyle w:val="ExplanatoryTextChar"/>
          <w:rFonts w:eastAsiaTheme="minorEastAsia"/>
          <w:b w:val="0"/>
          <w:sz w:val="24"/>
          <w:szCs w:val="24"/>
        </w:rPr>
        <w:t xml:space="preserve"> </w:t>
      </w:r>
      <w:r w:rsidRPr="006831AF">
        <w:rPr>
          <w:rStyle w:val="ExplanatoryTextChar"/>
          <w:rFonts w:eastAsiaTheme="minorEastAsia"/>
          <w:b w:val="0"/>
          <w:sz w:val="24"/>
          <w:szCs w:val="24"/>
        </w:rPr>
        <w:t xml:space="preserve">9202 or email </w:t>
      </w:r>
      <w:hyperlink r:id="rId16" w:history="1">
        <w:r w:rsidR="000A4279" w:rsidRPr="009806A7">
          <w:rPr>
            <w:rStyle w:val="Hyperlink"/>
            <w:rFonts w:cs="Calibri"/>
            <w:sz w:val="24"/>
          </w:rPr>
          <w:t>etdhealthandwellbeing@act.gov.au</w:t>
        </w:r>
      </w:hyperlink>
      <w:r w:rsidR="000A4279">
        <w:rPr>
          <w:rStyle w:val="ExplanatoryTextChar"/>
          <w:rFonts w:eastAsiaTheme="minorEastAsia"/>
          <w:b w:val="0"/>
          <w:sz w:val="24"/>
          <w:szCs w:val="24"/>
        </w:rPr>
        <w:t xml:space="preserve">. </w:t>
      </w:r>
    </w:p>
    <w:p w:rsidR="003101C5" w:rsidRPr="006831AF" w:rsidRDefault="003101C5" w:rsidP="009757D6">
      <w:pPr>
        <w:pStyle w:val="Policy-BodyText"/>
        <w:numPr>
          <w:ilvl w:val="0"/>
          <w:numId w:val="0"/>
        </w:numPr>
        <w:tabs>
          <w:tab w:val="left" w:pos="709"/>
        </w:tabs>
        <w:spacing w:line="240" w:lineRule="auto"/>
        <w:ind w:left="709" w:hanging="709"/>
      </w:pPr>
    </w:p>
    <w:p w:rsidR="009729C8" w:rsidRPr="006831AF" w:rsidRDefault="009729C8" w:rsidP="009757D6">
      <w:pPr>
        <w:pStyle w:val="PolicyHeading2-Accessible"/>
        <w:tabs>
          <w:tab w:val="clear" w:pos="567"/>
          <w:tab w:val="left" w:pos="709"/>
        </w:tabs>
        <w:ind w:left="709" w:hanging="709"/>
        <w:rPr>
          <w:szCs w:val="24"/>
        </w:rPr>
      </w:pPr>
      <w:bookmarkStart w:id="0" w:name="_Toc419889962"/>
      <w:r w:rsidRPr="006831AF">
        <w:rPr>
          <w:szCs w:val="24"/>
        </w:rPr>
        <w:lastRenderedPageBreak/>
        <w:t>Complaints</w:t>
      </w:r>
      <w:bookmarkEnd w:id="0"/>
    </w:p>
    <w:p w:rsidR="00521524" w:rsidRPr="006831AF" w:rsidRDefault="00521524" w:rsidP="009757D6">
      <w:pPr>
        <w:pStyle w:val="Policy-BodyText"/>
        <w:numPr>
          <w:ilvl w:val="0"/>
          <w:numId w:val="0"/>
        </w:numPr>
        <w:tabs>
          <w:tab w:val="left" w:pos="709"/>
        </w:tabs>
      </w:pPr>
    </w:p>
    <w:p w:rsidR="00D941BC" w:rsidRPr="006831AF" w:rsidRDefault="00D941BC" w:rsidP="009757D6">
      <w:pPr>
        <w:pStyle w:val="Policy-BodyText"/>
        <w:tabs>
          <w:tab w:val="clear" w:pos="567"/>
          <w:tab w:val="left" w:pos="709"/>
        </w:tabs>
        <w:spacing w:line="240" w:lineRule="auto"/>
        <w:ind w:left="709" w:hanging="709"/>
      </w:pPr>
      <w:r w:rsidRPr="006831AF">
        <w:t>Any concerns about the application of this policy or the policy itself, should be raised with:</w:t>
      </w:r>
    </w:p>
    <w:p w:rsidR="009729C8" w:rsidRPr="006831AF" w:rsidRDefault="00D941BC" w:rsidP="009757D6">
      <w:pPr>
        <w:pStyle w:val="Policy-BodyText"/>
        <w:numPr>
          <w:ilvl w:val="0"/>
          <w:numId w:val="14"/>
        </w:numPr>
        <w:tabs>
          <w:tab w:val="left" w:pos="709"/>
        </w:tabs>
        <w:spacing w:line="240" w:lineRule="auto"/>
      </w:pPr>
      <w:r w:rsidRPr="006831AF">
        <w:t>t</w:t>
      </w:r>
      <w:r w:rsidR="009729C8" w:rsidRPr="006831AF">
        <w:t xml:space="preserve">he </w:t>
      </w:r>
      <w:r w:rsidRPr="006831AF">
        <w:t xml:space="preserve">school principal </w:t>
      </w:r>
      <w:r w:rsidR="009729C8" w:rsidRPr="006831AF">
        <w:t>in the first instance;</w:t>
      </w:r>
    </w:p>
    <w:p w:rsidR="0079341E" w:rsidRPr="006831AF" w:rsidRDefault="009729C8" w:rsidP="009757D6">
      <w:pPr>
        <w:pStyle w:val="Policy-BodyText"/>
        <w:numPr>
          <w:ilvl w:val="0"/>
          <w:numId w:val="14"/>
        </w:numPr>
        <w:tabs>
          <w:tab w:val="left" w:pos="709"/>
        </w:tabs>
        <w:spacing w:line="240" w:lineRule="auto"/>
      </w:pPr>
      <w:r w:rsidRPr="006831AF">
        <w:t>the Directorate’s Liaison Unit on (02) 6205 5429</w:t>
      </w:r>
      <w:r w:rsidR="006A2D69" w:rsidRPr="006831AF">
        <w:t>;</w:t>
      </w:r>
    </w:p>
    <w:p w:rsidR="009729C8" w:rsidRPr="006831AF" w:rsidRDefault="0079341E" w:rsidP="009757D6">
      <w:pPr>
        <w:pStyle w:val="Policy-BodyText"/>
        <w:numPr>
          <w:ilvl w:val="0"/>
          <w:numId w:val="14"/>
        </w:numPr>
        <w:tabs>
          <w:tab w:val="left" w:pos="709"/>
        </w:tabs>
        <w:spacing w:line="240" w:lineRule="auto"/>
      </w:pPr>
      <w:r w:rsidRPr="006831AF">
        <w:t xml:space="preserve">online </w:t>
      </w:r>
      <w:r w:rsidR="009729C8" w:rsidRPr="006831AF">
        <w:t xml:space="preserve">at </w:t>
      </w:r>
      <w:hyperlink r:id="rId17" w:history="1">
        <w:r w:rsidR="002819F9" w:rsidRPr="00FA17FA">
          <w:rPr>
            <w:rStyle w:val="Hyperlink"/>
          </w:rPr>
          <w:t>http://www.education.act.gov.au/contact_us</w:t>
        </w:r>
      </w:hyperlink>
      <w:r w:rsidR="002819F9">
        <w:t>;</w:t>
      </w:r>
    </w:p>
    <w:p w:rsidR="00137189" w:rsidRPr="006831AF" w:rsidRDefault="0079341E" w:rsidP="009757D6">
      <w:pPr>
        <w:pStyle w:val="Policy-BodyText"/>
        <w:numPr>
          <w:ilvl w:val="0"/>
          <w:numId w:val="14"/>
        </w:numPr>
        <w:tabs>
          <w:tab w:val="left" w:pos="709"/>
        </w:tabs>
        <w:spacing w:line="240" w:lineRule="auto"/>
      </w:pPr>
      <w:proofErr w:type="gramStart"/>
      <w:r w:rsidRPr="006831AF">
        <w:t>see</w:t>
      </w:r>
      <w:proofErr w:type="gramEnd"/>
      <w:r w:rsidRPr="006831AF">
        <w:t xml:space="preserve"> also </w:t>
      </w:r>
      <w:r w:rsidR="009729C8" w:rsidRPr="006831AF">
        <w:t xml:space="preserve">the </w:t>
      </w:r>
      <w:r w:rsidR="009729C8" w:rsidRPr="006831AF">
        <w:rPr>
          <w:i/>
        </w:rPr>
        <w:t>Complaints Policy</w:t>
      </w:r>
      <w:r w:rsidR="009729C8" w:rsidRPr="006831AF">
        <w:t xml:space="preserve"> on the Directorate’s website.</w:t>
      </w:r>
    </w:p>
    <w:p w:rsidR="00137189" w:rsidRPr="006831AF" w:rsidRDefault="00137189" w:rsidP="009757D6">
      <w:pPr>
        <w:pStyle w:val="Policy-BodyText"/>
        <w:numPr>
          <w:ilvl w:val="0"/>
          <w:numId w:val="0"/>
        </w:numPr>
        <w:tabs>
          <w:tab w:val="left" w:pos="709"/>
        </w:tabs>
        <w:spacing w:line="240" w:lineRule="auto"/>
        <w:ind w:left="709" w:hanging="709"/>
      </w:pPr>
    </w:p>
    <w:p w:rsidR="00137189" w:rsidRPr="006831AF" w:rsidRDefault="00137189" w:rsidP="009757D6">
      <w:pPr>
        <w:pStyle w:val="PolicyHeading2-Accessible"/>
        <w:tabs>
          <w:tab w:val="clear" w:pos="567"/>
          <w:tab w:val="left" w:pos="709"/>
        </w:tabs>
        <w:ind w:left="709" w:hanging="709"/>
        <w:rPr>
          <w:szCs w:val="24"/>
        </w:rPr>
      </w:pPr>
      <w:r w:rsidRPr="006831AF">
        <w:rPr>
          <w:szCs w:val="24"/>
        </w:rPr>
        <w:t xml:space="preserve">Implementation Documents </w:t>
      </w:r>
    </w:p>
    <w:p w:rsidR="00521524" w:rsidRPr="006831AF" w:rsidRDefault="00521524">
      <w:pPr>
        <w:pStyle w:val="Policy-BodyText"/>
        <w:numPr>
          <w:ilvl w:val="0"/>
          <w:numId w:val="0"/>
        </w:numPr>
      </w:pPr>
    </w:p>
    <w:p w:rsidR="00137189" w:rsidRPr="006831AF" w:rsidRDefault="00137189" w:rsidP="009757D6">
      <w:pPr>
        <w:pStyle w:val="Policy-BodyText"/>
        <w:tabs>
          <w:tab w:val="clear" w:pos="567"/>
          <w:tab w:val="left" w:pos="709"/>
        </w:tabs>
        <w:ind w:left="709" w:hanging="709"/>
      </w:pPr>
      <w:r w:rsidRPr="006831AF">
        <w:t>This policy is to be implemented through the application of the related documents:</w:t>
      </w:r>
    </w:p>
    <w:p w:rsidR="00137189" w:rsidRPr="006831AF" w:rsidRDefault="00137189" w:rsidP="009757D6">
      <w:pPr>
        <w:pStyle w:val="Policy-BodyText"/>
        <w:numPr>
          <w:ilvl w:val="0"/>
          <w:numId w:val="15"/>
        </w:numPr>
        <w:tabs>
          <w:tab w:val="left" w:pos="709"/>
        </w:tabs>
        <w:ind w:left="1080"/>
      </w:pPr>
      <w:r w:rsidRPr="006831AF">
        <w:t>Occupational Violence Management Plan</w:t>
      </w:r>
    </w:p>
    <w:p w:rsidR="00137189" w:rsidRPr="006831AF" w:rsidRDefault="00137189" w:rsidP="009757D6">
      <w:pPr>
        <w:pStyle w:val="Policy-BodyText"/>
        <w:numPr>
          <w:ilvl w:val="0"/>
          <w:numId w:val="15"/>
        </w:numPr>
        <w:tabs>
          <w:tab w:val="left" w:pos="709"/>
        </w:tabs>
        <w:ind w:left="1080"/>
      </w:pPr>
      <w:r w:rsidRPr="006831AF">
        <w:t>Occupational Violence Procedures</w:t>
      </w:r>
      <w:r w:rsidR="00AE7F7B" w:rsidRPr="006831AF">
        <w:t xml:space="preserve"> </w:t>
      </w:r>
      <w:r w:rsidR="00A16717" w:rsidRPr="006831AF">
        <w:t>(TBD)</w:t>
      </w:r>
    </w:p>
    <w:p w:rsidR="00137189" w:rsidRPr="006831AF" w:rsidRDefault="00137189" w:rsidP="009757D6">
      <w:pPr>
        <w:pStyle w:val="Policy-BodyText"/>
        <w:numPr>
          <w:ilvl w:val="0"/>
          <w:numId w:val="15"/>
        </w:numPr>
        <w:tabs>
          <w:tab w:val="left" w:pos="709"/>
        </w:tabs>
        <w:ind w:left="1080"/>
      </w:pPr>
      <w:r w:rsidRPr="006831AF">
        <w:t>Occupational Violence Checklists</w:t>
      </w:r>
      <w:r w:rsidR="00AE7F7B" w:rsidRPr="006831AF">
        <w:t xml:space="preserve"> </w:t>
      </w:r>
      <w:r w:rsidR="00A16717" w:rsidRPr="006831AF">
        <w:t>(TBD)</w:t>
      </w:r>
    </w:p>
    <w:p w:rsidR="00137189" w:rsidRPr="006831AF" w:rsidRDefault="00137189" w:rsidP="009757D6">
      <w:pPr>
        <w:pStyle w:val="Policy-BodyText"/>
        <w:numPr>
          <w:ilvl w:val="0"/>
          <w:numId w:val="0"/>
        </w:numPr>
        <w:tabs>
          <w:tab w:val="left" w:pos="709"/>
        </w:tabs>
        <w:ind w:left="1429" w:hanging="709"/>
      </w:pPr>
    </w:p>
    <w:p w:rsidR="00400118" w:rsidRPr="006831AF" w:rsidRDefault="00BC0D96" w:rsidP="009757D6">
      <w:pPr>
        <w:pStyle w:val="PolicyHeading2-Accessible"/>
        <w:tabs>
          <w:tab w:val="clear" w:pos="567"/>
          <w:tab w:val="left" w:pos="709"/>
        </w:tabs>
        <w:ind w:left="709" w:hanging="709"/>
        <w:rPr>
          <w:szCs w:val="24"/>
        </w:rPr>
      </w:pPr>
      <w:r w:rsidRPr="006831AF">
        <w:rPr>
          <w:szCs w:val="24"/>
        </w:rPr>
        <w:t>Rel</w:t>
      </w:r>
      <w:r w:rsidR="006E01E3" w:rsidRPr="006831AF">
        <w:rPr>
          <w:szCs w:val="24"/>
        </w:rPr>
        <w:t>a</w:t>
      </w:r>
      <w:r w:rsidRPr="006831AF">
        <w:rPr>
          <w:szCs w:val="24"/>
        </w:rPr>
        <w:t>t</w:t>
      </w:r>
      <w:r w:rsidR="006E01E3" w:rsidRPr="006831AF">
        <w:rPr>
          <w:szCs w:val="24"/>
        </w:rPr>
        <w:t>ed</w:t>
      </w:r>
      <w:r w:rsidRPr="006831AF">
        <w:rPr>
          <w:szCs w:val="24"/>
        </w:rPr>
        <w:t xml:space="preserve"> </w:t>
      </w:r>
      <w:r w:rsidR="000B5CBE" w:rsidRPr="006831AF">
        <w:rPr>
          <w:szCs w:val="24"/>
        </w:rPr>
        <w:t>Policies and Information</w:t>
      </w:r>
      <w:r w:rsidRPr="006831AF">
        <w:rPr>
          <w:szCs w:val="24"/>
        </w:rPr>
        <w:t xml:space="preserve"> </w:t>
      </w:r>
    </w:p>
    <w:p w:rsidR="00521524" w:rsidRPr="006831AF" w:rsidRDefault="00521524">
      <w:pPr>
        <w:pStyle w:val="Policy-BodyText"/>
        <w:numPr>
          <w:ilvl w:val="0"/>
          <w:numId w:val="0"/>
        </w:numPr>
      </w:pPr>
    </w:p>
    <w:p w:rsidR="00046DE5" w:rsidRPr="006831AF" w:rsidRDefault="00C70013" w:rsidP="00C757E6">
      <w:pPr>
        <w:pStyle w:val="Policy-BodyText"/>
        <w:tabs>
          <w:tab w:val="clear" w:pos="567"/>
          <w:tab w:val="left" w:pos="709"/>
        </w:tabs>
        <w:ind w:left="709" w:hanging="709"/>
      </w:pPr>
      <w:r w:rsidRPr="006831AF">
        <w:t>ACTPS policy</w:t>
      </w:r>
    </w:p>
    <w:p w:rsidR="00046DE5" w:rsidRPr="00046DE5" w:rsidRDefault="005751FC" w:rsidP="00D01512">
      <w:pPr>
        <w:pStyle w:val="Policy-BodyText"/>
        <w:numPr>
          <w:ilvl w:val="0"/>
          <w:numId w:val="15"/>
        </w:numPr>
        <w:tabs>
          <w:tab w:val="left" w:pos="709"/>
        </w:tabs>
        <w:ind w:left="1080"/>
        <w:rPr>
          <w:rStyle w:val="Hyperlink"/>
          <w:i/>
          <w:color w:val="auto"/>
          <w:u w:val="none"/>
        </w:rPr>
      </w:pPr>
      <w:hyperlink r:id="rId18" w:history="1">
        <w:r w:rsidR="00046DE5" w:rsidRPr="00046DE5">
          <w:rPr>
            <w:rStyle w:val="Hyperlink"/>
            <w:i/>
            <w:lang w:val="en-US"/>
          </w:rPr>
          <w:t>ACT Public Sector Managing Occupational Violence Policy 2012</w:t>
        </w:r>
      </w:hyperlink>
    </w:p>
    <w:p w:rsidR="00A50843" w:rsidRPr="008A11ED" w:rsidRDefault="005751FC" w:rsidP="00046DE5">
      <w:pPr>
        <w:pStyle w:val="Policy-BodyText"/>
        <w:numPr>
          <w:ilvl w:val="0"/>
          <w:numId w:val="15"/>
        </w:numPr>
        <w:tabs>
          <w:tab w:val="left" w:pos="709"/>
        </w:tabs>
        <w:ind w:left="1080"/>
        <w:rPr>
          <w:rStyle w:val="Hyperlink"/>
          <w:i/>
          <w:color w:val="auto"/>
          <w:u w:val="none"/>
        </w:rPr>
      </w:pPr>
      <w:hyperlink r:id="rId19" w:history="1">
        <w:r w:rsidR="00046DE5" w:rsidRPr="008A11ED">
          <w:rPr>
            <w:rStyle w:val="Hyperlink"/>
            <w:i/>
            <w:lang w:val="en-US"/>
          </w:rPr>
          <w:t>ACT Public Sector Accident/ Incident Reporting and Investigation Policy 2012</w:t>
        </w:r>
      </w:hyperlink>
    </w:p>
    <w:p w:rsidR="00046DE5" w:rsidRPr="006831AF" w:rsidRDefault="00046DE5" w:rsidP="00046DE5">
      <w:pPr>
        <w:pStyle w:val="Policy-BodyText"/>
        <w:numPr>
          <w:ilvl w:val="0"/>
          <w:numId w:val="0"/>
        </w:numPr>
        <w:tabs>
          <w:tab w:val="left" w:pos="709"/>
        </w:tabs>
        <w:ind w:left="1080"/>
      </w:pPr>
    </w:p>
    <w:p w:rsidR="00AE7F7B" w:rsidRPr="006831AF" w:rsidRDefault="00AE7F7B" w:rsidP="009757D6">
      <w:pPr>
        <w:pStyle w:val="Policy-BodyText"/>
        <w:tabs>
          <w:tab w:val="clear" w:pos="567"/>
          <w:tab w:val="left" w:pos="709"/>
        </w:tabs>
        <w:ind w:left="709" w:hanging="709"/>
      </w:pPr>
      <w:r w:rsidRPr="006831AF">
        <w:t xml:space="preserve">Education </w:t>
      </w:r>
      <w:r w:rsidR="00A50843" w:rsidRPr="006831AF">
        <w:t>Directorate policies/procedures</w:t>
      </w:r>
    </w:p>
    <w:p w:rsidR="00AE7F7B" w:rsidRPr="00046DE5" w:rsidRDefault="005751FC" w:rsidP="00D01512">
      <w:pPr>
        <w:pStyle w:val="Policy-BodyText"/>
        <w:numPr>
          <w:ilvl w:val="0"/>
          <w:numId w:val="15"/>
        </w:numPr>
        <w:tabs>
          <w:tab w:val="left" w:pos="709"/>
        </w:tabs>
        <w:ind w:left="1080"/>
        <w:rPr>
          <w:i/>
        </w:rPr>
      </w:pPr>
      <w:hyperlink r:id="rId20" w:history="1">
        <w:r w:rsidR="00AE7F7B" w:rsidRPr="00046DE5">
          <w:rPr>
            <w:rStyle w:val="Hyperlink"/>
            <w:i/>
          </w:rPr>
          <w:t>Acc</w:t>
        </w:r>
        <w:r w:rsidR="00046DE5" w:rsidRPr="00046DE5">
          <w:rPr>
            <w:rStyle w:val="Hyperlink"/>
            <w:i/>
          </w:rPr>
          <w:t>ident/Incident Reporting Guide</w:t>
        </w:r>
      </w:hyperlink>
    </w:p>
    <w:p w:rsidR="00046DE5" w:rsidRPr="00046DE5" w:rsidRDefault="005751FC" w:rsidP="00D01512">
      <w:pPr>
        <w:pStyle w:val="Policy-BodyText"/>
        <w:numPr>
          <w:ilvl w:val="0"/>
          <w:numId w:val="15"/>
        </w:numPr>
        <w:tabs>
          <w:tab w:val="left" w:pos="709"/>
        </w:tabs>
        <w:ind w:left="1080"/>
        <w:rPr>
          <w:rStyle w:val="Hyperlink"/>
          <w:i/>
          <w:color w:val="auto"/>
          <w:u w:val="none"/>
        </w:rPr>
      </w:pPr>
      <w:hyperlink r:id="rId21" w:history="1">
        <w:r w:rsidR="00046DE5" w:rsidRPr="00046DE5">
          <w:rPr>
            <w:rStyle w:val="Hyperlink"/>
            <w:i/>
            <w:lang w:val="en-US"/>
          </w:rPr>
          <w:t>Critical and Non-critical Incident Reporting Policy</w:t>
        </w:r>
      </w:hyperlink>
    </w:p>
    <w:p w:rsidR="00046DE5" w:rsidRPr="00046DE5" w:rsidRDefault="005751FC" w:rsidP="00D01512">
      <w:pPr>
        <w:pStyle w:val="Policy-BodyText"/>
        <w:numPr>
          <w:ilvl w:val="0"/>
          <w:numId w:val="15"/>
        </w:numPr>
        <w:tabs>
          <w:tab w:val="left" w:pos="709"/>
        </w:tabs>
        <w:ind w:left="1080"/>
        <w:rPr>
          <w:rStyle w:val="Hyperlink"/>
          <w:i/>
          <w:color w:val="auto"/>
          <w:u w:val="none"/>
        </w:rPr>
      </w:pPr>
      <w:hyperlink r:id="rId22" w:history="1">
        <w:r w:rsidR="00046DE5" w:rsidRPr="00046DE5">
          <w:rPr>
            <w:rStyle w:val="Hyperlink"/>
            <w:i/>
            <w:lang w:val="en-US"/>
          </w:rPr>
          <w:t>Safe and Supportive Schools Policy</w:t>
        </w:r>
      </w:hyperlink>
    </w:p>
    <w:p w:rsidR="00046DE5" w:rsidRPr="00046DE5" w:rsidRDefault="005751FC" w:rsidP="00D01512">
      <w:pPr>
        <w:pStyle w:val="Policy-BodyText"/>
        <w:numPr>
          <w:ilvl w:val="0"/>
          <w:numId w:val="15"/>
        </w:numPr>
        <w:tabs>
          <w:tab w:val="left" w:pos="709"/>
        </w:tabs>
        <w:ind w:left="1080"/>
        <w:rPr>
          <w:rStyle w:val="Hyperlink"/>
          <w:i/>
          <w:color w:val="auto"/>
          <w:u w:val="none"/>
        </w:rPr>
      </w:pPr>
      <w:hyperlink r:id="rId23" w:history="1">
        <w:r w:rsidR="00046DE5" w:rsidRPr="00046DE5">
          <w:rPr>
            <w:rStyle w:val="Hyperlink"/>
            <w:i/>
            <w:lang w:val="en-US"/>
          </w:rPr>
          <w:t>Volunteers and Visitors Policy</w:t>
        </w:r>
      </w:hyperlink>
    </w:p>
    <w:p w:rsidR="00046DE5" w:rsidRPr="00046DE5" w:rsidRDefault="005751FC" w:rsidP="00D01512">
      <w:pPr>
        <w:pStyle w:val="Policy-BodyText"/>
        <w:numPr>
          <w:ilvl w:val="0"/>
          <w:numId w:val="15"/>
        </w:numPr>
        <w:tabs>
          <w:tab w:val="left" w:pos="709"/>
        </w:tabs>
        <w:ind w:left="1080"/>
        <w:rPr>
          <w:rStyle w:val="Hyperlink"/>
          <w:i/>
          <w:color w:val="auto"/>
          <w:u w:val="none"/>
        </w:rPr>
      </w:pPr>
      <w:hyperlink r:id="rId24" w:history="1">
        <w:r w:rsidR="00046DE5" w:rsidRPr="00046DE5">
          <w:rPr>
            <w:rStyle w:val="Hyperlink"/>
            <w:i/>
            <w:lang w:val="en-US"/>
          </w:rPr>
          <w:t>Volunteers and Visitors Code of Conduct</w:t>
        </w:r>
      </w:hyperlink>
    </w:p>
    <w:p w:rsidR="00400118" w:rsidRDefault="005751FC" w:rsidP="00D01512">
      <w:pPr>
        <w:pStyle w:val="Policy-BodyText"/>
        <w:numPr>
          <w:ilvl w:val="0"/>
          <w:numId w:val="0"/>
        </w:numPr>
        <w:tabs>
          <w:tab w:val="left" w:pos="709"/>
        </w:tabs>
        <w:ind w:left="1080"/>
        <w:rPr>
          <w:rStyle w:val="Hyperlink"/>
          <w:i/>
          <w:lang w:val="en-US"/>
        </w:rPr>
      </w:pPr>
      <w:hyperlink r:id="rId25" w:history="1">
        <w:r w:rsidR="00046DE5" w:rsidRPr="00046DE5">
          <w:rPr>
            <w:rStyle w:val="Hyperlink"/>
            <w:i/>
            <w:lang w:val="en-US"/>
          </w:rPr>
          <w:t>Unwelcome Visitors Handbook</w:t>
        </w:r>
      </w:hyperlink>
    </w:p>
    <w:p w:rsidR="00C757E6" w:rsidRDefault="00C757E6" w:rsidP="00D01512">
      <w:pPr>
        <w:pStyle w:val="Policy-BodyText"/>
        <w:numPr>
          <w:ilvl w:val="0"/>
          <w:numId w:val="0"/>
        </w:numPr>
        <w:tabs>
          <w:tab w:val="left" w:pos="709"/>
        </w:tabs>
        <w:ind w:left="1080"/>
        <w:rPr>
          <w:rStyle w:val="Hyperlink"/>
          <w:i/>
          <w:lang w:val="en-US"/>
        </w:rPr>
      </w:pPr>
    </w:p>
    <w:p w:rsidR="00C757E6" w:rsidRDefault="00C757E6" w:rsidP="00C757E6">
      <w:pPr>
        <w:pStyle w:val="Policy-BodyText"/>
        <w:tabs>
          <w:tab w:val="clear" w:pos="567"/>
          <w:tab w:val="left" w:pos="709"/>
        </w:tabs>
        <w:ind w:left="709" w:hanging="709"/>
        <w:rPr>
          <w:rStyle w:val="Hyperlink"/>
          <w:color w:val="auto"/>
          <w:u w:val="none"/>
          <w:lang w:val="en-US"/>
        </w:rPr>
      </w:pPr>
      <w:r>
        <w:rPr>
          <w:rStyle w:val="Hyperlink"/>
          <w:color w:val="auto"/>
          <w:u w:val="none"/>
          <w:lang w:val="en-US"/>
        </w:rPr>
        <w:t>Legislative References</w:t>
      </w:r>
    </w:p>
    <w:p w:rsidR="00C757E6" w:rsidRDefault="005751FC" w:rsidP="00C757E6">
      <w:pPr>
        <w:pStyle w:val="Policy-BodyText"/>
        <w:numPr>
          <w:ilvl w:val="0"/>
          <w:numId w:val="15"/>
        </w:numPr>
        <w:tabs>
          <w:tab w:val="left" w:pos="709"/>
        </w:tabs>
        <w:ind w:left="1080"/>
        <w:rPr>
          <w:rStyle w:val="Hyperlink"/>
          <w:color w:val="auto"/>
          <w:u w:val="none"/>
          <w:lang w:val="en-US"/>
        </w:rPr>
      </w:pPr>
      <w:hyperlink r:id="rId26" w:history="1">
        <w:r w:rsidR="00C757E6" w:rsidRPr="00C757E6">
          <w:rPr>
            <w:rStyle w:val="Hyperlink"/>
            <w:i/>
          </w:rPr>
          <w:t>ACT Work Health and Safety Act 2011</w:t>
        </w:r>
      </w:hyperlink>
    </w:p>
    <w:p w:rsidR="00C757E6" w:rsidRDefault="005751FC" w:rsidP="00C757E6">
      <w:pPr>
        <w:pStyle w:val="Policy-BodyText"/>
        <w:numPr>
          <w:ilvl w:val="0"/>
          <w:numId w:val="15"/>
        </w:numPr>
        <w:tabs>
          <w:tab w:val="left" w:pos="709"/>
        </w:tabs>
        <w:ind w:left="1080"/>
        <w:rPr>
          <w:rStyle w:val="Hyperlink"/>
          <w:color w:val="auto"/>
          <w:u w:val="none"/>
          <w:lang w:val="en-US"/>
        </w:rPr>
      </w:pPr>
      <w:hyperlink r:id="rId27" w:history="1">
        <w:r w:rsidR="00C757E6" w:rsidRPr="00C757E6">
          <w:rPr>
            <w:rStyle w:val="Hyperlink"/>
            <w:i/>
          </w:rPr>
          <w:t>ACT Worker Safety Regulation 2011</w:t>
        </w:r>
      </w:hyperlink>
    </w:p>
    <w:p w:rsidR="00C757E6" w:rsidRDefault="005751FC" w:rsidP="00C757E6">
      <w:pPr>
        <w:pStyle w:val="Policy-BodyText"/>
        <w:numPr>
          <w:ilvl w:val="0"/>
          <w:numId w:val="15"/>
        </w:numPr>
        <w:tabs>
          <w:tab w:val="left" w:pos="709"/>
        </w:tabs>
        <w:ind w:left="1080"/>
        <w:rPr>
          <w:rStyle w:val="Hyperlink"/>
          <w:color w:val="auto"/>
          <w:u w:val="none"/>
          <w:lang w:val="en-US"/>
        </w:rPr>
      </w:pPr>
      <w:hyperlink r:id="rId28" w:history="1">
        <w:r w:rsidR="00C757E6" w:rsidRPr="00C757E6">
          <w:rPr>
            <w:rStyle w:val="Hyperlink"/>
            <w:i/>
          </w:rPr>
          <w:t>ACT Public Sector Management Act 1994</w:t>
        </w:r>
      </w:hyperlink>
    </w:p>
    <w:p w:rsidR="00C757E6" w:rsidRDefault="005751FC" w:rsidP="00C757E6">
      <w:pPr>
        <w:pStyle w:val="Policy-BodyText"/>
        <w:numPr>
          <w:ilvl w:val="0"/>
          <w:numId w:val="15"/>
        </w:numPr>
        <w:tabs>
          <w:tab w:val="left" w:pos="709"/>
        </w:tabs>
        <w:ind w:left="1080"/>
        <w:rPr>
          <w:rStyle w:val="Hyperlink"/>
          <w:color w:val="auto"/>
          <w:u w:val="none"/>
          <w:lang w:val="en-US"/>
        </w:rPr>
      </w:pPr>
      <w:hyperlink r:id="rId29" w:history="1">
        <w:r w:rsidR="00C757E6" w:rsidRPr="00C757E6">
          <w:rPr>
            <w:rStyle w:val="Hyperlink"/>
            <w:i/>
          </w:rPr>
          <w:t>Education Act 2004</w:t>
        </w:r>
      </w:hyperlink>
      <w:r w:rsidR="00C757E6" w:rsidRPr="00C757E6">
        <w:rPr>
          <w:rStyle w:val="Hyperlink"/>
        </w:rPr>
        <w:t xml:space="preserve"> </w:t>
      </w:r>
    </w:p>
    <w:p w:rsidR="00C757E6" w:rsidRDefault="005751FC" w:rsidP="00C757E6">
      <w:pPr>
        <w:pStyle w:val="Policy-BodyText"/>
        <w:numPr>
          <w:ilvl w:val="0"/>
          <w:numId w:val="15"/>
        </w:numPr>
        <w:tabs>
          <w:tab w:val="left" w:pos="709"/>
        </w:tabs>
        <w:ind w:left="1080"/>
        <w:rPr>
          <w:rStyle w:val="Hyperlink"/>
          <w:color w:val="auto"/>
          <w:u w:val="none"/>
          <w:lang w:val="en-US"/>
        </w:rPr>
      </w:pPr>
      <w:hyperlink r:id="rId30" w:history="1">
        <w:r w:rsidR="00C757E6" w:rsidRPr="00C757E6">
          <w:rPr>
            <w:rStyle w:val="Hyperlink"/>
            <w:i/>
          </w:rPr>
          <w:t>Human Rights Act 2004</w:t>
        </w:r>
      </w:hyperlink>
    </w:p>
    <w:p w:rsidR="00C757E6" w:rsidRDefault="005751FC" w:rsidP="00C757E6">
      <w:pPr>
        <w:pStyle w:val="Policy-BodyText"/>
        <w:numPr>
          <w:ilvl w:val="0"/>
          <w:numId w:val="15"/>
        </w:numPr>
        <w:tabs>
          <w:tab w:val="left" w:pos="709"/>
        </w:tabs>
        <w:ind w:left="1080"/>
        <w:rPr>
          <w:rStyle w:val="Hyperlink"/>
          <w:color w:val="auto"/>
          <w:u w:val="none"/>
          <w:lang w:val="en-US"/>
        </w:rPr>
      </w:pPr>
      <w:hyperlink r:id="rId31" w:history="1">
        <w:r w:rsidR="00C757E6" w:rsidRPr="00C757E6">
          <w:rPr>
            <w:rStyle w:val="Hyperlink"/>
            <w:i/>
          </w:rPr>
          <w:t>Crimes Act 1900</w:t>
        </w:r>
      </w:hyperlink>
    </w:p>
    <w:p w:rsidR="00C757E6" w:rsidRPr="00C757E6" w:rsidRDefault="005751FC" w:rsidP="00C757E6">
      <w:pPr>
        <w:pStyle w:val="Policy-BodyText"/>
        <w:numPr>
          <w:ilvl w:val="0"/>
          <w:numId w:val="15"/>
        </w:numPr>
        <w:tabs>
          <w:tab w:val="left" w:pos="709"/>
        </w:tabs>
        <w:ind w:left="1080"/>
        <w:rPr>
          <w:lang w:val="en-US"/>
        </w:rPr>
      </w:pPr>
      <w:hyperlink r:id="rId32" w:history="1">
        <w:r w:rsidR="00C757E6" w:rsidRPr="00C757E6">
          <w:rPr>
            <w:rStyle w:val="Hyperlink"/>
            <w:i/>
          </w:rPr>
          <w:t>Crimes Regulation 2001</w:t>
        </w:r>
      </w:hyperlink>
    </w:p>
    <w:sectPr w:rsidR="00C757E6" w:rsidRPr="00C757E6" w:rsidSect="000A4279">
      <w:headerReference w:type="default" r:id="rId33"/>
      <w:pgSz w:w="11900" w:h="16840"/>
      <w:pgMar w:top="1985" w:right="1077" w:bottom="851" w:left="1701" w:header="567" w:footer="397"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7AF33D0" w16cid:durableId="1D1702D3"/>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5E3C" w:rsidRDefault="00335E3C" w:rsidP="00477967">
      <w:r>
        <w:separator/>
      </w:r>
    </w:p>
    <w:p w:rsidR="00335E3C" w:rsidRDefault="00335E3C"/>
  </w:endnote>
  <w:endnote w:type="continuationSeparator" w:id="0">
    <w:p w:rsidR="00335E3C" w:rsidRDefault="00335E3C" w:rsidP="00477967">
      <w:r>
        <w:continuationSeparator/>
      </w:r>
    </w:p>
    <w:p w:rsidR="00335E3C" w:rsidRDefault="00335E3C"/>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5E3C" w:rsidRDefault="00335E3C" w:rsidP="00477967">
      <w:r>
        <w:separator/>
      </w:r>
    </w:p>
    <w:p w:rsidR="00335E3C" w:rsidRDefault="00335E3C"/>
  </w:footnote>
  <w:footnote w:type="continuationSeparator" w:id="0">
    <w:p w:rsidR="00335E3C" w:rsidRDefault="00335E3C" w:rsidP="00477967">
      <w:r>
        <w:continuationSeparator/>
      </w:r>
    </w:p>
    <w:p w:rsidR="00335E3C" w:rsidRDefault="00335E3C"/>
  </w:footnote>
  <w:footnote w:id="1">
    <w:p w:rsidR="0078426B" w:rsidRPr="009D6DB6" w:rsidRDefault="0078426B" w:rsidP="0051790B">
      <w:pPr>
        <w:pStyle w:val="FN"/>
      </w:pPr>
      <w:r>
        <w:rPr>
          <w:rStyle w:val="FootnoteReference"/>
        </w:rPr>
        <w:footnoteRef/>
      </w:r>
      <w:r>
        <w:t xml:space="preserve"> International </w:t>
      </w:r>
      <w:proofErr w:type="spellStart"/>
      <w:r>
        <w:t>Labor</w:t>
      </w:r>
      <w:proofErr w:type="spellEnd"/>
      <w:r>
        <w:t xml:space="preserve"> Organisation Sectoral Activities Program, </w:t>
      </w:r>
      <w:r>
        <w:rPr>
          <w:i/>
        </w:rPr>
        <w:t>Code of Practice on Workplace Violence in services sectors and measures to combat this phenomenon</w:t>
      </w:r>
      <w:r>
        <w:t>, Geneva: ILO, 2003, clause 1.3.1.</w:t>
      </w:r>
    </w:p>
  </w:footnote>
  <w:footnote w:id="2">
    <w:p w:rsidR="0078426B" w:rsidRPr="002B16A6" w:rsidRDefault="0078426B" w:rsidP="009757D6">
      <w:pPr>
        <w:pStyle w:val="FootnoteText"/>
      </w:pPr>
      <w:r>
        <w:rPr>
          <w:rStyle w:val="FootnoteReference"/>
        </w:rPr>
        <w:footnoteRef/>
      </w:r>
      <w:r>
        <w:t xml:space="preserve"> </w:t>
      </w:r>
      <w:r w:rsidRPr="002B16A6">
        <w:t>ACT Government respo</w:t>
      </w:r>
      <w:r>
        <w:t>nse to Schools for All Report, p</w:t>
      </w:r>
      <w:r w:rsidRPr="002B16A6">
        <w:t xml:space="preserve"> 6</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426B" w:rsidRPr="0070176E" w:rsidRDefault="002819F9" w:rsidP="0070176E">
    <w:pPr>
      <w:pStyle w:val="Header"/>
    </w:pPr>
    <w:r w:rsidRPr="002819F9">
      <w:rPr>
        <w:noProof/>
        <w:lang w:eastAsia="en-AU"/>
      </w:rPr>
      <w:drawing>
        <wp:inline distT="0" distB="0" distL="0" distR="0">
          <wp:extent cx="1371600" cy="695325"/>
          <wp:effectExtent l="0" t="0" r="0" b="9525"/>
          <wp:docPr id="4" name="Picture 1" descr="H:\ACT Education small line.jpg"/>
          <wp:cNvGraphicFramePr/>
          <a:graphic xmlns:a="http://schemas.openxmlformats.org/drawingml/2006/main">
            <a:graphicData uri="http://schemas.openxmlformats.org/drawingml/2006/picture">
              <pic:pic xmlns:pic="http://schemas.openxmlformats.org/drawingml/2006/picture">
                <pic:nvPicPr>
                  <pic:cNvPr id="1" name="Picture 1" descr="H:\ACT Education small line.jpg"/>
                  <pic:cNvPicPr/>
                </pic:nvPicPr>
                <pic:blipFill>
                  <a:blip r:embed="rId1"/>
                  <a:srcRect/>
                  <a:stretch>
                    <a:fillRect/>
                  </a:stretch>
                </pic:blipFill>
                <pic:spPr bwMode="auto">
                  <a:xfrm>
                    <a:off x="0" y="0"/>
                    <a:ext cx="1371600" cy="69532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82872"/>
    <w:multiLevelType w:val="multilevel"/>
    <w:tmpl w:val="8564C9A4"/>
    <w:styleLink w:val="PolicyNumbering-Accessible"/>
    <w:lvl w:ilvl="0">
      <w:start w:val="1"/>
      <w:numFmt w:val="decimal"/>
      <w:lvlText w:val="%1."/>
      <w:lvlJc w:val="left"/>
      <w:pPr>
        <w:tabs>
          <w:tab w:val="num" w:pos="567"/>
        </w:tabs>
        <w:ind w:left="0" w:firstLine="0"/>
      </w:pPr>
      <w:rPr>
        <w:rFonts w:ascii="Calibri" w:hAnsi="Calibri" w:hint="default"/>
        <w:sz w:val="24"/>
      </w:rPr>
    </w:lvl>
    <w:lvl w:ilvl="1">
      <w:start w:val="1"/>
      <w:numFmt w:val="decimal"/>
      <w:lvlText w:val="%1.%2."/>
      <w:lvlJc w:val="left"/>
      <w:pPr>
        <w:tabs>
          <w:tab w:val="num" w:pos="567"/>
        </w:tabs>
        <w:ind w:left="0" w:firstLine="0"/>
      </w:pPr>
      <w:rPr>
        <w:rFonts w:ascii="Calibri" w:hAnsi="Calibri" w:hint="default"/>
        <w:sz w:val="24"/>
      </w:rPr>
    </w:lvl>
    <w:lvl w:ilvl="2">
      <w:start w:val="1"/>
      <w:numFmt w:val="decimal"/>
      <w:lvlText w:val="%1.%2.%3."/>
      <w:lvlJc w:val="left"/>
      <w:pPr>
        <w:tabs>
          <w:tab w:val="num" w:pos="680"/>
        </w:tabs>
        <w:ind w:left="0" w:firstLine="0"/>
      </w:pPr>
      <w:rPr>
        <w:rFonts w:ascii="Calibri" w:hAnsi="Calibri" w:hint="default"/>
        <w:sz w:val="24"/>
      </w:rPr>
    </w:lvl>
    <w:lvl w:ilvl="3">
      <w:start w:val="1"/>
      <w:numFmt w:val="decimal"/>
      <w:lvlText w:val="%1.%2.%3.%4."/>
      <w:lvlJc w:val="left"/>
      <w:pPr>
        <w:tabs>
          <w:tab w:val="num" w:pos="794"/>
        </w:tabs>
        <w:ind w:left="0" w:firstLine="0"/>
      </w:pPr>
      <w:rPr>
        <w:rFonts w:ascii="Calibri" w:hAnsi="Calibri" w:hint="default"/>
        <w:sz w:val="24"/>
      </w:rPr>
    </w:lvl>
    <w:lvl w:ilvl="4">
      <w:start w:val="1"/>
      <w:numFmt w:val="decimal"/>
      <w:lvlText w:val="%1.%2.%3.%4.%5."/>
      <w:lvlJc w:val="left"/>
      <w:pPr>
        <w:tabs>
          <w:tab w:val="num" w:pos="907"/>
        </w:tabs>
        <w:ind w:left="0" w:firstLine="0"/>
      </w:pPr>
      <w:rPr>
        <w:rFonts w:ascii="Calibri" w:hAnsi="Calibri" w:hint="default"/>
        <w:sz w:val="24"/>
      </w:rPr>
    </w:lvl>
    <w:lvl w:ilvl="5">
      <w:start w:val="1"/>
      <w:numFmt w:val="decimal"/>
      <w:lvlText w:val="%1.%2.%3.%4.%5.%6."/>
      <w:lvlJc w:val="left"/>
      <w:pPr>
        <w:tabs>
          <w:tab w:val="num" w:pos="1021"/>
        </w:tabs>
        <w:ind w:left="0" w:firstLine="0"/>
      </w:pPr>
      <w:rPr>
        <w:rFonts w:ascii="Calibri" w:hAnsi="Calibri" w:hint="default"/>
        <w:sz w:val="24"/>
      </w:rPr>
    </w:lvl>
    <w:lvl w:ilvl="6">
      <w:start w:val="1"/>
      <w:numFmt w:val="decimal"/>
      <w:lvlText w:val="%1.%2.%3.%4.%5.%6.%7."/>
      <w:lvlJc w:val="left"/>
      <w:pPr>
        <w:tabs>
          <w:tab w:val="num" w:pos="1134"/>
        </w:tabs>
        <w:ind w:left="0" w:firstLine="0"/>
      </w:pPr>
      <w:rPr>
        <w:rFonts w:ascii="Calibri" w:hAnsi="Calibri" w:hint="default"/>
        <w:sz w:val="24"/>
      </w:rPr>
    </w:lvl>
    <w:lvl w:ilvl="7">
      <w:start w:val="1"/>
      <w:numFmt w:val="decimal"/>
      <w:lvlText w:val="%1.%2.%3.%4.%5.%6.%7.%8."/>
      <w:lvlJc w:val="left"/>
      <w:pPr>
        <w:tabs>
          <w:tab w:val="num" w:pos="1134"/>
        </w:tabs>
        <w:ind w:left="0" w:firstLine="0"/>
      </w:pPr>
      <w:rPr>
        <w:rFonts w:ascii="Calibri" w:hAnsi="Calibri" w:hint="default"/>
        <w:sz w:val="24"/>
      </w:rPr>
    </w:lvl>
    <w:lvl w:ilvl="8">
      <w:start w:val="1"/>
      <w:numFmt w:val="decimal"/>
      <w:lvlText w:val="%1.%2.%3.%4.%5.%6.%7.%8.%9."/>
      <w:lvlJc w:val="left"/>
      <w:pPr>
        <w:tabs>
          <w:tab w:val="num" w:pos="1134"/>
        </w:tabs>
        <w:ind w:left="0" w:firstLine="0"/>
      </w:pPr>
      <w:rPr>
        <w:rFonts w:ascii="Calibri" w:hAnsi="Calibri" w:hint="default"/>
        <w:sz w:val="24"/>
      </w:rPr>
    </w:lvl>
  </w:abstractNum>
  <w:abstractNum w:abstractNumId="1">
    <w:nsid w:val="138F1834"/>
    <w:multiLevelType w:val="hybridMultilevel"/>
    <w:tmpl w:val="6770CBE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nsid w:val="17D61E46"/>
    <w:multiLevelType w:val="hybridMultilevel"/>
    <w:tmpl w:val="D5F6C50E"/>
    <w:lvl w:ilvl="0" w:tplc="0C090003">
      <w:start w:val="1"/>
      <w:numFmt w:val="bullet"/>
      <w:lvlText w:val="o"/>
      <w:lvlJc w:val="left"/>
      <w:pPr>
        <w:ind w:left="1494" w:hanging="360"/>
      </w:pPr>
      <w:rPr>
        <w:rFonts w:ascii="Courier New" w:hAnsi="Courier New" w:cs="Courier New" w:hint="default"/>
      </w:rPr>
    </w:lvl>
    <w:lvl w:ilvl="1" w:tplc="0C090003" w:tentative="1">
      <w:start w:val="1"/>
      <w:numFmt w:val="bullet"/>
      <w:lvlText w:val="o"/>
      <w:lvlJc w:val="left"/>
      <w:pPr>
        <w:ind w:left="2214" w:hanging="360"/>
      </w:pPr>
      <w:rPr>
        <w:rFonts w:ascii="Courier New" w:hAnsi="Courier New" w:cs="Courier New" w:hint="default"/>
      </w:rPr>
    </w:lvl>
    <w:lvl w:ilvl="2" w:tplc="0C090005" w:tentative="1">
      <w:start w:val="1"/>
      <w:numFmt w:val="bullet"/>
      <w:lvlText w:val=""/>
      <w:lvlJc w:val="left"/>
      <w:pPr>
        <w:ind w:left="2934" w:hanging="360"/>
      </w:pPr>
      <w:rPr>
        <w:rFonts w:ascii="Wingdings" w:hAnsi="Wingdings" w:hint="default"/>
      </w:rPr>
    </w:lvl>
    <w:lvl w:ilvl="3" w:tplc="0C090001" w:tentative="1">
      <w:start w:val="1"/>
      <w:numFmt w:val="bullet"/>
      <w:lvlText w:val=""/>
      <w:lvlJc w:val="left"/>
      <w:pPr>
        <w:ind w:left="3654" w:hanging="360"/>
      </w:pPr>
      <w:rPr>
        <w:rFonts w:ascii="Symbol" w:hAnsi="Symbol" w:hint="default"/>
      </w:rPr>
    </w:lvl>
    <w:lvl w:ilvl="4" w:tplc="0C090003" w:tentative="1">
      <w:start w:val="1"/>
      <w:numFmt w:val="bullet"/>
      <w:lvlText w:val="o"/>
      <w:lvlJc w:val="left"/>
      <w:pPr>
        <w:ind w:left="4374" w:hanging="360"/>
      </w:pPr>
      <w:rPr>
        <w:rFonts w:ascii="Courier New" w:hAnsi="Courier New" w:cs="Courier New" w:hint="default"/>
      </w:rPr>
    </w:lvl>
    <w:lvl w:ilvl="5" w:tplc="0C090005" w:tentative="1">
      <w:start w:val="1"/>
      <w:numFmt w:val="bullet"/>
      <w:lvlText w:val=""/>
      <w:lvlJc w:val="left"/>
      <w:pPr>
        <w:ind w:left="5094" w:hanging="360"/>
      </w:pPr>
      <w:rPr>
        <w:rFonts w:ascii="Wingdings" w:hAnsi="Wingdings" w:hint="default"/>
      </w:rPr>
    </w:lvl>
    <w:lvl w:ilvl="6" w:tplc="0C090001" w:tentative="1">
      <w:start w:val="1"/>
      <w:numFmt w:val="bullet"/>
      <w:lvlText w:val=""/>
      <w:lvlJc w:val="left"/>
      <w:pPr>
        <w:ind w:left="5814" w:hanging="360"/>
      </w:pPr>
      <w:rPr>
        <w:rFonts w:ascii="Symbol" w:hAnsi="Symbol" w:hint="default"/>
      </w:rPr>
    </w:lvl>
    <w:lvl w:ilvl="7" w:tplc="0C090003" w:tentative="1">
      <w:start w:val="1"/>
      <w:numFmt w:val="bullet"/>
      <w:lvlText w:val="o"/>
      <w:lvlJc w:val="left"/>
      <w:pPr>
        <w:ind w:left="6534" w:hanging="360"/>
      </w:pPr>
      <w:rPr>
        <w:rFonts w:ascii="Courier New" w:hAnsi="Courier New" w:cs="Courier New" w:hint="default"/>
      </w:rPr>
    </w:lvl>
    <w:lvl w:ilvl="8" w:tplc="0C090005" w:tentative="1">
      <w:start w:val="1"/>
      <w:numFmt w:val="bullet"/>
      <w:lvlText w:val=""/>
      <w:lvlJc w:val="left"/>
      <w:pPr>
        <w:ind w:left="7254" w:hanging="360"/>
      </w:pPr>
      <w:rPr>
        <w:rFonts w:ascii="Wingdings" w:hAnsi="Wingdings" w:hint="default"/>
      </w:rPr>
    </w:lvl>
  </w:abstractNum>
  <w:abstractNum w:abstractNumId="3">
    <w:nsid w:val="18064737"/>
    <w:multiLevelType w:val="hybridMultilevel"/>
    <w:tmpl w:val="771C027E"/>
    <w:lvl w:ilvl="0" w:tplc="0C090001">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4">
    <w:nsid w:val="1DEF0D06"/>
    <w:multiLevelType w:val="multilevel"/>
    <w:tmpl w:val="7384136C"/>
    <w:lvl w:ilvl="0">
      <w:start w:val="1"/>
      <w:numFmt w:val="decimal"/>
      <w:pStyle w:val="PolicyHeading2-Accessible"/>
      <w:lvlText w:val="%1."/>
      <w:lvlJc w:val="left"/>
      <w:pPr>
        <w:tabs>
          <w:tab w:val="num" w:pos="567"/>
        </w:tabs>
        <w:ind w:left="0" w:firstLine="0"/>
      </w:pPr>
      <w:rPr>
        <w:rFonts w:ascii="Calibri" w:hAnsi="Calibri" w:hint="default"/>
        <w:sz w:val="24"/>
      </w:rPr>
    </w:lvl>
    <w:lvl w:ilvl="1">
      <w:start w:val="1"/>
      <w:numFmt w:val="decimal"/>
      <w:pStyle w:val="Policy-BodyText"/>
      <w:lvlText w:val="%1.%2."/>
      <w:lvlJc w:val="left"/>
      <w:pPr>
        <w:tabs>
          <w:tab w:val="num" w:pos="567"/>
        </w:tabs>
        <w:ind w:left="0" w:firstLine="0"/>
      </w:pPr>
      <w:rPr>
        <w:rFonts w:ascii="Calibri" w:hAnsi="Calibri" w:hint="default"/>
        <w:b w:val="0"/>
        <w:i w:val="0"/>
        <w:sz w:val="24"/>
      </w:rPr>
    </w:lvl>
    <w:lvl w:ilvl="2">
      <w:start w:val="1"/>
      <w:numFmt w:val="decimal"/>
      <w:lvlText w:val="%1.%2.%3."/>
      <w:lvlJc w:val="left"/>
      <w:pPr>
        <w:tabs>
          <w:tab w:val="num" w:pos="680"/>
        </w:tabs>
        <w:ind w:left="0" w:firstLine="0"/>
      </w:pPr>
      <w:rPr>
        <w:rFonts w:ascii="Calibri" w:hAnsi="Calibri" w:hint="default"/>
        <w:b w:val="0"/>
        <w:sz w:val="24"/>
      </w:rPr>
    </w:lvl>
    <w:lvl w:ilvl="3">
      <w:start w:val="1"/>
      <w:numFmt w:val="decimal"/>
      <w:lvlText w:val="%1.%2.%3.%4."/>
      <w:lvlJc w:val="left"/>
      <w:pPr>
        <w:tabs>
          <w:tab w:val="num" w:pos="794"/>
        </w:tabs>
        <w:ind w:left="0" w:firstLine="0"/>
      </w:pPr>
      <w:rPr>
        <w:rFonts w:ascii="Calibri" w:hAnsi="Calibri" w:hint="default"/>
        <w:sz w:val="24"/>
      </w:rPr>
    </w:lvl>
    <w:lvl w:ilvl="4">
      <w:start w:val="1"/>
      <w:numFmt w:val="decimal"/>
      <w:lvlText w:val="%1.%2.%3.%4.%5."/>
      <w:lvlJc w:val="left"/>
      <w:pPr>
        <w:tabs>
          <w:tab w:val="num" w:pos="907"/>
        </w:tabs>
        <w:ind w:left="0" w:firstLine="0"/>
      </w:pPr>
      <w:rPr>
        <w:rFonts w:ascii="Calibri" w:hAnsi="Calibri" w:hint="default"/>
        <w:sz w:val="24"/>
      </w:rPr>
    </w:lvl>
    <w:lvl w:ilvl="5">
      <w:start w:val="1"/>
      <w:numFmt w:val="decimal"/>
      <w:lvlText w:val="%1.%2.%3.%4.%5.%6."/>
      <w:lvlJc w:val="left"/>
      <w:pPr>
        <w:tabs>
          <w:tab w:val="num" w:pos="1021"/>
        </w:tabs>
        <w:ind w:left="0" w:firstLine="0"/>
      </w:pPr>
      <w:rPr>
        <w:rFonts w:ascii="Calibri" w:hAnsi="Calibri" w:hint="default"/>
        <w:sz w:val="24"/>
      </w:rPr>
    </w:lvl>
    <w:lvl w:ilvl="6">
      <w:start w:val="1"/>
      <w:numFmt w:val="decimal"/>
      <w:lvlText w:val="%1.%2.%3.%4.%5.%6.%7."/>
      <w:lvlJc w:val="left"/>
      <w:pPr>
        <w:tabs>
          <w:tab w:val="num" w:pos="1134"/>
        </w:tabs>
        <w:ind w:left="0" w:firstLine="0"/>
      </w:pPr>
      <w:rPr>
        <w:rFonts w:ascii="Calibri" w:hAnsi="Calibri" w:hint="default"/>
        <w:sz w:val="24"/>
      </w:rPr>
    </w:lvl>
    <w:lvl w:ilvl="7">
      <w:start w:val="1"/>
      <w:numFmt w:val="decimal"/>
      <w:lvlText w:val="%1.%2.%3.%4.%5.%6.%7.%8."/>
      <w:lvlJc w:val="left"/>
      <w:pPr>
        <w:tabs>
          <w:tab w:val="num" w:pos="1134"/>
        </w:tabs>
        <w:ind w:left="0" w:firstLine="0"/>
      </w:pPr>
      <w:rPr>
        <w:rFonts w:ascii="Calibri" w:hAnsi="Calibri" w:hint="default"/>
        <w:sz w:val="24"/>
      </w:rPr>
    </w:lvl>
    <w:lvl w:ilvl="8">
      <w:start w:val="1"/>
      <w:numFmt w:val="decimal"/>
      <w:lvlText w:val="%1.%2.%3.%4.%5.%6.%7.%8.%9."/>
      <w:lvlJc w:val="left"/>
      <w:pPr>
        <w:tabs>
          <w:tab w:val="num" w:pos="1134"/>
        </w:tabs>
        <w:ind w:left="0" w:firstLine="0"/>
      </w:pPr>
      <w:rPr>
        <w:rFonts w:ascii="Calibri" w:hAnsi="Calibri" w:hint="default"/>
        <w:sz w:val="24"/>
      </w:rPr>
    </w:lvl>
  </w:abstractNum>
  <w:abstractNum w:abstractNumId="5">
    <w:nsid w:val="22AA7B30"/>
    <w:multiLevelType w:val="multilevel"/>
    <w:tmpl w:val="B7BC603A"/>
    <w:lvl w:ilvl="0">
      <w:start w:val="1"/>
      <w:numFmt w:val="decimal"/>
      <w:lvlText w:val="%1."/>
      <w:lvlJc w:val="left"/>
      <w:pPr>
        <w:tabs>
          <w:tab w:val="num" w:pos="567"/>
        </w:tabs>
        <w:ind w:left="0" w:firstLine="0"/>
      </w:pPr>
      <w:rPr>
        <w:rFonts w:ascii="Calibri" w:hAnsi="Calibri" w:hint="default"/>
        <w:sz w:val="24"/>
      </w:rPr>
    </w:lvl>
    <w:lvl w:ilvl="1">
      <w:start w:val="1"/>
      <w:numFmt w:val="decimal"/>
      <w:lvlText w:val="%1.%2."/>
      <w:lvlJc w:val="left"/>
      <w:pPr>
        <w:tabs>
          <w:tab w:val="num" w:pos="567"/>
        </w:tabs>
        <w:ind w:left="0" w:firstLine="0"/>
      </w:pPr>
      <w:rPr>
        <w:rFonts w:ascii="Calibri" w:hAnsi="Calibri" w:hint="default"/>
        <w:b w:val="0"/>
        <w:sz w:val="24"/>
      </w:rPr>
    </w:lvl>
    <w:lvl w:ilvl="2">
      <w:start w:val="1"/>
      <w:numFmt w:val="bullet"/>
      <w:lvlText w:val=""/>
      <w:lvlJc w:val="left"/>
      <w:pPr>
        <w:tabs>
          <w:tab w:val="num" w:pos="680"/>
        </w:tabs>
        <w:ind w:left="0" w:firstLine="0"/>
      </w:pPr>
      <w:rPr>
        <w:rFonts w:ascii="Symbol" w:hAnsi="Symbol" w:hint="default"/>
        <w:sz w:val="24"/>
      </w:rPr>
    </w:lvl>
    <w:lvl w:ilvl="3">
      <w:start w:val="1"/>
      <w:numFmt w:val="decimal"/>
      <w:lvlText w:val="%1.%2.%3.%4."/>
      <w:lvlJc w:val="left"/>
      <w:pPr>
        <w:tabs>
          <w:tab w:val="num" w:pos="794"/>
        </w:tabs>
        <w:ind w:left="0" w:firstLine="0"/>
      </w:pPr>
      <w:rPr>
        <w:rFonts w:ascii="Calibri" w:hAnsi="Calibri" w:hint="default"/>
        <w:sz w:val="24"/>
      </w:rPr>
    </w:lvl>
    <w:lvl w:ilvl="4">
      <w:start w:val="1"/>
      <w:numFmt w:val="decimal"/>
      <w:lvlText w:val="%1.%2.%3.%4.%5."/>
      <w:lvlJc w:val="left"/>
      <w:pPr>
        <w:tabs>
          <w:tab w:val="num" w:pos="907"/>
        </w:tabs>
        <w:ind w:left="0" w:firstLine="0"/>
      </w:pPr>
      <w:rPr>
        <w:rFonts w:ascii="Calibri" w:hAnsi="Calibri" w:hint="default"/>
        <w:sz w:val="24"/>
      </w:rPr>
    </w:lvl>
    <w:lvl w:ilvl="5">
      <w:start w:val="1"/>
      <w:numFmt w:val="decimal"/>
      <w:lvlText w:val="%1.%2.%3.%4.%5.%6."/>
      <w:lvlJc w:val="left"/>
      <w:pPr>
        <w:tabs>
          <w:tab w:val="num" w:pos="1021"/>
        </w:tabs>
        <w:ind w:left="0" w:firstLine="0"/>
      </w:pPr>
      <w:rPr>
        <w:rFonts w:ascii="Calibri" w:hAnsi="Calibri" w:hint="default"/>
        <w:sz w:val="24"/>
      </w:rPr>
    </w:lvl>
    <w:lvl w:ilvl="6">
      <w:start w:val="1"/>
      <w:numFmt w:val="decimal"/>
      <w:lvlText w:val="%1.%2.%3.%4.%5.%6.%7."/>
      <w:lvlJc w:val="left"/>
      <w:pPr>
        <w:tabs>
          <w:tab w:val="num" w:pos="1134"/>
        </w:tabs>
        <w:ind w:left="0" w:firstLine="0"/>
      </w:pPr>
      <w:rPr>
        <w:rFonts w:ascii="Calibri" w:hAnsi="Calibri" w:hint="default"/>
        <w:sz w:val="24"/>
      </w:rPr>
    </w:lvl>
    <w:lvl w:ilvl="7">
      <w:start w:val="1"/>
      <w:numFmt w:val="decimal"/>
      <w:lvlText w:val="%1.%2.%3.%4.%5.%6.%7.%8."/>
      <w:lvlJc w:val="left"/>
      <w:pPr>
        <w:tabs>
          <w:tab w:val="num" w:pos="1134"/>
        </w:tabs>
        <w:ind w:left="0" w:firstLine="0"/>
      </w:pPr>
      <w:rPr>
        <w:rFonts w:ascii="Calibri" w:hAnsi="Calibri" w:hint="default"/>
        <w:sz w:val="24"/>
      </w:rPr>
    </w:lvl>
    <w:lvl w:ilvl="8">
      <w:start w:val="1"/>
      <w:numFmt w:val="decimal"/>
      <w:lvlText w:val="%1.%2.%3.%4.%5.%6.%7.%8.%9."/>
      <w:lvlJc w:val="left"/>
      <w:pPr>
        <w:tabs>
          <w:tab w:val="num" w:pos="1134"/>
        </w:tabs>
        <w:ind w:left="0" w:firstLine="0"/>
      </w:pPr>
      <w:rPr>
        <w:rFonts w:ascii="Calibri" w:hAnsi="Calibri" w:hint="default"/>
        <w:sz w:val="24"/>
      </w:rPr>
    </w:lvl>
  </w:abstractNum>
  <w:abstractNum w:abstractNumId="6">
    <w:nsid w:val="26A12854"/>
    <w:multiLevelType w:val="multilevel"/>
    <w:tmpl w:val="58BCB6D2"/>
    <w:lvl w:ilvl="0">
      <w:start w:val="1"/>
      <w:numFmt w:val="decimal"/>
      <w:lvlText w:val="%1."/>
      <w:lvlJc w:val="left"/>
      <w:pPr>
        <w:tabs>
          <w:tab w:val="num" w:pos="567"/>
        </w:tabs>
        <w:ind w:left="0" w:firstLine="0"/>
      </w:pPr>
      <w:rPr>
        <w:rFonts w:ascii="Calibri" w:hAnsi="Calibri" w:hint="default"/>
        <w:sz w:val="24"/>
      </w:rPr>
    </w:lvl>
    <w:lvl w:ilvl="1">
      <w:start w:val="1"/>
      <w:numFmt w:val="bullet"/>
      <w:lvlText w:val=""/>
      <w:lvlJc w:val="left"/>
      <w:pPr>
        <w:tabs>
          <w:tab w:val="num" w:pos="567"/>
        </w:tabs>
        <w:ind w:left="0" w:firstLine="0"/>
      </w:pPr>
      <w:rPr>
        <w:rFonts w:ascii="Symbol" w:hAnsi="Symbol" w:hint="default"/>
        <w:b w:val="0"/>
        <w:sz w:val="24"/>
      </w:rPr>
    </w:lvl>
    <w:lvl w:ilvl="2">
      <w:start w:val="1"/>
      <w:numFmt w:val="bullet"/>
      <w:lvlText w:val=""/>
      <w:lvlJc w:val="left"/>
      <w:pPr>
        <w:tabs>
          <w:tab w:val="num" w:pos="680"/>
        </w:tabs>
        <w:ind w:left="0" w:firstLine="0"/>
      </w:pPr>
      <w:rPr>
        <w:rFonts w:ascii="Symbol" w:hAnsi="Symbol" w:hint="default"/>
        <w:sz w:val="24"/>
      </w:rPr>
    </w:lvl>
    <w:lvl w:ilvl="3">
      <w:start w:val="1"/>
      <w:numFmt w:val="decimal"/>
      <w:lvlText w:val="%1.%2.%3.%4."/>
      <w:lvlJc w:val="left"/>
      <w:pPr>
        <w:tabs>
          <w:tab w:val="num" w:pos="794"/>
        </w:tabs>
        <w:ind w:left="0" w:firstLine="0"/>
      </w:pPr>
      <w:rPr>
        <w:rFonts w:ascii="Calibri" w:hAnsi="Calibri" w:hint="default"/>
        <w:sz w:val="24"/>
      </w:rPr>
    </w:lvl>
    <w:lvl w:ilvl="4">
      <w:start w:val="1"/>
      <w:numFmt w:val="decimal"/>
      <w:lvlText w:val="%1.%2.%3.%4.%5."/>
      <w:lvlJc w:val="left"/>
      <w:pPr>
        <w:tabs>
          <w:tab w:val="num" w:pos="907"/>
        </w:tabs>
        <w:ind w:left="0" w:firstLine="0"/>
      </w:pPr>
      <w:rPr>
        <w:rFonts w:ascii="Calibri" w:hAnsi="Calibri" w:hint="default"/>
        <w:sz w:val="24"/>
      </w:rPr>
    </w:lvl>
    <w:lvl w:ilvl="5">
      <w:start w:val="1"/>
      <w:numFmt w:val="decimal"/>
      <w:lvlText w:val="%1.%2.%3.%4.%5.%6."/>
      <w:lvlJc w:val="left"/>
      <w:pPr>
        <w:tabs>
          <w:tab w:val="num" w:pos="1021"/>
        </w:tabs>
        <w:ind w:left="0" w:firstLine="0"/>
      </w:pPr>
      <w:rPr>
        <w:rFonts w:ascii="Calibri" w:hAnsi="Calibri" w:hint="default"/>
        <w:sz w:val="24"/>
      </w:rPr>
    </w:lvl>
    <w:lvl w:ilvl="6">
      <w:start w:val="1"/>
      <w:numFmt w:val="decimal"/>
      <w:lvlText w:val="%1.%2.%3.%4.%5.%6.%7."/>
      <w:lvlJc w:val="left"/>
      <w:pPr>
        <w:tabs>
          <w:tab w:val="num" w:pos="1134"/>
        </w:tabs>
        <w:ind w:left="0" w:firstLine="0"/>
      </w:pPr>
      <w:rPr>
        <w:rFonts w:ascii="Calibri" w:hAnsi="Calibri" w:hint="default"/>
        <w:sz w:val="24"/>
      </w:rPr>
    </w:lvl>
    <w:lvl w:ilvl="7">
      <w:start w:val="1"/>
      <w:numFmt w:val="decimal"/>
      <w:lvlText w:val="%1.%2.%3.%4.%5.%6.%7.%8."/>
      <w:lvlJc w:val="left"/>
      <w:pPr>
        <w:tabs>
          <w:tab w:val="num" w:pos="1134"/>
        </w:tabs>
        <w:ind w:left="0" w:firstLine="0"/>
      </w:pPr>
      <w:rPr>
        <w:rFonts w:ascii="Calibri" w:hAnsi="Calibri" w:hint="default"/>
        <w:sz w:val="24"/>
      </w:rPr>
    </w:lvl>
    <w:lvl w:ilvl="8">
      <w:start w:val="1"/>
      <w:numFmt w:val="decimal"/>
      <w:lvlText w:val="%1.%2.%3.%4.%5.%6.%7.%8.%9."/>
      <w:lvlJc w:val="left"/>
      <w:pPr>
        <w:tabs>
          <w:tab w:val="num" w:pos="1134"/>
        </w:tabs>
        <w:ind w:left="0" w:firstLine="0"/>
      </w:pPr>
      <w:rPr>
        <w:rFonts w:ascii="Calibri" w:hAnsi="Calibri" w:hint="default"/>
        <w:sz w:val="24"/>
      </w:rPr>
    </w:lvl>
  </w:abstractNum>
  <w:abstractNum w:abstractNumId="7">
    <w:nsid w:val="2E2F7BB2"/>
    <w:multiLevelType w:val="multilevel"/>
    <w:tmpl w:val="58BCB6D2"/>
    <w:lvl w:ilvl="0">
      <w:start w:val="1"/>
      <w:numFmt w:val="decimal"/>
      <w:lvlText w:val="%1."/>
      <w:lvlJc w:val="left"/>
      <w:pPr>
        <w:tabs>
          <w:tab w:val="num" w:pos="567"/>
        </w:tabs>
        <w:ind w:left="0" w:firstLine="0"/>
      </w:pPr>
      <w:rPr>
        <w:rFonts w:ascii="Calibri" w:hAnsi="Calibri" w:hint="default"/>
        <w:sz w:val="24"/>
      </w:rPr>
    </w:lvl>
    <w:lvl w:ilvl="1">
      <w:start w:val="1"/>
      <w:numFmt w:val="bullet"/>
      <w:lvlText w:val=""/>
      <w:lvlJc w:val="left"/>
      <w:pPr>
        <w:tabs>
          <w:tab w:val="num" w:pos="567"/>
        </w:tabs>
        <w:ind w:left="0" w:firstLine="0"/>
      </w:pPr>
      <w:rPr>
        <w:rFonts w:ascii="Symbol" w:hAnsi="Symbol" w:hint="default"/>
        <w:b w:val="0"/>
        <w:sz w:val="24"/>
      </w:rPr>
    </w:lvl>
    <w:lvl w:ilvl="2">
      <w:start w:val="1"/>
      <w:numFmt w:val="bullet"/>
      <w:lvlText w:val=""/>
      <w:lvlJc w:val="left"/>
      <w:pPr>
        <w:tabs>
          <w:tab w:val="num" w:pos="680"/>
        </w:tabs>
        <w:ind w:left="0" w:firstLine="0"/>
      </w:pPr>
      <w:rPr>
        <w:rFonts w:ascii="Symbol" w:hAnsi="Symbol" w:hint="default"/>
        <w:sz w:val="24"/>
      </w:rPr>
    </w:lvl>
    <w:lvl w:ilvl="3">
      <w:start w:val="1"/>
      <w:numFmt w:val="decimal"/>
      <w:lvlText w:val="%1.%2.%3.%4."/>
      <w:lvlJc w:val="left"/>
      <w:pPr>
        <w:tabs>
          <w:tab w:val="num" w:pos="794"/>
        </w:tabs>
        <w:ind w:left="0" w:firstLine="0"/>
      </w:pPr>
      <w:rPr>
        <w:rFonts w:ascii="Calibri" w:hAnsi="Calibri" w:hint="default"/>
        <w:sz w:val="24"/>
      </w:rPr>
    </w:lvl>
    <w:lvl w:ilvl="4">
      <w:start w:val="1"/>
      <w:numFmt w:val="decimal"/>
      <w:lvlText w:val="%1.%2.%3.%4.%5."/>
      <w:lvlJc w:val="left"/>
      <w:pPr>
        <w:tabs>
          <w:tab w:val="num" w:pos="907"/>
        </w:tabs>
        <w:ind w:left="0" w:firstLine="0"/>
      </w:pPr>
      <w:rPr>
        <w:rFonts w:ascii="Calibri" w:hAnsi="Calibri" w:hint="default"/>
        <w:sz w:val="24"/>
      </w:rPr>
    </w:lvl>
    <w:lvl w:ilvl="5">
      <w:start w:val="1"/>
      <w:numFmt w:val="decimal"/>
      <w:lvlText w:val="%1.%2.%3.%4.%5.%6."/>
      <w:lvlJc w:val="left"/>
      <w:pPr>
        <w:tabs>
          <w:tab w:val="num" w:pos="1021"/>
        </w:tabs>
        <w:ind w:left="0" w:firstLine="0"/>
      </w:pPr>
      <w:rPr>
        <w:rFonts w:ascii="Calibri" w:hAnsi="Calibri" w:hint="default"/>
        <w:sz w:val="24"/>
      </w:rPr>
    </w:lvl>
    <w:lvl w:ilvl="6">
      <w:start w:val="1"/>
      <w:numFmt w:val="decimal"/>
      <w:lvlText w:val="%1.%2.%3.%4.%5.%6.%7."/>
      <w:lvlJc w:val="left"/>
      <w:pPr>
        <w:tabs>
          <w:tab w:val="num" w:pos="1134"/>
        </w:tabs>
        <w:ind w:left="0" w:firstLine="0"/>
      </w:pPr>
      <w:rPr>
        <w:rFonts w:ascii="Calibri" w:hAnsi="Calibri" w:hint="default"/>
        <w:sz w:val="24"/>
      </w:rPr>
    </w:lvl>
    <w:lvl w:ilvl="7">
      <w:start w:val="1"/>
      <w:numFmt w:val="decimal"/>
      <w:lvlText w:val="%1.%2.%3.%4.%5.%6.%7.%8."/>
      <w:lvlJc w:val="left"/>
      <w:pPr>
        <w:tabs>
          <w:tab w:val="num" w:pos="1134"/>
        </w:tabs>
        <w:ind w:left="0" w:firstLine="0"/>
      </w:pPr>
      <w:rPr>
        <w:rFonts w:ascii="Calibri" w:hAnsi="Calibri" w:hint="default"/>
        <w:sz w:val="24"/>
      </w:rPr>
    </w:lvl>
    <w:lvl w:ilvl="8">
      <w:start w:val="1"/>
      <w:numFmt w:val="decimal"/>
      <w:lvlText w:val="%1.%2.%3.%4.%5.%6.%7.%8.%9."/>
      <w:lvlJc w:val="left"/>
      <w:pPr>
        <w:tabs>
          <w:tab w:val="num" w:pos="1134"/>
        </w:tabs>
        <w:ind w:left="0" w:firstLine="0"/>
      </w:pPr>
      <w:rPr>
        <w:rFonts w:ascii="Calibri" w:hAnsi="Calibri" w:hint="default"/>
        <w:sz w:val="24"/>
      </w:rPr>
    </w:lvl>
  </w:abstractNum>
  <w:abstractNum w:abstractNumId="8">
    <w:nsid w:val="2E437CCD"/>
    <w:multiLevelType w:val="hybridMultilevel"/>
    <w:tmpl w:val="3312CAEA"/>
    <w:lvl w:ilvl="0" w:tplc="87309D8A">
      <w:start w:val="1"/>
      <w:numFmt w:val="bullet"/>
      <w:lvlText w:val=""/>
      <w:lvlJc w:val="left"/>
      <w:pPr>
        <w:ind w:left="1429" w:hanging="360"/>
      </w:pPr>
      <w:rPr>
        <w:rFonts w:ascii="Symbol" w:hAnsi="Symbol" w:hint="default"/>
      </w:rPr>
    </w:lvl>
    <w:lvl w:ilvl="1" w:tplc="2FE49924" w:tentative="1">
      <w:start w:val="1"/>
      <w:numFmt w:val="bullet"/>
      <w:lvlText w:val="o"/>
      <w:lvlJc w:val="left"/>
      <w:pPr>
        <w:ind w:left="2149" w:hanging="360"/>
      </w:pPr>
      <w:rPr>
        <w:rFonts w:ascii="Courier New" w:hAnsi="Courier New" w:cs="Courier New" w:hint="default"/>
      </w:rPr>
    </w:lvl>
    <w:lvl w:ilvl="2" w:tplc="A014AFE2" w:tentative="1">
      <w:start w:val="1"/>
      <w:numFmt w:val="bullet"/>
      <w:lvlText w:val=""/>
      <w:lvlJc w:val="left"/>
      <w:pPr>
        <w:ind w:left="2869" w:hanging="360"/>
      </w:pPr>
      <w:rPr>
        <w:rFonts w:ascii="Wingdings" w:hAnsi="Wingdings" w:hint="default"/>
      </w:rPr>
    </w:lvl>
    <w:lvl w:ilvl="3" w:tplc="E2521890" w:tentative="1">
      <w:start w:val="1"/>
      <w:numFmt w:val="bullet"/>
      <w:lvlText w:val=""/>
      <w:lvlJc w:val="left"/>
      <w:pPr>
        <w:ind w:left="3589" w:hanging="360"/>
      </w:pPr>
      <w:rPr>
        <w:rFonts w:ascii="Symbol" w:hAnsi="Symbol" w:hint="default"/>
      </w:rPr>
    </w:lvl>
    <w:lvl w:ilvl="4" w:tplc="AB34659C" w:tentative="1">
      <w:start w:val="1"/>
      <w:numFmt w:val="bullet"/>
      <w:lvlText w:val="o"/>
      <w:lvlJc w:val="left"/>
      <w:pPr>
        <w:ind w:left="4309" w:hanging="360"/>
      </w:pPr>
      <w:rPr>
        <w:rFonts w:ascii="Courier New" w:hAnsi="Courier New" w:cs="Courier New" w:hint="default"/>
      </w:rPr>
    </w:lvl>
    <w:lvl w:ilvl="5" w:tplc="77BCDBE4" w:tentative="1">
      <w:start w:val="1"/>
      <w:numFmt w:val="bullet"/>
      <w:lvlText w:val=""/>
      <w:lvlJc w:val="left"/>
      <w:pPr>
        <w:ind w:left="5029" w:hanging="360"/>
      </w:pPr>
      <w:rPr>
        <w:rFonts w:ascii="Wingdings" w:hAnsi="Wingdings" w:hint="default"/>
      </w:rPr>
    </w:lvl>
    <w:lvl w:ilvl="6" w:tplc="42262716" w:tentative="1">
      <w:start w:val="1"/>
      <w:numFmt w:val="bullet"/>
      <w:lvlText w:val=""/>
      <w:lvlJc w:val="left"/>
      <w:pPr>
        <w:ind w:left="5749" w:hanging="360"/>
      </w:pPr>
      <w:rPr>
        <w:rFonts w:ascii="Symbol" w:hAnsi="Symbol" w:hint="default"/>
      </w:rPr>
    </w:lvl>
    <w:lvl w:ilvl="7" w:tplc="BB10066E" w:tentative="1">
      <w:start w:val="1"/>
      <w:numFmt w:val="bullet"/>
      <w:lvlText w:val="o"/>
      <w:lvlJc w:val="left"/>
      <w:pPr>
        <w:ind w:left="6469" w:hanging="360"/>
      </w:pPr>
      <w:rPr>
        <w:rFonts w:ascii="Courier New" w:hAnsi="Courier New" w:cs="Courier New" w:hint="default"/>
      </w:rPr>
    </w:lvl>
    <w:lvl w:ilvl="8" w:tplc="FD2E87E6" w:tentative="1">
      <w:start w:val="1"/>
      <w:numFmt w:val="bullet"/>
      <w:lvlText w:val=""/>
      <w:lvlJc w:val="left"/>
      <w:pPr>
        <w:ind w:left="7189" w:hanging="360"/>
      </w:pPr>
      <w:rPr>
        <w:rFonts w:ascii="Wingdings" w:hAnsi="Wingdings" w:hint="default"/>
      </w:rPr>
    </w:lvl>
  </w:abstractNum>
  <w:abstractNum w:abstractNumId="9">
    <w:nsid w:val="2E842E76"/>
    <w:multiLevelType w:val="hybridMultilevel"/>
    <w:tmpl w:val="5AD071D0"/>
    <w:lvl w:ilvl="0" w:tplc="04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30AC7FDA"/>
    <w:multiLevelType w:val="hybridMultilevel"/>
    <w:tmpl w:val="64C2C86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nsid w:val="32424ED4"/>
    <w:multiLevelType w:val="multilevel"/>
    <w:tmpl w:val="B7BC603A"/>
    <w:lvl w:ilvl="0">
      <w:start w:val="1"/>
      <w:numFmt w:val="decimal"/>
      <w:lvlText w:val="%1."/>
      <w:lvlJc w:val="left"/>
      <w:pPr>
        <w:tabs>
          <w:tab w:val="num" w:pos="567"/>
        </w:tabs>
        <w:ind w:left="0" w:firstLine="0"/>
      </w:pPr>
      <w:rPr>
        <w:rFonts w:ascii="Calibri" w:hAnsi="Calibri" w:hint="default"/>
        <w:sz w:val="24"/>
      </w:rPr>
    </w:lvl>
    <w:lvl w:ilvl="1">
      <w:start w:val="1"/>
      <w:numFmt w:val="decimal"/>
      <w:lvlText w:val="%1.%2."/>
      <w:lvlJc w:val="left"/>
      <w:pPr>
        <w:tabs>
          <w:tab w:val="num" w:pos="567"/>
        </w:tabs>
        <w:ind w:left="0" w:firstLine="0"/>
      </w:pPr>
      <w:rPr>
        <w:rFonts w:ascii="Calibri" w:hAnsi="Calibri" w:hint="default"/>
        <w:b w:val="0"/>
        <w:sz w:val="24"/>
      </w:rPr>
    </w:lvl>
    <w:lvl w:ilvl="2">
      <w:start w:val="1"/>
      <w:numFmt w:val="bullet"/>
      <w:lvlText w:val=""/>
      <w:lvlJc w:val="left"/>
      <w:pPr>
        <w:tabs>
          <w:tab w:val="num" w:pos="680"/>
        </w:tabs>
        <w:ind w:left="0" w:firstLine="0"/>
      </w:pPr>
      <w:rPr>
        <w:rFonts w:ascii="Symbol" w:hAnsi="Symbol" w:hint="default"/>
        <w:sz w:val="24"/>
      </w:rPr>
    </w:lvl>
    <w:lvl w:ilvl="3">
      <w:start w:val="1"/>
      <w:numFmt w:val="decimal"/>
      <w:lvlText w:val="%1.%2.%3.%4."/>
      <w:lvlJc w:val="left"/>
      <w:pPr>
        <w:tabs>
          <w:tab w:val="num" w:pos="794"/>
        </w:tabs>
        <w:ind w:left="0" w:firstLine="0"/>
      </w:pPr>
      <w:rPr>
        <w:rFonts w:ascii="Calibri" w:hAnsi="Calibri" w:hint="default"/>
        <w:sz w:val="24"/>
      </w:rPr>
    </w:lvl>
    <w:lvl w:ilvl="4">
      <w:start w:val="1"/>
      <w:numFmt w:val="decimal"/>
      <w:lvlText w:val="%1.%2.%3.%4.%5."/>
      <w:lvlJc w:val="left"/>
      <w:pPr>
        <w:tabs>
          <w:tab w:val="num" w:pos="907"/>
        </w:tabs>
        <w:ind w:left="0" w:firstLine="0"/>
      </w:pPr>
      <w:rPr>
        <w:rFonts w:ascii="Calibri" w:hAnsi="Calibri" w:hint="default"/>
        <w:sz w:val="24"/>
      </w:rPr>
    </w:lvl>
    <w:lvl w:ilvl="5">
      <w:start w:val="1"/>
      <w:numFmt w:val="decimal"/>
      <w:lvlText w:val="%1.%2.%3.%4.%5.%6."/>
      <w:lvlJc w:val="left"/>
      <w:pPr>
        <w:tabs>
          <w:tab w:val="num" w:pos="1021"/>
        </w:tabs>
        <w:ind w:left="0" w:firstLine="0"/>
      </w:pPr>
      <w:rPr>
        <w:rFonts w:ascii="Calibri" w:hAnsi="Calibri" w:hint="default"/>
        <w:sz w:val="24"/>
      </w:rPr>
    </w:lvl>
    <w:lvl w:ilvl="6">
      <w:start w:val="1"/>
      <w:numFmt w:val="decimal"/>
      <w:lvlText w:val="%1.%2.%3.%4.%5.%6.%7."/>
      <w:lvlJc w:val="left"/>
      <w:pPr>
        <w:tabs>
          <w:tab w:val="num" w:pos="1134"/>
        </w:tabs>
        <w:ind w:left="0" w:firstLine="0"/>
      </w:pPr>
      <w:rPr>
        <w:rFonts w:ascii="Calibri" w:hAnsi="Calibri" w:hint="default"/>
        <w:sz w:val="24"/>
      </w:rPr>
    </w:lvl>
    <w:lvl w:ilvl="7">
      <w:start w:val="1"/>
      <w:numFmt w:val="decimal"/>
      <w:lvlText w:val="%1.%2.%3.%4.%5.%6.%7.%8."/>
      <w:lvlJc w:val="left"/>
      <w:pPr>
        <w:tabs>
          <w:tab w:val="num" w:pos="1134"/>
        </w:tabs>
        <w:ind w:left="0" w:firstLine="0"/>
      </w:pPr>
      <w:rPr>
        <w:rFonts w:ascii="Calibri" w:hAnsi="Calibri" w:hint="default"/>
        <w:sz w:val="24"/>
      </w:rPr>
    </w:lvl>
    <w:lvl w:ilvl="8">
      <w:start w:val="1"/>
      <w:numFmt w:val="decimal"/>
      <w:lvlText w:val="%1.%2.%3.%4.%5.%6.%7.%8.%9."/>
      <w:lvlJc w:val="left"/>
      <w:pPr>
        <w:tabs>
          <w:tab w:val="num" w:pos="1134"/>
        </w:tabs>
        <w:ind w:left="0" w:firstLine="0"/>
      </w:pPr>
      <w:rPr>
        <w:rFonts w:ascii="Calibri" w:hAnsi="Calibri" w:hint="default"/>
        <w:sz w:val="24"/>
      </w:rPr>
    </w:lvl>
  </w:abstractNum>
  <w:abstractNum w:abstractNumId="12">
    <w:nsid w:val="34B71BC9"/>
    <w:multiLevelType w:val="hybridMultilevel"/>
    <w:tmpl w:val="5BCACEE2"/>
    <w:lvl w:ilvl="0" w:tplc="0C090003">
      <w:start w:val="1"/>
      <w:numFmt w:val="bullet"/>
      <w:lvlText w:val="o"/>
      <w:lvlJc w:val="left"/>
      <w:pPr>
        <w:ind w:left="1237" w:hanging="360"/>
      </w:pPr>
      <w:rPr>
        <w:rFonts w:ascii="Courier New" w:hAnsi="Courier New" w:cs="Courier New" w:hint="default"/>
      </w:rPr>
    </w:lvl>
    <w:lvl w:ilvl="1" w:tplc="04090003" w:tentative="1">
      <w:start w:val="1"/>
      <w:numFmt w:val="bullet"/>
      <w:lvlText w:val="o"/>
      <w:lvlJc w:val="left"/>
      <w:pPr>
        <w:ind w:left="1957" w:hanging="360"/>
      </w:pPr>
      <w:rPr>
        <w:rFonts w:ascii="Courier New" w:hAnsi="Courier New" w:hint="default"/>
      </w:rPr>
    </w:lvl>
    <w:lvl w:ilvl="2" w:tplc="04090005" w:tentative="1">
      <w:start w:val="1"/>
      <w:numFmt w:val="bullet"/>
      <w:lvlText w:val=""/>
      <w:lvlJc w:val="left"/>
      <w:pPr>
        <w:ind w:left="2677" w:hanging="360"/>
      </w:pPr>
      <w:rPr>
        <w:rFonts w:ascii="Wingdings" w:hAnsi="Wingdings" w:hint="default"/>
      </w:rPr>
    </w:lvl>
    <w:lvl w:ilvl="3" w:tplc="04090001" w:tentative="1">
      <w:start w:val="1"/>
      <w:numFmt w:val="bullet"/>
      <w:lvlText w:val=""/>
      <w:lvlJc w:val="left"/>
      <w:pPr>
        <w:ind w:left="3397" w:hanging="360"/>
      </w:pPr>
      <w:rPr>
        <w:rFonts w:ascii="Symbol" w:hAnsi="Symbol" w:hint="default"/>
      </w:rPr>
    </w:lvl>
    <w:lvl w:ilvl="4" w:tplc="04090003" w:tentative="1">
      <w:start w:val="1"/>
      <w:numFmt w:val="bullet"/>
      <w:lvlText w:val="o"/>
      <w:lvlJc w:val="left"/>
      <w:pPr>
        <w:ind w:left="4117" w:hanging="360"/>
      </w:pPr>
      <w:rPr>
        <w:rFonts w:ascii="Courier New" w:hAnsi="Courier New" w:hint="default"/>
      </w:rPr>
    </w:lvl>
    <w:lvl w:ilvl="5" w:tplc="04090005" w:tentative="1">
      <w:start w:val="1"/>
      <w:numFmt w:val="bullet"/>
      <w:lvlText w:val=""/>
      <w:lvlJc w:val="left"/>
      <w:pPr>
        <w:ind w:left="4837" w:hanging="360"/>
      </w:pPr>
      <w:rPr>
        <w:rFonts w:ascii="Wingdings" w:hAnsi="Wingdings" w:hint="default"/>
      </w:rPr>
    </w:lvl>
    <w:lvl w:ilvl="6" w:tplc="04090001" w:tentative="1">
      <w:start w:val="1"/>
      <w:numFmt w:val="bullet"/>
      <w:lvlText w:val=""/>
      <w:lvlJc w:val="left"/>
      <w:pPr>
        <w:ind w:left="5557" w:hanging="360"/>
      </w:pPr>
      <w:rPr>
        <w:rFonts w:ascii="Symbol" w:hAnsi="Symbol" w:hint="default"/>
      </w:rPr>
    </w:lvl>
    <w:lvl w:ilvl="7" w:tplc="04090003" w:tentative="1">
      <w:start w:val="1"/>
      <w:numFmt w:val="bullet"/>
      <w:lvlText w:val="o"/>
      <w:lvlJc w:val="left"/>
      <w:pPr>
        <w:ind w:left="6277" w:hanging="360"/>
      </w:pPr>
      <w:rPr>
        <w:rFonts w:ascii="Courier New" w:hAnsi="Courier New" w:hint="default"/>
      </w:rPr>
    </w:lvl>
    <w:lvl w:ilvl="8" w:tplc="04090005" w:tentative="1">
      <w:start w:val="1"/>
      <w:numFmt w:val="bullet"/>
      <w:lvlText w:val=""/>
      <w:lvlJc w:val="left"/>
      <w:pPr>
        <w:ind w:left="6997" w:hanging="360"/>
      </w:pPr>
      <w:rPr>
        <w:rFonts w:ascii="Wingdings" w:hAnsi="Wingdings" w:hint="default"/>
      </w:rPr>
    </w:lvl>
  </w:abstractNum>
  <w:abstractNum w:abstractNumId="13">
    <w:nsid w:val="3A8F4023"/>
    <w:multiLevelType w:val="hybridMultilevel"/>
    <w:tmpl w:val="607C09CE"/>
    <w:lvl w:ilvl="0" w:tplc="0C090001">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14">
    <w:nsid w:val="3D274FC9"/>
    <w:multiLevelType w:val="hybridMultilevel"/>
    <w:tmpl w:val="E1DEB18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nsid w:val="45520F86"/>
    <w:multiLevelType w:val="hybridMultilevel"/>
    <w:tmpl w:val="D6726840"/>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6">
    <w:nsid w:val="4DB563FF"/>
    <w:multiLevelType w:val="hybridMultilevel"/>
    <w:tmpl w:val="E6F4B17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nsid w:val="5B7618DB"/>
    <w:multiLevelType w:val="hybridMultilevel"/>
    <w:tmpl w:val="5D785FA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nsid w:val="68EE3C90"/>
    <w:multiLevelType w:val="multilevel"/>
    <w:tmpl w:val="58BCB6D2"/>
    <w:lvl w:ilvl="0">
      <w:start w:val="1"/>
      <w:numFmt w:val="decimal"/>
      <w:lvlText w:val="%1."/>
      <w:lvlJc w:val="left"/>
      <w:pPr>
        <w:tabs>
          <w:tab w:val="num" w:pos="567"/>
        </w:tabs>
        <w:ind w:left="0" w:firstLine="0"/>
      </w:pPr>
      <w:rPr>
        <w:rFonts w:ascii="Calibri" w:hAnsi="Calibri" w:hint="default"/>
        <w:sz w:val="24"/>
      </w:rPr>
    </w:lvl>
    <w:lvl w:ilvl="1">
      <w:start w:val="1"/>
      <w:numFmt w:val="bullet"/>
      <w:lvlText w:val=""/>
      <w:lvlJc w:val="left"/>
      <w:pPr>
        <w:tabs>
          <w:tab w:val="num" w:pos="567"/>
        </w:tabs>
        <w:ind w:left="0" w:firstLine="0"/>
      </w:pPr>
      <w:rPr>
        <w:rFonts w:ascii="Symbol" w:hAnsi="Symbol" w:hint="default"/>
        <w:b w:val="0"/>
        <w:sz w:val="24"/>
      </w:rPr>
    </w:lvl>
    <w:lvl w:ilvl="2">
      <w:start w:val="1"/>
      <w:numFmt w:val="bullet"/>
      <w:lvlText w:val=""/>
      <w:lvlJc w:val="left"/>
      <w:pPr>
        <w:tabs>
          <w:tab w:val="num" w:pos="680"/>
        </w:tabs>
        <w:ind w:left="0" w:firstLine="0"/>
      </w:pPr>
      <w:rPr>
        <w:rFonts w:ascii="Symbol" w:hAnsi="Symbol" w:hint="default"/>
        <w:sz w:val="24"/>
      </w:rPr>
    </w:lvl>
    <w:lvl w:ilvl="3">
      <w:start w:val="1"/>
      <w:numFmt w:val="decimal"/>
      <w:lvlText w:val="%1.%2.%3.%4."/>
      <w:lvlJc w:val="left"/>
      <w:pPr>
        <w:tabs>
          <w:tab w:val="num" w:pos="794"/>
        </w:tabs>
        <w:ind w:left="0" w:firstLine="0"/>
      </w:pPr>
      <w:rPr>
        <w:rFonts w:ascii="Calibri" w:hAnsi="Calibri" w:hint="default"/>
        <w:sz w:val="24"/>
      </w:rPr>
    </w:lvl>
    <w:lvl w:ilvl="4">
      <w:start w:val="1"/>
      <w:numFmt w:val="decimal"/>
      <w:lvlText w:val="%1.%2.%3.%4.%5."/>
      <w:lvlJc w:val="left"/>
      <w:pPr>
        <w:tabs>
          <w:tab w:val="num" w:pos="907"/>
        </w:tabs>
        <w:ind w:left="0" w:firstLine="0"/>
      </w:pPr>
      <w:rPr>
        <w:rFonts w:ascii="Calibri" w:hAnsi="Calibri" w:hint="default"/>
        <w:sz w:val="24"/>
      </w:rPr>
    </w:lvl>
    <w:lvl w:ilvl="5">
      <w:start w:val="1"/>
      <w:numFmt w:val="decimal"/>
      <w:lvlText w:val="%1.%2.%3.%4.%5.%6."/>
      <w:lvlJc w:val="left"/>
      <w:pPr>
        <w:tabs>
          <w:tab w:val="num" w:pos="1021"/>
        </w:tabs>
        <w:ind w:left="0" w:firstLine="0"/>
      </w:pPr>
      <w:rPr>
        <w:rFonts w:ascii="Calibri" w:hAnsi="Calibri" w:hint="default"/>
        <w:sz w:val="24"/>
      </w:rPr>
    </w:lvl>
    <w:lvl w:ilvl="6">
      <w:start w:val="1"/>
      <w:numFmt w:val="decimal"/>
      <w:lvlText w:val="%1.%2.%3.%4.%5.%6.%7."/>
      <w:lvlJc w:val="left"/>
      <w:pPr>
        <w:tabs>
          <w:tab w:val="num" w:pos="1134"/>
        </w:tabs>
        <w:ind w:left="0" w:firstLine="0"/>
      </w:pPr>
      <w:rPr>
        <w:rFonts w:ascii="Calibri" w:hAnsi="Calibri" w:hint="default"/>
        <w:sz w:val="24"/>
      </w:rPr>
    </w:lvl>
    <w:lvl w:ilvl="7">
      <w:start w:val="1"/>
      <w:numFmt w:val="decimal"/>
      <w:lvlText w:val="%1.%2.%3.%4.%5.%6.%7.%8."/>
      <w:lvlJc w:val="left"/>
      <w:pPr>
        <w:tabs>
          <w:tab w:val="num" w:pos="1134"/>
        </w:tabs>
        <w:ind w:left="0" w:firstLine="0"/>
      </w:pPr>
      <w:rPr>
        <w:rFonts w:ascii="Calibri" w:hAnsi="Calibri" w:hint="default"/>
        <w:sz w:val="24"/>
      </w:rPr>
    </w:lvl>
    <w:lvl w:ilvl="8">
      <w:start w:val="1"/>
      <w:numFmt w:val="decimal"/>
      <w:lvlText w:val="%1.%2.%3.%4.%5.%6.%7.%8.%9."/>
      <w:lvlJc w:val="left"/>
      <w:pPr>
        <w:tabs>
          <w:tab w:val="num" w:pos="1134"/>
        </w:tabs>
        <w:ind w:left="0" w:firstLine="0"/>
      </w:pPr>
      <w:rPr>
        <w:rFonts w:ascii="Calibri" w:hAnsi="Calibri" w:hint="default"/>
        <w:sz w:val="24"/>
      </w:rPr>
    </w:lvl>
  </w:abstractNum>
  <w:abstractNum w:abstractNumId="19">
    <w:nsid w:val="6D593E92"/>
    <w:multiLevelType w:val="hybridMultilevel"/>
    <w:tmpl w:val="63368BE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0">
    <w:nsid w:val="70D43C70"/>
    <w:multiLevelType w:val="hybridMultilevel"/>
    <w:tmpl w:val="B50AAEF4"/>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num w:numId="1">
    <w:abstractNumId w:val="0"/>
  </w:num>
  <w:num w:numId="2">
    <w:abstractNumId w:val="8"/>
  </w:num>
  <w:num w:numId="3">
    <w:abstractNumId w:val="4"/>
  </w:num>
  <w:num w:numId="4">
    <w:abstractNumId w:val="15"/>
  </w:num>
  <w:num w:numId="5">
    <w:abstractNumId w:val="12"/>
  </w:num>
  <w:num w:numId="6">
    <w:abstractNumId w:val="2"/>
  </w:num>
  <w:num w:numId="7">
    <w:abstractNumId w:val="20"/>
  </w:num>
  <w:num w:numId="8">
    <w:abstractNumId w:val="7"/>
  </w:num>
  <w:num w:numId="9">
    <w:abstractNumId w:val="18"/>
  </w:num>
  <w:num w:numId="10">
    <w:abstractNumId w:val="6"/>
  </w:num>
  <w:num w:numId="11">
    <w:abstractNumId w:val="1"/>
  </w:num>
  <w:num w:numId="12">
    <w:abstractNumId w:val="4"/>
  </w:num>
  <w:num w:numId="13">
    <w:abstractNumId w:val="14"/>
  </w:num>
  <w:num w:numId="14">
    <w:abstractNumId w:val="16"/>
  </w:num>
  <w:num w:numId="15">
    <w:abstractNumId w:val="17"/>
  </w:num>
  <w:num w:numId="16">
    <w:abstractNumId w:val="19"/>
  </w:num>
  <w:num w:numId="17">
    <w:abstractNumId w:val="10"/>
  </w:num>
  <w:num w:numId="18">
    <w:abstractNumId w:val="11"/>
  </w:num>
  <w:num w:numId="19">
    <w:abstractNumId w:val="5"/>
  </w:num>
  <w:num w:numId="20">
    <w:abstractNumId w:val="13"/>
  </w:num>
  <w:num w:numId="21">
    <w:abstractNumId w:val="3"/>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9"/>
  </w:num>
  <w:num w:numId="31">
    <w:abstractNumId w:val="4"/>
  </w:num>
  <w:num w:numId="32">
    <w:abstractNumId w:val="4"/>
  </w:num>
  <w:num w:numId="33">
    <w:abstractNumId w:val="4"/>
  </w:num>
  <w:num w:numId="34">
    <w:abstractNumId w:val="4"/>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useFELayout/>
  </w:compat>
  <w:rsids>
    <w:rsidRoot w:val="00D91B51"/>
    <w:rsid w:val="000011F4"/>
    <w:rsid w:val="00004181"/>
    <w:rsid w:val="00015D27"/>
    <w:rsid w:val="00016260"/>
    <w:rsid w:val="00016C7D"/>
    <w:rsid w:val="00024DBE"/>
    <w:rsid w:val="00032B16"/>
    <w:rsid w:val="00036F05"/>
    <w:rsid w:val="0004381A"/>
    <w:rsid w:val="00045863"/>
    <w:rsid w:val="00046DE5"/>
    <w:rsid w:val="00047E4C"/>
    <w:rsid w:val="00055267"/>
    <w:rsid w:val="000577F6"/>
    <w:rsid w:val="00060B41"/>
    <w:rsid w:val="00062F00"/>
    <w:rsid w:val="00067C4D"/>
    <w:rsid w:val="00072AEA"/>
    <w:rsid w:val="00073624"/>
    <w:rsid w:val="00084FF0"/>
    <w:rsid w:val="000928D3"/>
    <w:rsid w:val="000A143E"/>
    <w:rsid w:val="000A4279"/>
    <w:rsid w:val="000A63D0"/>
    <w:rsid w:val="000A6E66"/>
    <w:rsid w:val="000A7D0E"/>
    <w:rsid w:val="000B3386"/>
    <w:rsid w:val="000B3AA3"/>
    <w:rsid w:val="000B5CBE"/>
    <w:rsid w:val="000D0264"/>
    <w:rsid w:val="000E0A2E"/>
    <w:rsid w:val="000E1A2E"/>
    <w:rsid w:val="000E3F86"/>
    <w:rsid w:val="000F147D"/>
    <w:rsid w:val="000F44E5"/>
    <w:rsid w:val="000F500A"/>
    <w:rsid w:val="0010178C"/>
    <w:rsid w:val="00107F35"/>
    <w:rsid w:val="00110734"/>
    <w:rsid w:val="00113746"/>
    <w:rsid w:val="00116694"/>
    <w:rsid w:val="00117A1B"/>
    <w:rsid w:val="00121B20"/>
    <w:rsid w:val="00124674"/>
    <w:rsid w:val="00127442"/>
    <w:rsid w:val="00131156"/>
    <w:rsid w:val="00131D26"/>
    <w:rsid w:val="00137189"/>
    <w:rsid w:val="001435BD"/>
    <w:rsid w:val="001527EF"/>
    <w:rsid w:val="00167B4F"/>
    <w:rsid w:val="001702E9"/>
    <w:rsid w:val="001718C3"/>
    <w:rsid w:val="001771AD"/>
    <w:rsid w:val="00181A9C"/>
    <w:rsid w:val="00196EBD"/>
    <w:rsid w:val="001A4902"/>
    <w:rsid w:val="001A55B8"/>
    <w:rsid w:val="001A755E"/>
    <w:rsid w:val="001C2E65"/>
    <w:rsid w:val="001D3ADA"/>
    <w:rsid w:val="001D4D0C"/>
    <w:rsid w:val="001D658B"/>
    <w:rsid w:val="002021D1"/>
    <w:rsid w:val="00225547"/>
    <w:rsid w:val="00232B75"/>
    <w:rsid w:val="00245EA7"/>
    <w:rsid w:val="00262099"/>
    <w:rsid w:val="002628E5"/>
    <w:rsid w:val="00262C02"/>
    <w:rsid w:val="00271897"/>
    <w:rsid w:val="002720C8"/>
    <w:rsid w:val="002744A6"/>
    <w:rsid w:val="00277E3D"/>
    <w:rsid w:val="00280014"/>
    <w:rsid w:val="002819F9"/>
    <w:rsid w:val="00283BDD"/>
    <w:rsid w:val="0028429A"/>
    <w:rsid w:val="00287050"/>
    <w:rsid w:val="0029158B"/>
    <w:rsid w:val="002958A7"/>
    <w:rsid w:val="002A05E2"/>
    <w:rsid w:val="002A1BD4"/>
    <w:rsid w:val="002A5A65"/>
    <w:rsid w:val="002C1B14"/>
    <w:rsid w:val="002C2E91"/>
    <w:rsid w:val="002D5091"/>
    <w:rsid w:val="002D74E5"/>
    <w:rsid w:val="002E0835"/>
    <w:rsid w:val="002E32C9"/>
    <w:rsid w:val="002F6FF7"/>
    <w:rsid w:val="002F782F"/>
    <w:rsid w:val="0030157A"/>
    <w:rsid w:val="00302521"/>
    <w:rsid w:val="00302EB6"/>
    <w:rsid w:val="00306C86"/>
    <w:rsid w:val="003101C5"/>
    <w:rsid w:val="00312DDA"/>
    <w:rsid w:val="0031381A"/>
    <w:rsid w:val="00323AF4"/>
    <w:rsid w:val="00326E83"/>
    <w:rsid w:val="00327556"/>
    <w:rsid w:val="00335E3C"/>
    <w:rsid w:val="003366FD"/>
    <w:rsid w:val="003407C0"/>
    <w:rsid w:val="00341431"/>
    <w:rsid w:val="00360BDE"/>
    <w:rsid w:val="00363196"/>
    <w:rsid w:val="00365BE8"/>
    <w:rsid w:val="00367C88"/>
    <w:rsid w:val="00371EA8"/>
    <w:rsid w:val="003804FC"/>
    <w:rsid w:val="003830FF"/>
    <w:rsid w:val="00390D1C"/>
    <w:rsid w:val="00397C3D"/>
    <w:rsid w:val="003B2B9C"/>
    <w:rsid w:val="003B2BFD"/>
    <w:rsid w:val="003B5DB2"/>
    <w:rsid w:val="003C6519"/>
    <w:rsid w:val="003D0BF3"/>
    <w:rsid w:val="003D3CBC"/>
    <w:rsid w:val="003E3013"/>
    <w:rsid w:val="003E3F17"/>
    <w:rsid w:val="003E61B7"/>
    <w:rsid w:val="003F6370"/>
    <w:rsid w:val="00400118"/>
    <w:rsid w:val="00403E38"/>
    <w:rsid w:val="00404AD8"/>
    <w:rsid w:val="0040727E"/>
    <w:rsid w:val="004122D5"/>
    <w:rsid w:val="00414471"/>
    <w:rsid w:val="004241D7"/>
    <w:rsid w:val="004334E4"/>
    <w:rsid w:val="00444828"/>
    <w:rsid w:val="004601ED"/>
    <w:rsid w:val="004717C6"/>
    <w:rsid w:val="00473838"/>
    <w:rsid w:val="00474DB0"/>
    <w:rsid w:val="0047556B"/>
    <w:rsid w:val="00477967"/>
    <w:rsid w:val="004832E3"/>
    <w:rsid w:val="0049402A"/>
    <w:rsid w:val="00496DF0"/>
    <w:rsid w:val="004A283D"/>
    <w:rsid w:val="004A4D81"/>
    <w:rsid w:val="004B5E21"/>
    <w:rsid w:val="004B6EFF"/>
    <w:rsid w:val="004D16B9"/>
    <w:rsid w:val="004D2426"/>
    <w:rsid w:val="004D324B"/>
    <w:rsid w:val="004D4609"/>
    <w:rsid w:val="004D5FB5"/>
    <w:rsid w:val="004F3E5E"/>
    <w:rsid w:val="004F427C"/>
    <w:rsid w:val="004F5088"/>
    <w:rsid w:val="0050774B"/>
    <w:rsid w:val="005169F4"/>
    <w:rsid w:val="0051790B"/>
    <w:rsid w:val="00517F94"/>
    <w:rsid w:val="00521524"/>
    <w:rsid w:val="00522F63"/>
    <w:rsid w:val="00527DA2"/>
    <w:rsid w:val="005305C2"/>
    <w:rsid w:val="005376D1"/>
    <w:rsid w:val="00541C29"/>
    <w:rsid w:val="005441B1"/>
    <w:rsid w:val="005553FF"/>
    <w:rsid w:val="00567B0D"/>
    <w:rsid w:val="005751FC"/>
    <w:rsid w:val="00577FED"/>
    <w:rsid w:val="00586BBB"/>
    <w:rsid w:val="00591B69"/>
    <w:rsid w:val="00592F7C"/>
    <w:rsid w:val="00597608"/>
    <w:rsid w:val="005A1AFC"/>
    <w:rsid w:val="005A55B5"/>
    <w:rsid w:val="005B13B6"/>
    <w:rsid w:val="005B64A3"/>
    <w:rsid w:val="005C44BD"/>
    <w:rsid w:val="005C44E4"/>
    <w:rsid w:val="005D240E"/>
    <w:rsid w:val="005D5B2E"/>
    <w:rsid w:val="0060602D"/>
    <w:rsid w:val="00611B4A"/>
    <w:rsid w:val="0061601F"/>
    <w:rsid w:val="00626271"/>
    <w:rsid w:val="0063541B"/>
    <w:rsid w:val="00635D48"/>
    <w:rsid w:val="0064382D"/>
    <w:rsid w:val="00646E2C"/>
    <w:rsid w:val="006552C4"/>
    <w:rsid w:val="006642CB"/>
    <w:rsid w:val="00671145"/>
    <w:rsid w:val="00674394"/>
    <w:rsid w:val="00674D78"/>
    <w:rsid w:val="006800E3"/>
    <w:rsid w:val="00681E4D"/>
    <w:rsid w:val="006831AF"/>
    <w:rsid w:val="0068333C"/>
    <w:rsid w:val="00690391"/>
    <w:rsid w:val="006920A0"/>
    <w:rsid w:val="00692CF6"/>
    <w:rsid w:val="00694C1C"/>
    <w:rsid w:val="006950F6"/>
    <w:rsid w:val="00695B83"/>
    <w:rsid w:val="006A0672"/>
    <w:rsid w:val="006A2D69"/>
    <w:rsid w:val="006A786A"/>
    <w:rsid w:val="006A7F8C"/>
    <w:rsid w:val="006C4EC1"/>
    <w:rsid w:val="006D2407"/>
    <w:rsid w:val="006D356B"/>
    <w:rsid w:val="006E01E3"/>
    <w:rsid w:val="006E670C"/>
    <w:rsid w:val="006F700B"/>
    <w:rsid w:val="0070176E"/>
    <w:rsid w:val="007025CB"/>
    <w:rsid w:val="00716C25"/>
    <w:rsid w:val="007214FA"/>
    <w:rsid w:val="00721DAF"/>
    <w:rsid w:val="00723F01"/>
    <w:rsid w:val="007247D7"/>
    <w:rsid w:val="00734442"/>
    <w:rsid w:val="007401DF"/>
    <w:rsid w:val="00744274"/>
    <w:rsid w:val="00744827"/>
    <w:rsid w:val="007521CC"/>
    <w:rsid w:val="007530BE"/>
    <w:rsid w:val="0075364F"/>
    <w:rsid w:val="007600E2"/>
    <w:rsid w:val="0076118E"/>
    <w:rsid w:val="00764DE9"/>
    <w:rsid w:val="00767414"/>
    <w:rsid w:val="007736B8"/>
    <w:rsid w:val="0078426B"/>
    <w:rsid w:val="0078592F"/>
    <w:rsid w:val="007867E3"/>
    <w:rsid w:val="0079341E"/>
    <w:rsid w:val="00796EA2"/>
    <w:rsid w:val="007A0301"/>
    <w:rsid w:val="007A2043"/>
    <w:rsid w:val="007A7889"/>
    <w:rsid w:val="007B3DA1"/>
    <w:rsid w:val="007B539D"/>
    <w:rsid w:val="007B5796"/>
    <w:rsid w:val="007B5831"/>
    <w:rsid w:val="007C3592"/>
    <w:rsid w:val="007C6BE8"/>
    <w:rsid w:val="007D71D2"/>
    <w:rsid w:val="007E4699"/>
    <w:rsid w:val="007E69D6"/>
    <w:rsid w:val="007F5289"/>
    <w:rsid w:val="008007C0"/>
    <w:rsid w:val="0080304D"/>
    <w:rsid w:val="00804DC3"/>
    <w:rsid w:val="00821273"/>
    <w:rsid w:val="008312E7"/>
    <w:rsid w:val="00835401"/>
    <w:rsid w:val="00837D66"/>
    <w:rsid w:val="00841941"/>
    <w:rsid w:val="00843051"/>
    <w:rsid w:val="008463BB"/>
    <w:rsid w:val="0084683A"/>
    <w:rsid w:val="00852A3E"/>
    <w:rsid w:val="00855AF4"/>
    <w:rsid w:val="00860862"/>
    <w:rsid w:val="0086096D"/>
    <w:rsid w:val="008672C8"/>
    <w:rsid w:val="00867398"/>
    <w:rsid w:val="00881872"/>
    <w:rsid w:val="008868C1"/>
    <w:rsid w:val="00886A65"/>
    <w:rsid w:val="008921E2"/>
    <w:rsid w:val="008923C4"/>
    <w:rsid w:val="0089783C"/>
    <w:rsid w:val="008A11ED"/>
    <w:rsid w:val="008A6FA4"/>
    <w:rsid w:val="008B34D3"/>
    <w:rsid w:val="008B4349"/>
    <w:rsid w:val="008B691C"/>
    <w:rsid w:val="008C6F0D"/>
    <w:rsid w:val="008D70B0"/>
    <w:rsid w:val="008D74B1"/>
    <w:rsid w:val="008F0F8E"/>
    <w:rsid w:val="00902584"/>
    <w:rsid w:val="00902FD8"/>
    <w:rsid w:val="00912CDF"/>
    <w:rsid w:val="00916584"/>
    <w:rsid w:val="009222D1"/>
    <w:rsid w:val="00925F07"/>
    <w:rsid w:val="009355D7"/>
    <w:rsid w:val="00935EB0"/>
    <w:rsid w:val="00946EB0"/>
    <w:rsid w:val="009505CE"/>
    <w:rsid w:val="00951416"/>
    <w:rsid w:val="00956448"/>
    <w:rsid w:val="00964234"/>
    <w:rsid w:val="009729C8"/>
    <w:rsid w:val="009757D6"/>
    <w:rsid w:val="0097798C"/>
    <w:rsid w:val="009837ED"/>
    <w:rsid w:val="00984083"/>
    <w:rsid w:val="009868C9"/>
    <w:rsid w:val="00986A51"/>
    <w:rsid w:val="009A278A"/>
    <w:rsid w:val="009B216E"/>
    <w:rsid w:val="009C0B06"/>
    <w:rsid w:val="009C0CA2"/>
    <w:rsid w:val="009C3AFC"/>
    <w:rsid w:val="009C475F"/>
    <w:rsid w:val="009D0EDF"/>
    <w:rsid w:val="009E4C8D"/>
    <w:rsid w:val="009E52DD"/>
    <w:rsid w:val="009F4F2F"/>
    <w:rsid w:val="009F5E88"/>
    <w:rsid w:val="00A00B78"/>
    <w:rsid w:val="00A0131D"/>
    <w:rsid w:val="00A159B4"/>
    <w:rsid w:val="00A16717"/>
    <w:rsid w:val="00A21E75"/>
    <w:rsid w:val="00A23F86"/>
    <w:rsid w:val="00A27041"/>
    <w:rsid w:val="00A307F0"/>
    <w:rsid w:val="00A3286F"/>
    <w:rsid w:val="00A37060"/>
    <w:rsid w:val="00A412EA"/>
    <w:rsid w:val="00A4676B"/>
    <w:rsid w:val="00A50843"/>
    <w:rsid w:val="00A57429"/>
    <w:rsid w:val="00A634E8"/>
    <w:rsid w:val="00A64DE4"/>
    <w:rsid w:val="00A67A1A"/>
    <w:rsid w:val="00A84340"/>
    <w:rsid w:val="00A84875"/>
    <w:rsid w:val="00A956ED"/>
    <w:rsid w:val="00AA1830"/>
    <w:rsid w:val="00AA21B1"/>
    <w:rsid w:val="00AA367F"/>
    <w:rsid w:val="00AA4633"/>
    <w:rsid w:val="00AA7801"/>
    <w:rsid w:val="00AB15D9"/>
    <w:rsid w:val="00AB42CE"/>
    <w:rsid w:val="00AB6883"/>
    <w:rsid w:val="00AB74A8"/>
    <w:rsid w:val="00AD6676"/>
    <w:rsid w:val="00AE16FB"/>
    <w:rsid w:val="00AE41BF"/>
    <w:rsid w:val="00AE4AB6"/>
    <w:rsid w:val="00AE7F7B"/>
    <w:rsid w:val="00AF6638"/>
    <w:rsid w:val="00B00F28"/>
    <w:rsid w:val="00B1612F"/>
    <w:rsid w:val="00B21591"/>
    <w:rsid w:val="00B22F36"/>
    <w:rsid w:val="00B3089E"/>
    <w:rsid w:val="00B31170"/>
    <w:rsid w:val="00B7017C"/>
    <w:rsid w:val="00B81512"/>
    <w:rsid w:val="00B81B4D"/>
    <w:rsid w:val="00B82668"/>
    <w:rsid w:val="00B84E25"/>
    <w:rsid w:val="00B91BD6"/>
    <w:rsid w:val="00B91ED0"/>
    <w:rsid w:val="00B9632E"/>
    <w:rsid w:val="00BA4D82"/>
    <w:rsid w:val="00BA5FA1"/>
    <w:rsid w:val="00BB2FF4"/>
    <w:rsid w:val="00BB39B8"/>
    <w:rsid w:val="00BB7564"/>
    <w:rsid w:val="00BC0D96"/>
    <w:rsid w:val="00BC22E4"/>
    <w:rsid w:val="00BC3810"/>
    <w:rsid w:val="00BC7BF0"/>
    <w:rsid w:val="00BD00C1"/>
    <w:rsid w:val="00BD68F4"/>
    <w:rsid w:val="00BD7510"/>
    <w:rsid w:val="00BD796D"/>
    <w:rsid w:val="00BF1478"/>
    <w:rsid w:val="00BF1E93"/>
    <w:rsid w:val="00BF4AD7"/>
    <w:rsid w:val="00C00753"/>
    <w:rsid w:val="00C102B7"/>
    <w:rsid w:val="00C1122B"/>
    <w:rsid w:val="00C260E2"/>
    <w:rsid w:val="00C322E3"/>
    <w:rsid w:val="00C435D0"/>
    <w:rsid w:val="00C70013"/>
    <w:rsid w:val="00C757E6"/>
    <w:rsid w:val="00C87A10"/>
    <w:rsid w:val="00C91BDB"/>
    <w:rsid w:val="00C96063"/>
    <w:rsid w:val="00CA1F5D"/>
    <w:rsid w:val="00CB2C2E"/>
    <w:rsid w:val="00CB491D"/>
    <w:rsid w:val="00CB6961"/>
    <w:rsid w:val="00CC35B7"/>
    <w:rsid w:val="00CC6535"/>
    <w:rsid w:val="00CC798F"/>
    <w:rsid w:val="00CD51FA"/>
    <w:rsid w:val="00CE2F22"/>
    <w:rsid w:val="00CF0E12"/>
    <w:rsid w:val="00CF1A55"/>
    <w:rsid w:val="00CF2E2F"/>
    <w:rsid w:val="00CF2FCB"/>
    <w:rsid w:val="00CF32F2"/>
    <w:rsid w:val="00CF7222"/>
    <w:rsid w:val="00D01512"/>
    <w:rsid w:val="00D077F9"/>
    <w:rsid w:val="00D1251F"/>
    <w:rsid w:val="00D23AB5"/>
    <w:rsid w:val="00D327C7"/>
    <w:rsid w:val="00D50C8D"/>
    <w:rsid w:val="00D91B51"/>
    <w:rsid w:val="00D92DE0"/>
    <w:rsid w:val="00D941BC"/>
    <w:rsid w:val="00D97B3E"/>
    <w:rsid w:val="00DA6613"/>
    <w:rsid w:val="00DB29DE"/>
    <w:rsid w:val="00DB39A2"/>
    <w:rsid w:val="00DB48C5"/>
    <w:rsid w:val="00DB753B"/>
    <w:rsid w:val="00DD1E8F"/>
    <w:rsid w:val="00DD5F72"/>
    <w:rsid w:val="00DE2996"/>
    <w:rsid w:val="00DE67B4"/>
    <w:rsid w:val="00DF628A"/>
    <w:rsid w:val="00DF6DBC"/>
    <w:rsid w:val="00E00C6E"/>
    <w:rsid w:val="00E130BF"/>
    <w:rsid w:val="00E222AC"/>
    <w:rsid w:val="00E25C2B"/>
    <w:rsid w:val="00E32CFB"/>
    <w:rsid w:val="00E3467A"/>
    <w:rsid w:val="00E43479"/>
    <w:rsid w:val="00E507C9"/>
    <w:rsid w:val="00E70624"/>
    <w:rsid w:val="00E72F2B"/>
    <w:rsid w:val="00E76175"/>
    <w:rsid w:val="00E825E1"/>
    <w:rsid w:val="00E86CF4"/>
    <w:rsid w:val="00E91A32"/>
    <w:rsid w:val="00E91C4A"/>
    <w:rsid w:val="00E95AFF"/>
    <w:rsid w:val="00E97AF6"/>
    <w:rsid w:val="00EA21E5"/>
    <w:rsid w:val="00EA5217"/>
    <w:rsid w:val="00EB2878"/>
    <w:rsid w:val="00EB34D1"/>
    <w:rsid w:val="00EC0C71"/>
    <w:rsid w:val="00EC13A6"/>
    <w:rsid w:val="00ED180C"/>
    <w:rsid w:val="00ED61CD"/>
    <w:rsid w:val="00ED7A74"/>
    <w:rsid w:val="00EE3023"/>
    <w:rsid w:val="00EE4204"/>
    <w:rsid w:val="00EF12DD"/>
    <w:rsid w:val="00F128A9"/>
    <w:rsid w:val="00F17FFB"/>
    <w:rsid w:val="00F212FA"/>
    <w:rsid w:val="00F218C5"/>
    <w:rsid w:val="00F22071"/>
    <w:rsid w:val="00F32479"/>
    <w:rsid w:val="00F5482B"/>
    <w:rsid w:val="00F652D5"/>
    <w:rsid w:val="00F72059"/>
    <w:rsid w:val="00F73D87"/>
    <w:rsid w:val="00F97195"/>
    <w:rsid w:val="00FA1FA7"/>
    <w:rsid w:val="00FA44F9"/>
    <w:rsid w:val="00FB246D"/>
    <w:rsid w:val="00FB57E9"/>
    <w:rsid w:val="00FC3D2D"/>
    <w:rsid w:val="00FC4883"/>
    <w:rsid w:val="00FC6D75"/>
    <w:rsid w:val="00FD1C36"/>
    <w:rsid w:val="00FD51B5"/>
    <w:rsid w:val="00FD6E9C"/>
    <w:rsid w:val="00FD6FAF"/>
    <w:rsid w:val="00FE1684"/>
    <w:rsid w:val="00FF63C4"/>
    <w:rsid w:val="00FF7896"/>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0"/>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B31170"/>
    <w:rPr>
      <w:lang w:val="en-AU"/>
    </w:rPr>
  </w:style>
  <w:style w:type="paragraph" w:styleId="Heading1">
    <w:name w:val="heading 1"/>
    <w:basedOn w:val="Normal"/>
    <w:next w:val="Normal"/>
    <w:link w:val="Heading1Char"/>
    <w:uiPriority w:val="9"/>
    <w:rsid w:val="00F128A9"/>
    <w:pPr>
      <w:keepNext/>
      <w:keepLines/>
      <w:suppressAutoHyphens/>
      <w:spacing w:before="120" w:after="120"/>
      <w:outlineLvl w:val="0"/>
    </w:pPr>
    <w:rPr>
      <w:rFonts w:ascii="Calibri Light" w:eastAsiaTheme="majorEastAsia" w:hAnsi="Calibri Light" w:cstheme="majorBidi"/>
      <w:bCs/>
      <w:color w:val="002F5F"/>
      <w:sz w:val="48"/>
      <w:szCs w:val="48"/>
    </w:rPr>
  </w:style>
  <w:style w:type="paragraph" w:styleId="Heading2">
    <w:name w:val="heading 2"/>
    <w:basedOn w:val="Heading1"/>
    <w:next w:val="Normal"/>
    <w:link w:val="Heading2Char"/>
    <w:rsid w:val="007C6BE8"/>
    <w:pPr>
      <w:keepNext w:val="0"/>
      <w:keepLines w:val="0"/>
      <w:tabs>
        <w:tab w:val="num" w:pos="851"/>
      </w:tabs>
      <w:suppressAutoHyphens w:val="0"/>
      <w:spacing w:before="0" w:after="0"/>
      <w:ind w:left="851" w:hanging="851"/>
      <w:contextualSpacing/>
      <w:outlineLvl w:val="1"/>
    </w:pPr>
    <w:rPr>
      <w:rFonts w:ascii="Calibri" w:eastAsia="Times New Roman" w:hAnsi="Calibri" w:cs="Calibri"/>
      <w:b/>
      <w:color w:val="auto"/>
      <w:sz w:val="22"/>
      <w:szCs w:val="22"/>
    </w:rPr>
  </w:style>
  <w:style w:type="paragraph" w:styleId="Heading3">
    <w:name w:val="heading 3"/>
    <w:basedOn w:val="Normal"/>
    <w:next w:val="Normal"/>
    <w:link w:val="Heading3Char"/>
    <w:uiPriority w:val="9"/>
    <w:unhideWhenUsed/>
    <w:rsid w:val="00F128A9"/>
    <w:pPr>
      <w:tabs>
        <w:tab w:val="left" w:pos="426"/>
      </w:tabs>
      <w:spacing w:before="120" w:after="120"/>
      <w:ind w:right="254"/>
      <w:outlineLvl w:val="2"/>
    </w:pPr>
    <w:rPr>
      <w:rFonts w:ascii="Calibri Light" w:hAnsi="Calibri Light"/>
      <w:b/>
      <w:color w:val="262626" w:themeColor="text1" w:themeTint="D9"/>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4471"/>
    <w:pPr>
      <w:ind w:left="720"/>
      <w:contextualSpacing/>
    </w:pPr>
  </w:style>
  <w:style w:type="table" w:styleId="TableGrid">
    <w:name w:val="Table Grid"/>
    <w:basedOn w:val="TableNormal"/>
    <w:uiPriority w:val="59"/>
    <w:rsid w:val="004144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F128A9"/>
    <w:rPr>
      <w:rFonts w:ascii="Calibri Light" w:eastAsiaTheme="majorEastAsia" w:hAnsi="Calibri Light" w:cstheme="majorBidi"/>
      <w:bCs/>
      <w:color w:val="002F5F"/>
      <w:sz w:val="48"/>
      <w:szCs w:val="48"/>
      <w:lang w:val="en-AU"/>
    </w:rPr>
  </w:style>
  <w:style w:type="character" w:customStyle="1" w:styleId="Heading3Char">
    <w:name w:val="Heading 3 Char"/>
    <w:basedOn w:val="DefaultParagraphFont"/>
    <w:link w:val="Heading3"/>
    <w:uiPriority w:val="9"/>
    <w:rsid w:val="00F128A9"/>
    <w:rPr>
      <w:rFonts w:ascii="Calibri Light" w:hAnsi="Calibri Light"/>
      <w:b/>
      <w:color w:val="262626" w:themeColor="text1" w:themeTint="D9"/>
      <w:sz w:val="28"/>
      <w:szCs w:val="28"/>
      <w:lang w:val="en-AU"/>
    </w:rPr>
  </w:style>
  <w:style w:type="paragraph" w:styleId="Quote">
    <w:name w:val="Quote"/>
    <w:basedOn w:val="NoSpacing"/>
    <w:next w:val="Normal"/>
    <w:link w:val="QuoteChar"/>
    <w:uiPriority w:val="29"/>
    <w:rsid w:val="00F128A9"/>
    <w:pPr>
      <w:spacing w:before="120" w:after="120"/>
      <w:ind w:right="255"/>
    </w:pPr>
    <w:rPr>
      <w:rFonts w:ascii="Calibri Light" w:hAnsi="Calibri Light"/>
      <w:i/>
      <w:color w:val="002F5F"/>
      <w:sz w:val="22"/>
      <w:szCs w:val="22"/>
    </w:rPr>
  </w:style>
  <w:style w:type="character" w:customStyle="1" w:styleId="QuoteChar">
    <w:name w:val="Quote Char"/>
    <w:basedOn w:val="DefaultParagraphFont"/>
    <w:link w:val="Quote"/>
    <w:uiPriority w:val="29"/>
    <w:rsid w:val="00F128A9"/>
    <w:rPr>
      <w:rFonts w:ascii="Calibri Light" w:hAnsi="Calibri Light"/>
      <w:i/>
      <w:color w:val="002F5F"/>
      <w:sz w:val="22"/>
      <w:szCs w:val="22"/>
      <w:lang w:val="en-AU"/>
    </w:rPr>
  </w:style>
  <w:style w:type="paragraph" w:customStyle="1" w:styleId="BodyText1">
    <w:name w:val="Body Text1"/>
    <w:rsid w:val="00F128A9"/>
    <w:pPr>
      <w:tabs>
        <w:tab w:val="left" w:pos="426"/>
      </w:tabs>
      <w:spacing w:before="120" w:after="120"/>
      <w:ind w:right="255"/>
    </w:pPr>
    <w:rPr>
      <w:rFonts w:ascii="Calibri Light" w:hAnsi="Calibri Light" w:cs="Arial"/>
      <w:color w:val="262626" w:themeColor="text1" w:themeTint="D9"/>
      <w:sz w:val="21"/>
      <w:szCs w:val="21"/>
      <w:lang w:val="en-AU"/>
    </w:rPr>
  </w:style>
  <w:style w:type="paragraph" w:styleId="NoSpacing">
    <w:name w:val="No Spacing"/>
    <w:uiPriority w:val="1"/>
    <w:rsid w:val="00F128A9"/>
    <w:rPr>
      <w:lang w:val="en-AU"/>
    </w:rPr>
  </w:style>
  <w:style w:type="character" w:styleId="CommentReference">
    <w:name w:val="annotation reference"/>
    <w:basedOn w:val="DefaultParagraphFont"/>
    <w:uiPriority w:val="99"/>
    <w:semiHidden/>
    <w:unhideWhenUsed/>
    <w:rsid w:val="005C44BD"/>
    <w:rPr>
      <w:sz w:val="18"/>
      <w:szCs w:val="18"/>
    </w:rPr>
  </w:style>
  <w:style w:type="paragraph" w:styleId="CommentText">
    <w:name w:val="annotation text"/>
    <w:basedOn w:val="Normal"/>
    <w:link w:val="CommentTextChar"/>
    <w:uiPriority w:val="99"/>
    <w:semiHidden/>
    <w:unhideWhenUsed/>
    <w:rsid w:val="005C44BD"/>
  </w:style>
  <w:style w:type="character" w:customStyle="1" w:styleId="CommentTextChar">
    <w:name w:val="Comment Text Char"/>
    <w:basedOn w:val="DefaultParagraphFont"/>
    <w:link w:val="CommentText"/>
    <w:uiPriority w:val="99"/>
    <w:semiHidden/>
    <w:rsid w:val="005C44BD"/>
    <w:rPr>
      <w:lang w:val="en-AU"/>
    </w:rPr>
  </w:style>
  <w:style w:type="paragraph" w:styleId="BalloonText">
    <w:name w:val="Balloon Text"/>
    <w:basedOn w:val="Normal"/>
    <w:link w:val="BalloonTextChar"/>
    <w:uiPriority w:val="99"/>
    <w:semiHidden/>
    <w:unhideWhenUsed/>
    <w:rsid w:val="005C44B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C44BD"/>
    <w:rPr>
      <w:rFonts w:ascii="Lucida Grande" w:hAnsi="Lucida Grande" w:cs="Lucida Grande"/>
      <w:sz w:val="18"/>
      <w:szCs w:val="18"/>
      <w:lang w:val="en-AU"/>
    </w:rPr>
  </w:style>
  <w:style w:type="paragraph" w:styleId="Header">
    <w:name w:val="header"/>
    <w:basedOn w:val="Normal"/>
    <w:link w:val="HeaderChar"/>
    <w:uiPriority w:val="99"/>
    <w:unhideWhenUsed/>
    <w:rsid w:val="00477967"/>
    <w:pPr>
      <w:tabs>
        <w:tab w:val="center" w:pos="4320"/>
        <w:tab w:val="right" w:pos="8640"/>
      </w:tabs>
    </w:pPr>
  </w:style>
  <w:style w:type="character" w:customStyle="1" w:styleId="HeaderChar">
    <w:name w:val="Header Char"/>
    <w:basedOn w:val="DefaultParagraphFont"/>
    <w:link w:val="Header"/>
    <w:uiPriority w:val="99"/>
    <w:rsid w:val="00477967"/>
    <w:rPr>
      <w:lang w:val="en-AU"/>
    </w:rPr>
  </w:style>
  <w:style w:type="paragraph" w:styleId="Footer">
    <w:name w:val="footer"/>
    <w:basedOn w:val="Normal"/>
    <w:link w:val="FooterChar"/>
    <w:uiPriority w:val="99"/>
    <w:unhideWhenUsed/>
    <w:rsid w:val="00477967"/>
    <w:pPr>
      <w:tabs>
        <w:tab w:val="center" w:pos="4320"/>
        <w:tab w:val="right" w:pos="8640"/>
      </w:tabs>
    </w:pPr>
  </w:style>
  <w:style w:type="character" w:customStyle="1" w:styleId="FooterChar">
    <w:name w:val="Footer Char"/>
    <w:basedOn w:val="DefaultParagraphFont"/>
    <w:link w:val="Footer"/>
    <w:uiPriority w:val="99"/>
    <w:rsid w:val="00477967"/>
    <w:rPr>
      <w:lang w:val="en-AU"/>
    </w:rPr>
  </w:style>
  <w:style w:type="character" w:styleId="PageNumber">
    <w:name w:val="page number"/>
    <w:basedOn w:val="DefaultParagraphFont"/>
    <w:uiPriority w:val="99"/>
    <w:semiHidden/>
    <w:unhideWhenUsed/>
    <w:rsid w:val="003E3F17"/>
  </w:style>
  <w:style w:type="paragraph" w:customStyle="1" w:styleId="PolicyHeading1-Accessible">
    <w:name w:val="Policy Heading 1 - Accessible"/>
    <w:basedOn w:val="Heading1"/>
    <w:qFormat/>
    <w:rsid w:val="0084683A"/>
    <w:pPr>
      <w:spacing w:before="60" w:after="0"/>
    </w:pPr>
    <w:rPr>
      <w:rFonts w:asciiTheme="majorHAnsi" w:hAnsiTheme="majorHAnsi"/>
      <w:b/>
      <w:color w:val="auto"/>
      <w:sz w:val="28"/>
      <w:szCs w:val="28"/>
    </w:rPr>
  </w:style>
  <w:style w:type="paragraph" w:customStyle="1" w:styleId="PolicyHeading2-Accessible">
    <w:name w:val="Policy Heading 2 - Accessible"/>
    <w:basedOn w:val="Heading2"/>
    <w:next w:val="Policy-BodyText"/>
    <w:qFormat/>
    <w:rsid w:val="00E222AC"/>
    <w:pPr>
      <w:numPr>
        <w:numId w:val="3"/>
      </w:numPr>
      <w:spacing w:before="120"/>
      <w:contextualSpacing w:val="0"/>
    </w:pPr>
    <w:rPr>
      <w:sz w:val="24"/>
    </w:rPr>
  </w:style>
  <w:style w:type="paragraph" w:customStyle="1" w:styleId="Policy-BodyText">
    <w:name w:val="Policy - Body Text"/>
    <w:basedOn w:val="Normal"/>
    <w:qFormat/>
    <w:rsid w:val="000A4279"/>
    <w:pPr>
      <w:numPr>
        <w:ilvl w:val="1"/>
        <w:numId w:val="3"/>
      </w:numPr>
      <w:spacing w:line="264" w:lineRule="auto"/>
    </w:pPr>
    <w:rPr>
      <w:rFonts w:ascii="Calibri" w:hAnsi="Calibri"/>
      <w:sz w:val="23"/>
    </w:rPr>
  </w:style>
  <w:style w:type="numbering" w:customStyle="1" w:styleId="PolicyNumbering-Accessible">
    <w:name w:val="Policy Numbering - Accessible"/>
    <w:uiPriority w:val="99"/>
    <w:rsid w:val="002A5A65"/>
    <w:pPr>
      <w:numPr>
        <w:numId w:val="1"/>
      </w:numPr>
    </w:pPr>
  </w:style>
  <w:style w:type="character" w:customStyle="1" w:styleId="Heading2Char">
    <w:name w:val="Heading 2 Char"/>
    <w:basedOn w:val="DefaultParagraphFont"/>
    <w:link w:val="Heading2"/>
    <w:rsid w:val="007C6BE8"/>
    <w:rPr>
      <w:rFonts w:ascii="Calibri" w:eastAsia="Times New Roman" w:hAnsi="Calibri" w:cs="Calibri"/>
      <w:b/>
      <w:bCs/>
      <w:sz w:val="22"/>
      <w:szCs w:val="22"/>
      <w:lang w:val="en-AU"/>
    </w:rPr>
  </w:style>
  <w:style w:type="paragraph" w:customStyle="1" w:styleId="ExplanatoryText">
    <w:name w:val="Explanatory Text"/>
    <w:basedOn w:val="Normal"/>
    <w:link w:val="ExplanatoryTextChar"/>
    <w:rsid w:val="007C6BE8"/>
    <w:pPr>
      <w:numPr>
        <w:ilvl w:val="1"/>
      </w:numPr>
      <w:tabs>
        <w:tab w:val="num" w:pos="851"/>
      </w:tabs>
      <w:ind w:left="851" w:hanging="851"/>
      <w:contextualSpacing/>
    </w:pPr>
    <w:rPr>
      <w:rFonts w:ascii="Calibri" w:eastAsia="Times New Roman" w:hAnsi="Calibri" w:cs="Calibri"/>
      <w:b/>
      <w:sz w:val="22"/>
      <w:szCs w:val="22"/>
    </w:rPr>
  </w:style>
  <w:style w:type="character" w:customStyle="1" w:styleId="ExplanatoryTextChar">
    <w:name w:val="Explanatory Text Char"/>
    <w:basedOn w:val="DefaultParagraphFont"/>
    <w:link w:val="ExplanatoryText"/>
    <w:rsid w:val="007C6BE8"/>
    <w:rPr>
      <w:rFonts w:ascii="Calibri" w:eastAsia="Times New Roman" w:hAnsi="Calibri" w:cs="Calibri"/>
      <w:b/>
      <w:sz w:val="22"/>
      <w:szCs w:val="22"/>
      <w:lang w:val="en-AU"/>
    </w:rPr>
  </w:style>
  <w:style w:type="character" w:styleId="Hyperlink">
    <w:name w:val="Hyperlink"/>
    <w:basedOn w:val="DefaultParagraphFont"/>
    <w:uiPriority w:val="99"/>
    <w:unhideWhenUsed/>
    <w:rsid w:val="007C6BE8"/>
    <w:rPr>
      <w:color w:val="0000FF" w:themeColor="hyperlink"/>
      <w:u w:val="single"/>
    </w:rPr>
  </w:style>
  <w:style w:type="paragraph" w:customStyle="1" w:styleId="PolicySubHeading3-Accessible">
    <w:name w:val="Policy Sub Heading 3 - Accessible"/>
    <w:basedOn w:val="Heading3"/>
    <w:next w:val="PolicyHeading2-Accessible"/>
    <w:qFormat/>
    <w:rsid w:val="00E76175"/>
    <w:pPr>
      <w:spacing w:after="0" w:line="264" w:lineRule="auto"/>
      <w:ind w:left="1134" w:right="0" w:hanging="567"/>
    </w:pPr>
    <w:rPr>
      <w:rFonts w:ascii="Calibri" w:hAnsi="Calibri"/>
      <w:sz w:val="24"/>
    </w:rPr>
  </w:style>
  <w:style w:type="paragraph" w:customStyle="1" w:styleId="Default">
    <w:name w:val="Default"/>
    <w:rsid w:val="00ED180C"/>
    <w:pPr>
      <w:autoSpaceDE w:val="0"/>
      <w:autoSpaceDN w:val="0"/>
      <w:adjustRightInd w:val="0"/>
    </w:pPr>
    <w:rPr>
      <w:rFonts w:ascii="Calibri" w:hAnsi="Calibri" w:cs="Calibri"/>
      <w:color w:val="000000"/>
      <w:lang w:val="en-AU"/>
    </w:rPr>
  </w:style>
  <w:style w:type="paragraph" w:styleId="CommentSubject">
    <w:name w:val="annotation subject"/>
    <w:basedOn w:val="CommentText"/>
    <w:next w:val="CommentText"/>
    <w:link w:val="CommentSubjectChar"/>
    <w:uiPriority w:val="99"/>
    <w:semiHidden/>
    <w:unhideWhenUsed/>
    <w:rsid w:val="00E97AF6"/>
    <w:rPr>
      <w:b/>
      <w:bCs/>
      <w:sz w:val="20"/>
      <w:szCs w:val="20"/>
    </w:rPr>
  </w:style>
  <w:style w:type="character" w:customStyle="1" w:styleId="CommentSubjectChar">
    <w:name w:val="Comment Subject Char"/>
    <w:basedOn w:val="CommentTextChar"/>
    <w:link w:val="CommentSubject"/>
    <w:uiPriority w:val="99"/>
    <w:semiHidden/>
    <w:rsid w:val="00E97AF6"/>
    <w:rPr>
      <w:b/>
      <w:bCs/>
      <w:sz w:val="20"/>
      <w:szCs w:val="20"/>
      <w:lang w:val="en-AU"/>
    </w:rPr>
  </w:style>
  <w:style w:type="character" w:styleId="FollowedHyperlink">
    <w:name w:val="FollowedHyperlink"/>
    <w:basedOn w:val="DefaultParagraphFont"/>
    <w:uiPriority w:val="99"/>
    <w:semiHidden/>
    <w:unhideWhenUsed/>
    <w:rsid w:val="000928D3"/>
    <w:rPr>
      <w:color w:val="800080" w:themeColor="followedHyperlink"/>
      <w:u w:val="single"/>
    </w:rPr>
  </w:style>
  <w:style w:type="character" w:styleId="FootnoteReference">
    <w:name w:val="footnote reference"/>
    <w:uiPriority w:val="99"/>
    <w:unhideWhenUsed/>
    <w:rsid w:val="0051790B"/>
    <w:rPr>
      <w:vertAlign w:val="superscript"/>
    </w:rPr>
  </w:style>
  <w:style w:type="paragraph" w:customStyle="1" w:styleId="FN">
    <w:name w:val="FN"/>
    <w:basedOn w:val="FootnoteText"/>
    <w:link w:val="FNChar"/>
    <w:qFormat/>
    <w:rsid w:val="0051790B"/>
    <w:pPr>
      <w:spacing w:after="120" w:line="276" w:lineRule="auto"/>
    </w:pPr>
    <w:rPr>
      <w:rFonts w:ascii="Calibri" w:eastAsia="Calibri" w:hAnsi="Calibri" w:cs="Arial"/>
    </w:rPr>
  </w:style>
  <w:style w:type="character" w:customStyle="1" w:styleId="FNChar">
    <w:name w:val="FN Char"/>
    <w:link w:val="FN"/>
    <w:rsid w:val="0051790B"/>
    <w:rPr>
      <w:rFonts w:ascii="Calibri" w:eastAsia="Calibri" w:hAnsi="Calibri" w:cs="Arial"/>
      <w:sz w:val="20"/>
      <w:szCs w:val="20"/>
      <w:lang w:val="en-AU"/>
    </w:rPr>
  </w:style>
  <w:style w:type="paragraph" w:styleId="FootnoteText">
    <w:name w:val="footnote text"/>
    <w:basedOn w:val="Normal"/>
    <w:link w:val="FootnoteTextChar"/>
    <w:uiPriority w:val="99"/>
    <w:unhideWhenUsed/>
    <w:rsid w:val="0051790B"/>
    <w:rPr>
      <w:sz w:val="20"/>
      <w:szCs w:val="20"/>
    </w:rPr>
  </w:style>
  <w:style w:type="character" w:customStyle="1" w:styleId="FootnoteTextChar">
    <w:name w:val="Footnote Text Char"/>
    <w:basedOn w:val="DefaultParagraphFont"/>
    <w:link w:val="FootnoteText"/>
    <w:uiPriority w:val="99"/>
    <w:rsid w:val="0051790B"/>
    <w:rPr>
      <w:sz w:val="20"/>
      <w:szCs w:val="20"/>
      <w:lang w:val="en-AU"/>
    </w:rPr>
  </w:style>
  <w:style w:type="paragraph" w:styleId="NormalWeb">
    <w:name w:val="Normal (Web)"/>
    <w:basedOn w:val="Normal"/>
    <w:uiPriority w:val="99"/>
    <w:semiHidden/>
    <w:unhideWhenUsed/>
    <w:rsid w:val="00764DE9"/>
    <w:pPr>
      <w:spacing w:before="100" w:beforeAutospacing="1" w:after="100" w:afterAutospacing="1"/>
    </w:pPr>
    <w:rPr>
      <w:rFonts w:ascii="Times New Roman" w:eastAsia="Times New Roman" w:hAnsi="Times New Roman" w:cs="Times New Roman"/>
      <w:lang w:eastAsia="en-AU"/>
    </w:rPr>
  </w:style>
  <w:style w:type="paragraph" w:styleId="Revision">
    <w:name w:val="Revision"/>
    <w:hidden/>
    <w:uiPriority w:val="99"/>
    <w:semiHidden/>
    <w:rsid w:val="00946EB0"/>
    <w:rPr>
      <w:lang w:val="en-AU"/>
    </w:rPr>
  </w:style>
</w:styles>
</file>

<file path=word/webSettings.xml><?xml version="1.0" encoding="utf-8"?>
<w:webSettings xmlns:r="http://schemas.openxmlformats.org/officeDocument/2006/relationships" xmlns:w="http://schemas.openxmlformats.org/wordprocessingml/2006/main">
  <w:divs>
    <w:div w:id="663093752">
      <w:bodyDiv w:val="1"/>
      <w:marLeft w:val="0"/>
      <w:marRight w:val="0"/>
      <w:marTop w:val="0"/>
      <w:marBottom w:val="0"/>
      <w:divBdr>
        <w:top w:val="none" w:sz="0" w:space="0" w:color="auto"/>
        <w:left w:val="none" w:sz="0" w:space="0" w:color="auto"/>
        <w:bottom w:val="none" w:sz="0" w:space="0" w:color="auto"/>
        <w:right w:val="none" w:sz="0" w:space="0" w:color="auto"/>
      </w:divBdr>
    </w:div>
    <w:div w:id="18315622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legislation.act.gov.au/isysquery/search.asp" TargetMode="External"/><Relationship Id="rId18" Type="http://schemas.openxmlformats.org/officeDocument/2006/relationships/hyperlink" Target="http://www.cmd.act.gov.au/__data/assets/pdf_file/0009/489087/2012_whs_09_managingoccupationalviolence.pdf" TargetMode="External"/><Relationship Id="rId26" Type="http://schemas.openxmlformats.org/officeDocument/2006/relationships/hyperlink" Target="http://www.legislation.act.gov.au/a/2011-35/" TargetMode="External"/><Relationship Id="rId3" Type="http://schemas.openxmlformats.org/officeDocument/2006/relationships/customXml" Target="../customXml/item3.xml"/><Relationship Id="rId21" Type="http://schemas.openxmlformats.org/officeDocument/2006/relationships/hyperlink" Target="http://www.education.act.gov.au/publications_and_policies/corporate-policies/wellbeing/accidents-and-incidents/criticalnon-critical-incident-management-and-reporting-policy" TargetMode="External"/><Relationship Id="rId34"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www.legislation.act.gov.au/a/1994-37/default.asp" TargetMode="External"/><Relationship Id="rId17" Type="http://schemas.openxmlformats.org/officeDocument/2006/relationships/hyperlink" Target="http://www.education.act.gov.au/contact_us" TargetMode="External"/><Relationship Id="rId25" Type="http://schemas.openxmlformats.org/officeDocument/2006/relationships/hyperlink" Target="https://index.ed.act.edu.au/handbooks/school-legal-information/unwelcome-visitors-schools.html"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etdhealthandwellbeing@act.gov.au" TargetMode="External"/><Relationship Id="rId20" Type="http://schemas.openxmlformats.org/officeDocument/2006/relationships/hyperlink" Target="https://index.ed.act.edu.au/our-people/whs/control/accident-incident-reporting-and-investigation.html" TargetMode="External"/><Relationship Id="rId29" Type="http://schemas.openxmlformats.org/officeDocument/2006/relationships/hyperlink" Target="http://www.legislation.act.gov.au/isysquery/search.as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education.act.gov.au/__data/assets/word_doc/0016/810160/Working-with-Children-and-Young-People-Code-of-Conduct-for-Volunteers-and-Visitors.docx" TargetMode="External"/><Relationship Id="rId32" Type="http://schemas.openxmlformats.org/officeDocument/2006/relationships/hyperlink" Target="http://www.legislation.act.gov.au/a/1900-40/default.asp" TargetMode="External"/><Relationship Id="rId5" Type="http://schemas.openxmlformats.org/officeDocument/2006/relationships/customXml" Target="../customXml/item5.xml"/><Relationship Id="rId15" Type="http://schemas.openxmlformats.org/officeDocument/2006/relationships/hyperlink" Target="http://www.legislation.act.gov.au/a/1900-40/default.asp" TargetMode="External"/><Relationship Id="rId23" Type="http://schemas.openxmlformats.org/officeDocument/2006/relationships/hyperlink" Target="http://www.education.act.gov.au/publications_and_policies/corporate-policies/wellbeing/child-protection/working-with-children-and-young-people-volunteers-and-visitors-interim-policy" TargetMode="External"/><Relationship Id="rId28" Type="http://schemas.openxmlformats.org/officeDocument/2006/relationships/hyperlink" Target="http://www.legislation.act.gov.au/a/1994-37/default.asp" TargetMode="External"/><Relationship Id="rId36" Type="http://schemas.microsoft.com/office/2016/09/relationships/commentsIds" Target="commentsIds.xml"/><Relationship Id="rId10" Type="http://schemas.openxmlformats.org/officeDocument/2006/relationships/footnotes" Target="footnotes.xml"/><Relationship Id="rId19" Type="http://schemas.openxmlformats.org/officeDocument/2006/relationships/hyperlink" Target="http://www.cmd.act.gov.au/__data/assets/pdf_file/0020/203663/whs0511.pdf" TargetMode="External"/><Relationship Id="rId31" Type="http://schemas.openxmlformats.org/officeDocument/2006/relationships/hyperlink" Target="http://www.legislation.act.gov.au/a/1900-40/default.as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legislation.act.gov.au/a/2004-5/default.asp" TargetMode="External"/><Relationship Id="rId22" Type="http://schemas.openxmlformats.org/officeDocument/2006/relationships/hyperlink" Target="http://www.education.act.gov.au/publications_and_policies/School-and-Corporate-Policies/wellbeing/safety/safe-and-supportive-schools-policy" TargetMode="External"/><Relationship Id="rId27" Type="http://schemas.openxmlformats.org/officeDocument/2006/relationships/hyperlink" Target="http://www.legislation.act.gov.au/sl/2011-36/default.asp" TargetMode="External"/><Relationship Id="rId30" Type="http://schemas.openxmlformats.org/officeDocument/2006/relationships/hyperlink" Target="http://www.legislation.act.gov.au/a/2004-5/default.asp" TargetMode="External"/><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C3984F10742E45AF078BB922488432" ma:contentTypeVersion="2" ma:contentTypeDescription="Create a new document." ma:contentTypeScope="" ma:versionID="87b87260eb966b3515b211b7084cfa0f">
  <xsd:schema xmlns:xsd="http://www.w3.org/2001/XMLSchema" xmlns:xs="http://www.w3.org/2001/XMLSchema" xmlns:p="http://schemas.microsoft.com/office/2006/metadata/properties" xmlns:ns2="79dcac7f-b606-4730-9d52-220548b0ebb8" targetNamespace="http://schemas.microsoft.com/office/2006/metadata/properties" ma:root="true" ma:fieldsID="cbbc35715f19aab9f946f7db41a7c06c" ns2:_="">
    <xsd:import namespace="79dcac7f-b606-4730-9d52-220548b0ebb8"/>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dcac7f-b606-4730-9d52-220548b0ebb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D2FC2D-5FC8-4BAC-801C-7BD3702F71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dcac7f-b606-4730-9d52-220548b0eb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D31392C-7763-424C-98D6-CD828C5EC00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832A0B5-F3CE-4301-A447-B9580B6984E4}">
  <ds:schemaRefs>
    <ds:schemaRef ds:uri="http://schemas.microsoft.com/sharepoint/v3/contenttype/forms"/>
  </ds:schemaRefs>
</ds:datastoreItem>
</file>

<file path=customXml/itemProps4.xml><?xml version="1.0" encoding="utf-8"?>
<ds:datastoreItem xmlns:ds="http://schemas.openxmlformats.org/officeDocument/2006/customXml" ds:itemID="{06D81448-ACB3-46A5-8D84-770AC8C299ED}">
  <ds:schemaRefs>
    <ds:schemaRef ds:uri="http://schemas.openxmlformats.org/officeDocument/2006/bibliography"/>
  </ds:schemaRefs>
</ds:datastoreItem>
</file>

<file path=customXml/itemProps5.xml><?xml version="1.0" encoding="utf-8"?>
<ds:datastoreItem xmlns:ds="http://schemas.openxmlformats.org/officeDocument/2006/customXml" ds:itemID="{EA994863-41C3-4F78-806F-1CDE3C43B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6</Pages>
  <Words>2047</Words>
  <Characters>11673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Policy</vt:lpstr>
    </vt:vector>
  </TitlesOfParts>
  <Company>ACT Government</Company>
  <LinksUpToDate>false</LinksUpToDate>
  <CharactersWithSpaces>13693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dc:title>
  <dc:subject>Policy</dc:subject>
  <dc:creator>PolicyIn-PrincipleAgreementForm.docx</dc:creator>
  <cp:lastModifiedBy>Bryce Nadudvary</cp:lastModifiedBy>
  <cp:revision>10</cp:revision>
  <cp:lastPrinted>2017-07-18T03:06:00Z</cp:lastPrinted>
  <dcterms:created xsi:type="dcterms:W3CDTF">2017-07-18T01:25:00Z</dcterms:created>
  <dcterms:modified xsi:type="dcterms:W3CDTF">2017-07-20T05:38:00Z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0x010100B3C3984F10742E45AF078BB922488432</vt:lpwstr>
  </property>
</Properties>
</file>