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412B" w:rsidRPr="0063745C" w:rsidRDefault="00F0412B" w:rsidP="00F0412B">
      <w:pPr>
        <w:rPr>
          <w:rFonts w:asciiTheme="minorHAnsi" w:hAnsiTheme="minorHAnsi" w:cstheme="minorHAnsi"/>
        </w:rPr>
      </w:pPr>
    </w:p>
    <w:p w:rsidR="00F0412B" w:rsidRPr="0063745C" w:rsidRDefault="00F0412B" w:rsidP="00F0412B">
      <w:pPr>
        <w:rPr>
          <w:rFonts w:asciiTheme="minorHAnsi" w:hAnsiTheme="minorHAnsi" w:cstheme="minorHAnsi"/>
        </w:rPr>
      </w:pPr>
    </w:p>
    <w:tbl>
      <w:tblPr>
        <w:tblW w:w="10297" w:type="dxa"/>
        <w:jc w:val="center"/>
        <w:tblCellSpacing w:w="0" w:type="dxa"/>
        <w:shd w:val="clear" w:color="auto" w:fill="F2F2F2"/>
        <w:tblCellMar>
          <w:left w:w="0" w:type="dxa"/>
          <w:right w:w="0" w:type="dxa"/>
        </w:tblCellMar>
        <w:tblLook w:val="04A0" w:firstRow="1" w:lastRow="0" w:firstColumn="1" w:lastColumn="0" w:noHBand="0" w:noVBand="1"/>
      </w:tblPr>
      <w:tblGrid>
        <w:gridCol w:w="2507"/>
        <w:gridCol w:w="1776"/>
        <w:gridCol w:w="6334"/>
        <w:gridCol w:w="6"/>
      </w:tblGrid>
      <w:tr w:rsidR="00F0412B" w:rsidRPr="0063745C" w:rsidTr="003F7DBA">
        <w:trPr>
          <w:tblCellSpacing w:w="0" w:type="dxa"/>
          <w:jc w:val="center"/>
        </w:trPr>
        <w:tc>
          <w:tcPr>
            <w:tcW w:w="2309" w:type="dxa"/>
            <w:shd w:val="clear" w:color="auto" w:fill="5C5C5C"/>
            <w:tcMar>
              <w:top w:w="225" w:type="dxa"/>
              <w:left w:w="465" w:type="dxa"/>
              <w:bottom w:w="225" w:type="dxa"/>
              <w:right w:w="0" w:type="dxa"/>
            </w:tcMar>
            <w:vAlign w:val="center"/>
            <w:hideMark/>
          </w:tcPr>
          <w:p w:rsidR="00F0412B" w:rsidRPr="0063745C" w:rsidRDefault="00F0412B" w:rsidP="00C600AD">
            <w:pPr>
              <w:rPr>
                <w:rFonts w:asciiTheme="minorHAnsi" w:hAnsiTheme="minorHAnsi" w:cstheme="minorHAnsi"/>
              </w:rPr>
            </w:pPr>
          </w:p>
        </w:tc>
        <w:tc>
          <w:tcPr>
            <w:tcW w:w="1318" w:type="dxa"/>
            <w:shd w:val="clear" w:color="auto" w:fill="5C5C5C"/>
            <w:tcMar>
              <w:top w:w="225" w:type="dxa"/>
              <w:left w:w="645" w:type="dxa"/>
              <w:bottom w:w="225" w:type="dxa"/>
              <w:right w:w="0" w:type="dxa"/>
            </w:tcMar>
            <w:vAlign w:val="center"/>
            <w:hideMark/>
          </w:tcPr>
          <w:p w:rsidR="00F0412B" w:rsidRPr="0063745C" w:rsidRDefault="00F0412B" w:rsidP="00C600AD">
            <w:pPr>
              <w:ind w:left="-2100"/>
              <w:rPr>
                <w:rFonts w:asciiTheme="minorHAnsi" w:eastAsia="Times New Roman" w:hAnsiTheme="minorHAnsi" w:cstheme="minorHAnsi"/>
                <w:sz w:val="20"/>
                <w:szCs w:val="20"/>
                <w:lang w:eastAsia="en-AU"/>
              </w:rPr>
            </w:pPr>
          </w:p>
        </w:tc>
        <w:tc>
          <w:tcPr>
            <w:tcW w:w="6670" w:type="dxa"/>
            <w:gridSpan w:val="2"/>
            <w:shd w:val="clear" w:color="auto" w:fill="5C5C5C"/>
            <w:tcMar>
              <w:top w:w="225" w:type="dxa"/>
              <w:left w:w="0" w:type="dxa"/>
              <w:bottom w:w="225" w:type="dxa"/>
              <w:right w:w="375" w:type="dxa"/>
            </w:tcMar>
            <w:vAlign w:val="center"/>
            <w:hideMark/>
          </w:tcPr>
          <w:p w:rsidR="00F0412B" w:rsidRPr="0063745C" w:rsidRDefault="00F0412B" w:rsidP="00C600AD">
            <w:pPr>
              <w:spacing w:before="100" w:beforeAutospacing="1" w:after="100" w:afterAutospacing="1"/>
              <w:ind w:left="-1137"/>
              <w:jc w:val="right"/>
              <w:rPr>
                <w:rFonts w:asciiTheme="minorHAnsi" w:hAnsiTheme="minorHAnsi" w:cstheme="minorHAnsi"/>
                <w:color w:val="FFFFFF"/>
                <w:sz w:val="20"/>
                <w:szCs w:val="20"/>
                <w:lang w:eastAsia="en-AU"/>
              </w:rPr>
            </w:pPr>
            <w:r w:rsidRPr="0063745C">
              <w:rPr>
                <w:rFonts w:asciiTheme="minorHAnsi" w:hAnsiTheme="minorHAnsi" w:cstheme="minorHAnsi"/>
                <w:noProof/>
                <w:color w:val="000000"/>
              </w:rPr>
              <w:drawing>
                <wp:inline distT="0" distB="0" distL="0" distR="0" wp14:anchorId="6230F627" wp14:editId="0B60328D">
                  <wp:extent cx="209550" cy="2095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3745C">
              <w:rPr>
                <w:rFonts w:asciiTheme="minorHAnsi" w:hAnsiTheme="minorHAnsi" w:cstheme="minorHAnsi"/>
                <w:noProof/>
                <w:color w:val="000000"/>
              </w:rPr>
              <w:drawing>
                <wp:inline distT="0" distB="0" distL="0" distR="0" wp14:anchorId="048012C8" wp14:editId="405D480A">
                  <wp:extent cx="209550" cy="2095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3745C">
              <w:rPr>
                <w:rFonts w:asciiTheme="minorHAnsi" w:hAnsiTheme="minorHAnsi" w:cstheme="minorHAnsi"/>
                <w:noProof/>
                <w:color w:val="000000"/>
              </w:rPr>
              <w:drawing>
                <wp:inline distT="0" distB="0" distL="0" distR="0" wp14:anchorId="55A1891D" wp14:editId="31160370">
                  <wp:extent cx="209550" cy="2095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F0412B" w:rsidRPr="0063745C" w:rsidTr="003F7DBA">
        <w:trPr>
          <w:gridAfter w:val="1"/>
          <w:wAfter w:w="23" w:type="dxa"/>
          <w:tblCellSpacing w:w="0" w:type="dxa"/>
          <w:jc w:val="center"/>
        </w:trPr>
        <w:tc>
          <w:tcPr>
            <w:tcW w:w="10274" w:type="dxa"/>
            <w:gridSpan w:val="3"/>
            <w:shd w:val="clear" w:color="auto" w:fill="342682"/>
            <w:vAlign w:val="center"/>
            <w:hideMark/>
          </w:tcPr>
          <w:p w:rsidR="00F0412B" w:rsidRPr="0063745C" w:rsidRDefault="00F0412B" w:rsidP="00C600AD">
            <w:pPr>
              <w:rPr>
                <w:rFonts w:asciiTheme="minorHAnsi" w:hAnsiTheme="minorHAnsi" w:cstheme="minorHAnsi"/>
                <w:color w:val="333132"/>
              </w:rPr>
            </w:pPr>
            <w:r w:rsidRPr="0063745C">
              <w:rPr>
                <w:rFonts w:asciiTheme="minorHAnsi" w:hAnsiTheme="minorHAnsi" w:cstheme="minorHAnsi"/>
                <w:noProof/>
                <w:color w:val="333132"/>
              </w:rPr>
              <w:drawing>
                <wp:inline distT="0" distB="0" distL="0" distR="0" wp14:anchorId="348EBABA" wp14:editId="716BE50E">
                  <wp:extent cx="6742365" cy="1925003"/>
                  <wp:effectExtent l="0" t="0" r="0" b="0"/>
                  <wp:docPr id="76" name="Picture 76"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Aler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77158" cy="1934937"/>
                          </a:xfrm>
                          <a:prstGeom prst="rect">
                            <a:avLst/>
                          </a:prstGeom>
                          <a:noFill/>
                          <a:ln>
                            <a:noFill/>
                          </a:ln>
                        </pic:spPr>
                      </pic:pic>
                    </a:graphicData>
                  </a:graphic>
                </wp:inline>
              </w:drawing>
            </w:r>
          </w:p>
        </w:tc>
      </w:tr>
    </w:tbl>
    <w:p w:rsidR="00F0412B" w:rsidRPr="0063745C" w:rsidRDefault="00F0412B" w:rsidP="00F0412B">
      <w:pPr>
        <w:rPr>
          <w:rFonts w:asciiTheme="minorHAnsi" w:hAnsiTheme="minorHAnsi" w:cstheme="minorHAnsi"/>
        </w:rPr>
      </w:pPr>
    </w:p>
    <w:tbl>
      <w:tblPr>
        <w:tblW w:w="10260" w:type="dxa"/>
        <w:jc w:val="center"/>
        <w:tblCellSpacing w:w="0" w:type="dxa"/>
        <w:shd w:val="clear" w:color="auto" w:fill="F2F2F2"/>
        <w:tblCellMar>
          <w:left w:w="0" w:type="dxa"/>
          <w:right w:w="0" w:type="dxa"/>
        </w:tblCellMar>
        <w:tblLook w:val="04A0" w:firstRow="1" w:lastRow="0" w:firstColumn="1" w:lastColumn="0" w:noHBand="0" w:noVBand="1"/>
      </w:tblPr>
      <w:tblGrid>
        <w:gridCol w:w="10260"/>
      </w:tblGrid>
      <w:tr w:rsidR="00F0412B" w:rsidRPr="0063745C" w:rsidTr="00C600AD">
        <w:trPr>
          <w:trHeight w:val="2960"/>
          <w:tblCellSpacing w:w="0" w:type="dxa"/>
          <w:jc w:val="center"/>
        </w:trPr>
        <w:tc>
          <w:tcPr>
            <w:tcW w:w="0" w:type="auto"/>
            <w:shd w:val="clear" w:color="auto" w:fill="F2F2F2"/>
            <w:tcMar>
              <w:top w:w="300" w:type="dxa"/>
              <w:left w:w="750" w:type="dxa"/>
              <w:bottom w:w="375" w:type="dxa"/>
              <w:right w:w="630" w:type="dxa"/>
            </w:tcMar>
            <w:vAlign w:val="center"/>
          </w:tcPr>
          <w:p w:rsidR="00F0412B" w:rsidRPr="0063745C" w:rsidRDefault="00F0412B" w:rsidP="00C600AD">
            <w:pPr>
              <w:spacing w:before="150" w:line="300" w:lineRule="exact"/>
              <w:rPr>
                <w:rFonts w:asciiTheme="minorHAnsi" w:hAnsiTheme="minorHAnsi" w:cstheme="minorHAnsi"/>
              </w:rPr>
            </w:pPr>
            <w:r w:rsidRPr="0063745C">
              <w:rPr>
                <w:rFonts w:asciiTheme="minorHAnsi" w:hAnsiTheme="minorHAnsi" w:cstheme="minorHAnsi"/>
                <w:i/>
                <w:iCs/>
                <w:color w:val="222222"/>
                <w:sz w:val="20"/>
                <w:szCs w:val="20"/>
                <w:lang w:eastAsia="en-AU"/>
              </w:rPr>
              <w:t>The Children’s Education and Care Assurance Update links professionals, providers and educators with news, resources and information that supports quality outcomes for children in ACT education and care services</w:t>
            </w:r>
          </w:p>
          <w:p w:rsidR="007A1861" w:rsidRPr="007A1861" w:rsidRDefault="007A1861" w:rsidP="007A1861">
            <w:pPr>
              <w:spacing w:before="100" w:beforeAutospacing="1" w:after="100" w:afterAutospacing="1"/>
              <w:rPr>
                <w:rFonts w:asciiTheme="minorHAnsi" w:hAnsiTheme="minorHAnsi" w:cstheme="minorHAnsi"/>
                <w:color w:val="000000"/>
              </w:rPr>
            </w:pPr>
            <w:r w:rsidRPr="007A1861">
              <w:rPr>
                <w:rFonts w:asciiTheme="minorHAnsi" w:hAnsiTheme="minorHAnsi" w:cstheme="minorHAnsi"/>
                <w:color w:val="000000"/>
              </w:rPr>
              <w:t>December 2019</w:t>
            </w:r>
          </w:p>
          <w:p w:rsidR="0063745C" w:rsidRPr="0063745C" w:rsidRDefault="0063745C" w:rsidP="0063745C">
            <w:pPr>
              <w:spacing w:before="100" w:beforeAutospacing="1" w:after="100" w:afterAutospacing="1"/>
              <w:jc w:val="center"/>
              <w:rPr>
                <w:rFonts w:asciiTheme="minorHAnsi" w:hAnsiTheme="minorHAnsi" w:cstheme="minorHAnsi"/>
                <w:b/>
                <w:bCs/>
                <w:color w:val="000000"/>
                <w:sz w:val="32"/>
                <w:szCs w:val="32"/>
              </w:rPr>
            </w:pPr>
            <w:r w:rsidRPr="0063745C">
              <w:rPr>
                <w:rFonts w:asciiTheme="minorHAnsi" w:hAnsiTheme="minorHAnsi" w:cstheme="minorHAnsi"/>
                <w:b/>
                <w:bCs/>
                <w:color w:val="000000"/>
                <w:sz w:val="32"/>
                <w:szCs w:val="32"/>
              </w:rPr>
              <w:t>Education and Care Services Closures</w:t>
            </w:r>
          </w:p>
          <w:p w:rsidR="0063745C" w:rsidRPr="0063745C" w:rsidRDefault="0063745C" w:rsidP="0063745C">
            <w:pPr>
              <w:spacing w:before="100" w:beforeAutospacing="1" w:after="100" w:afterAutospacing="1"/>
              <w:rPr>
                <w:rFonts w:asciiTheme="minorHAnsi" w:hAnsiTheme="minorHAnsi" w:cstheme="minorHAnsi"/>
                <w:color w:val="000000"/>
                <w:lang w:eastAsia="en-AU"/>
              </w:rPr>
            </w:pPr>
            <w:r w:rsidRPr="0063745C">
              <w:rPr>
                <w:rFonts w:asciiTheme="minorHAnsi" w:hAnsiTheme="minorHAnsi" w:cstheme="minorHAnsi"/>
                <w:color w:val="000000"/>
                <w:lang w:eastAsia="en-AU"/>
              </w:rPr>
              <w:t>For the purposes of the</w:t>
            </w:r>
            <w:r w:rsidRPr="0063745C">
              <w:rPr>
                <w:rFonts w:asciiTheme="minorHAnsi" w:hAnsiTheme="minorHAnsi" w:cstheme="minorHAnsi"/>
                <w:color w:val="000000"/>
              </w:rPr>
              <w:t xml:space="preserve"> </w:t>
            </w:r>
            <w:hyperlink r:id="rId9" w:history="1">
              <w:r w:rsidRPr="0063745C">
                <w:rPr>
                  <w:rStyle w:val="Hyperlink"/>
                  <w:rFonts w:asciiTheme="minorHAnsi" w:hAnsiTheme="minorHAnsi" w:cstheme="minorHAnsi"/>
                </w:rPr>
                <w:t>Education and Care Services National Law and Regulations</w:t>
              </w:r>
            </w:hyperlink>
            <w:r w:rsidRPr="0063745C">
              <w:rPr>
                <w:rFonts w:asciiTheme="minorHAnsi" w:hAnsiTheme="minorHAnsi" w:cstheme="minorHAnsi"/>
                <w:color w:val="000000"/>
              </w:rPr>
              <w:t xml:space="preserve"> </w:t>
            </w:r>
            <w:r w:rsidRPr="0063745C">
              <w:rPr>
                <w:rFonts w:asciiTheme="minorHAnsi" w:hAnsiTheme="minorHAnsi" w:cstheme="minorHAnsi"/>
                <w:color w:val="000000"/>
                <w:lang w:eastAsia="en-AU"/>
              </w:rPr>
              <w:t xml:space="preserve">services are required to notify the Regulatory Authority (Children’s Education and Care Assurance) of any operational changes. Any education and care service that will be closed for a period of time between December 2019 and January 2020 will need to submit a notification using the </w:t>
            </w:r>
            <w:hyperlink r:id="rId10" w:history="1">
              <w:r w:rsidRPr="0063745C">
                <w:rPr>
                  <w:rStyle w:val="Hyperlink"/>
                  <w:rFonts w:asciiTheme="minorHAnsi" w:hAnsiTheme="minorHAnsi" w:cstheme="minorHAnsi"/>
                  <w:lang w:eastAsia="en-AU"/>
                </w:rPr>
                <w:t>National Quality Agenda IT System</w:t>
              </w:r>
            </w:hyperlink>
            <w:r w:rsidRPr="0063745C">
              <w:rPr>
                <w:rFonts w:asciiTheme="minorHAnsi" w:hAnsiTheme="minorHAnsi" w:cstheme="minorHAnsi"/>
                <w:color w:val="000000"/>
              </w:rPr>
              <w:t xml:space="preserve">. </w:t>
            </w:r>
            <w:r w:rsidRPr="0063745C">
              <w:rPr>
                <w:rFonts w:asciiTheme="minorHAnsi" w:hAnsiTheme="minorHAnsi" w:cstheme="minorHAnsi"/>
                <w:b/>
                <w:bCs/>
                <w:i/>
                <w:iCs/>
                <w:color w:val="000000"/>
              </w:rPr>
              <w:t xml:space="preserve">Services are reminded to complete this notification by </w:t>
            </w:r>
            <w:r w:rsidRPr="0063745C">
              <w:rPr>
                <w:rFonts w:asciiTheme="minorHAnsi" w:hAnsiTheme="minorHAnsi" w:cstheme="minorHAnsi"/>
                <w:b/>
                <w:bCs/>
                <w:i/>
                <w:iCs/>
                <w:color w:val="000000"/>
                <w:lang w:eastAsia="en-AU"/>
              </w:rPr>
              <w:t>COB today.</w:t>
            </w:r>
            <w:r w:rsidRPr="0063745C">
              <w:rPr>
                <w:rFonts w:asciiTheme="minorHAnsi" w:hAnsiTheme="minorHAnsi" w:cstheme="minorHAnsi"/>
                <w:color w:val="000000"/>
                <w:lang w:eastAsia="en-AU"/>
              </w:rPr>
              <w:t xml:space="preserve"> </w:t>
            </w:r>
          </w:p>
          <w:p w:rsidR="0063745C" w:rsidRPr="0063745C" w:rsidRDefault="0063745C" w:rsidP="0063745C">
            <w:pPr>
              <w:spacing w:before="100" w:beforeAutospacing="1" w:after="100" w:afterAutospacing="1"/>
              <w:rPr>
                <w:rFonts w:asciiTheme="minorHAnsi" w:hAnsiTheme="minorHAnsi" w:cstheme="minorHAnsi"/>
                <w:color w:val="000000"/>
                <w:lang w:eastAsia="en-AU"/>
              </w:rPr>
            </w:pPr>
            <w:r w:rsidRPr="0063745C">
              <w:rPr>
                <w:rFonts w:asciiTheme="minorHAnsi" w:hAnsiTheme="minorHAnsi" w:cstheme="minorHAnsi"/>
                <w:color w:val="000000"/>
                <w:lang w:eastAsia="en-AU"/>
              </w:rPr>
              <w:t>Services should complete a</w:t>
            </w:r>
            <w:r w:rsidRPr="0063745C">
              <w:rPr>
                <w:rFonts w:asciiTheme="minorHAnsi" w:hAnsiTheme="minorHAnsi" w:cstheme="minorHAnsi"/>
                <w:b/>
                <w:bCs/>
                <w:color w:val="000000"/>
                <w:lang w:eastAsia="en-AU"/>
              </w:rPr>
              <w:t xml:space="preserve"> SA12 Notification of Change of Information About an Approved Service</w:t>
            </w:r>
            <w:r w:rsidRPr="0063745C">
              <w:rPr>
                <w:rFonts w:asciiTheme="minorHAnsi" w:hAnsiTheme="minorHAnsi" w:cstheme="minorHAnsi"/>
                <w:color w:val="000000"/>
                <w:lang w:eastAsia="en-AU"/>
              </w:rPr>
              <w:t xml:space="preserve"> form to ensure that Children’s Education and Care Assurance have been notified. Closure dates will need to be included in the </w:t>
            </w:r>
            <w:r w:rsidRPr="0063745C">
              <w:rPr>
                <w:rFonts w:asciiTheme="minorHAnsi" w:hAnsiTheme="minorHAnsi" w:cstheme="minorHAnsi"/>
                <w:b/>
                <w:bCs/>
                <w:color w:val="000000"/>
                <w:lang w:eastAsia="en-AU"/>
              </w:rPr>
              <w:t>Change Description</w:t>
            </w:r>
            <w:r w:rsidRPr="0063745C">
              <w:rPr>
                <w:rFonts w:asciiTheme="minorHAnsi" w:hAnsiTheme="minorHAnsi" w:cstheme="minorHAnsi"/>
                <w:color w:val="000000"/>
                <w:lang w:eastAsia="en-AU"/>
              </w:rPr>
              <w:t xml:space="preserve"> section of this form. When completing this form please </w:t>
            </w:r>
            <w:r w:rsidRPr="0063745C">
              <w:rPr>
                <w:rFonts w:asciiTheme="minorHAnsi" w:hAnsiTheme="minorHAnsi" w:cstheme="minorHAnsi"/>
                <w:b/>
                <w:bCs/>
                <w:color w:val="000000"/>
                <w:lang w:eastAsia="en-AU"/>
              </w:rPr>
              <w:t>do not</w:t>
            </w:r>
            <w:r w:rsidRPr="0063745C">
              <w:rPr>
                <w:rFonts w:asciiTheme="minorHAnsi" w:hAnsiTheme="minorHAnsi" w:cstheme="minorHAnsi"/>
                <w:color w:val="000000"/>
                <w:lang w:eastAsia="en-AU"/>
              </w:rPr>
              <w:t xml:space="preserve"> alter the </w:t>
            </w:r>
            <w:r w:rsidRPr="0063745C">
              <w:rPr>
                <w:rFonts w:asciiTheme="minorHAnsi" w:hAnsiTheme="minorHAnsi" w:cstheme="minorHAnsi"/>
                <w:b/>
                <w:bCs/>
                <w:color w:val="000000"/>
                <w:lang w:eastAsia="en-AU"/>
              </w:rPr>
              <w:t>Operational Hours Details</w:t>
            </w:r>
            <w:r w:rsidRPr="0063745C">
              <w:rPr>
                <w:rFonts w:asciiTheme="minorHAnsi" w:hAnsiTheme="minorHAnsi" w:cstheme="minorHAnsi"/>
                <w:color w:val="000000"/>
                <w:lang w:eastAsia="en-AU"/>
              </w:rPr>
              <w:t xml:space="preserve"> section of this form</w:t>
            </w:r>
          </w:p>
          <w:p w:rsidR="0063745C" w:rsidRPr="0063745C" w:rsidRDefault="007F34CF" w:rsidP="0063745C">
            <w:pPr>
              <w:spacing w:before="150" w:line="300" w:lineRule="exact"/>
              <w:jc w:val="center"/>
              <w:rPr>
                <w:rFonts w:asciiTheme="minorHAnsi" w:hAnsiTheme="minorHAnsi" w:cstheme="minorHAnsi"/>
                <w:b/>
                <w:bCs/>
                <w:color w:val="222222"/>
                <w:sz w:val="32"/>
                <w:szCs w:val="32"/>
                <w:lang w:eastAsia="en-AU"/>
              </w:rPr>
            </w:pPr>
            <w:hyperlink r:id="rId11" w:history="1">
              <w:r w:rsidR="0063745C" w:rsidRPr="0063745C">
                <w:rPr>
                  <w:rStyle w:val="Hyperlink"/>
                  <w:rFonts w:asciiTheme="minorHAnsi" w:hAnsiTheme="minorHAnsi" w:cstheme="minorHAnsi"/>
                  <w:b/>
                  <w:bCs/>
                  <w:color w:val="000000"/>
                  <w:sz w:val="32"/>
                  <w:szCs w:val="32"/>
                  <w:u w:val="none"/>
                  <w:lang w:eastAsia="en-AU"/>
                </w:rPr>
                <w:t xml:space="preserve">Prepare your service for summer heat, </w:t>
              </w:r>
              <w:proofErr w:type="gramStart"/>
              <w:r w:rsidR="0063745C" w:rsidRPr="0063745C">
                <w:rPr>
                  <w:rStyle w:val="Hyperlink"/>
                  <w:rFonts w:asciiTheme="minorHAnsi" w:hAnsiTheme="minorHAnsi" w:cstheme="minorHAnsi"/>
                  <w:b/>
                  <w:bCs/>
                  <w:color w:val="000000"/>
                  <w:sz w:val="32"/>
                  <w:szCs w:val="32"/>
                  <w:u w:val="none"/>
                  <w:lang w:eastAsia="en-AU"/>
                </w:rPr>
                <w:t>bushfires</w:t>
              </w:r>
              <w:proofErr w:type="gramEnd"/>
              <w:r w:rsidR="0063745C" w:rsidRPr="0063745C">
                <w:rPr>
                  <w:rStyle w:val="Hyperlink"/>
                  <w:rFonts w:asciiTheme="minorHAnsi" w:hAnsiTheme="minorHAnsi" w:cstheme="minorHAnsi"/>
                  <w:b/>
                  <w:bCs/>
                  <w:color w:val="000000"/>
                  <w:sz w:val="32"/>
                  <w:szCs w:val="32"/>
                  <w:u w:val="none"/>
                  <w:lang w:eastAsia="en-AU"/>
                </w:rPr>
                <w:t xml:space="preserve"> and thunderstorm asthma season</w:t>
              </w:r>
            </w:hyperlink>
          </w:p>
          <w:p w:rsidR="0063745C" w:rsidRPr="0063745C" w:rsidRDefault="0063745C" w:rsidP="0063745C">
            <w:pPr>
              <w:spacing w:before="150" w:line="300" w:lineRule="exact"/>
              <w:rPr>
                <w:rFonts w:asciiTheme="minorHAnsi" w:hAnsiTheme="minorHAnsi" w:cstheme="minorHAnsi"/>
                <w:color w:val="222222"/>
                <w:lang w:eastAsia="en-AU"/>
              </w:rPr>
            </w:pPr>
            <w:r w:rsidRPr="0063745C">
              <w:rPr>
                <w:rFonts w:asciiTheme="minorHAnsi" w:hAnsiTheme="minorHAnsi" w:cstheme="minorHAnsi"/>
                <w:color w:val="222222"/>
                <w:lang w:eastAsia="en-AU"/>
              </w:rPr>
              <w:t xml:space="preserve">With the commencement of summer, bushfires and thunderstorm asthma, providers, nominated supervisors and their teams should consider reviewing their emergency and evacuation management policies and procedures. </w:t>
            </w:r>
          </w:p>
          <w:p w:rsidR="0063745C" w:rsidRPr="0063745C" w:rsidRDefault="0063745C" w:rsidP="0063745C">
            <w:pPr>
              <w:spacing w:before="150" w:line="300" w:lineRule="exact"/>
              <w:rPr>
                <w:rFonts w:asciiTheme="minorHAnsi" w:hAnsiTheme="minorHAnsi" w:cstheme="minorHAnsi"/>
                <w:color w:val="74468C"/>
                <w:lang w:eastAsia="en-AU"/>
              </w:rPr>
            </w:pPr>
            <w:r w:rsidRPr="0063745C">
              <w:rPr>
                <w:rFonts w:asciiTheme="minorHAnsi" w:hAnsiTheme="minorHAnsi" w:cstheme="minorHAnsi"/>
                <w:color w:val="000000"/>
                <w:lang w:eastAsia="en-AU"/>
              </w:rPr>
              <w:t xml:space="preserve">An emergency can be an incident, </w:t>
            </w:r>
            <w:proofErr w:type="gramStart"/>
            <w:r w:rsidRPr="0063745C">
              <w:rPr>
                <w:rFonts w:asciiTheme="minorHAnsi" w:hAnsiTheme="minorHAnsi" w:cstheme="minorHAnsi"/>
                <w:color w:val="000000"/>
                <w:lang w:eastAsia="en-AU"/>
              </w:rPr>
              <w:t>situation</w:t>
            </w:r>
            <w:proofErr w:type="gramEnd"/>
            <w:r w:rsidRPr="0063745C">
              <w:rPr>
                <w:rFonts w:asciiTheme="minorHAnsi" w:hAnsiTheme="minorHAnsi" w:cstheme="minorHAnsi"/>
                <w:color w:val="000000"/>
                <w:lang w:eastAsia="en-AU"/>
              </w:rPr>
              <w:t xml:space="preserve"> or event where there is an imminent or severe risk to the health, safety or wellbeing of a person at </w:t>
            </w:r>
            <w:r w:rsidR="003B5DDA" w:rsidRPr="0063745C">
              <w:rPr>
                <w:rFonts w:asciiTheme="minorHAnsi" w:hAnsiTheme="minorHAnsi" w:cstheme="minorHAnsi"/>
                <w:color w:val="000000"/>
                <w:lang w:eastAsia="en-AU"/>
              </w:rPr>
              <w:t>a</w:t>
            </w:r>
            <w:r w:rsidRPr="0063745C">
              <w:rPr>
                <w:rFonts w:asciiTheme="minorHAnsi" w:hAnsiTheme="minorHAnsi" w:cstheme="minorHAnsi"/>
                <w:color w:val="000000"/>
                <w:lang w:eastAsia="en-AU"/>
              </w:rPr>
              <w:t xml:space="preserve"> service. Examples of emergencies include floods, bushfires, extreme </w:t>
            </w:r>
            <w:proofErr w:type="gramStart"/>
            <w:r w:rsidRPr="0063745C">
              <w:rPr>
                <w:rFonts w:asciiTheme="minorHAnsi" w:hAnsiTheme="minorHAnsi" w:cstheme="minorHAnsi"/>
                <w:color w:val="000000"/>
                <w:lang w:eastAsia="en-AU"/>
              </w:rPr>
              <w:t>heat</w:t>
            </w:r>
            <w:proofErr w:type="gramEnd"/>
            <w:r w:rsidRPr="0063745C">
              <w:rPr>
                <w:rFonts w:asciiTheme="minorHAnsi" w:hAnsiTheme="minorHAnsi" w:cstheme="minorHAnsi"/>
                <w:color w:val="000000"/>
                <w:lang w:eastAsia="en-AU"/>
              </w:rPr>
              <w:t xml:space="preserve"> or situations which require a service to be locked down. All reasonable precautions must be taken to protect anyone at the service during an emergency.</w:t>
            </w:r>
          </w:p>
          <w:p w:rsidR="0063745C" w:rsidRPr="0063745C" w:rsidRDefault="0063745C" w:rsidP="0063745C">
            <w:pPr>
              <w:spacing w:before="48" w:after="360"/>
              <w:rPr>
                <w:rFonts w:asciiTheme="minorHAnsi" w:hAnsiTheme="minorHAnsi" w:cstheme="minorHAnsi"/>
                <w:lang w:eastAsia="en-AU"/>
              </w:rPr>
            </w:pPr>
            <w:r w:rsidRPr="0063745C">
              <w:rPr>
                <w:rFonts w:asciiTheme="minorHAnsi" w:hAnsiTheme="minorHAnsi" w:cstheme="minorHAnsi"/>
                <w:color w:val="000000"/>
                <w:lang w:eastAsia="en-AU"/>
              </w:rPr>
              <w:t xml:space="preserve">Early childhood education and care services are required to have policies and procedures in relation to emergencies and evacuations. See </w:t>
            </w:r>
            <w:hyperlink r:id="rId12" w:anchor="/view/regulation/2011/653/chap4/part4.2/div5" w:history="1">
              <w:r w:rsidRPr="0063745C">
                <w:rPr>
                  <w:rStyle w:val="Hyperlink"/>
                  <w:rFonts w:asciiTheme="minorHAnsi" w:hAnsiTheme="minorHAnsi" w:cstheme="minorHAnsi"/>
                  <w:color w:val="0070C0"/>
                </w:rPr>
                <w:t>Regulation 97</w:t>
              </w:r>
            </w:hyperlink>
            <w:r w:rsidRPr="0063745C">
              <w:rPr>
                <w:rFonts w:asciiTheme="minorHAnsi" w:hAnsiTheme="minorHAnsi" w:cstheme="minorHAnsi"/>
                <w:color w:val="0070C0"/>
              </w:rPr>
              <w:t xml:space="preserve"> </w:t>
            </w:r>
            <w:r w:rsidRPr="0063745C">
              <w:rPr>
                <w:rFonts w:asciiTheme="minorHAnsi" w:hAnsiTheme="minorHAnsi" w:cstheme="minorHAnsi"/>
                <w:color w:val="000000"/>
                <w:lang w:eastAsia="en-AU"/>
              </w:rPr>
              <w:t>and</w:t>
            </w:r>
            <w:r w:rsidRPr="0063745C">
              <w:rPr>
                <w:rFonts w:asciiTheme="minorHAnsi" w:hAnsiTheme="minorHAnsi" w:cstheme="minorHAnsi"/>
                <w:color w:val="0070C0"/>
                <w:lang w:eastAsia="en-AU"/>
              </w:rPr>
              <w:t xml:space="preserve"> </w:t>
            </w:r>
            <w:hyperlink r:id="rId13" w:anchor="/view/regulation/2011/653/chap4/part4.7/div2/reg168" w:history="1">
              <w:r w:rsidRPr="0063745C">
                <w:rPr>
                  <w:rStyle w:val="Hyperlink"/>
                  <w:rFonts w:asciiTheme="minorHAnsi" w:hAnsiTheme="minorHAnsi" w:cstheme="minorHAnsi"/>
                  <w:color w:val="0070C0"/>
                  <w:lang w:eastAsia="en-AU"/>
                </w:rPr>
                <w:t>Regulations 168 to 172</w:t>
              </w:r>
            </w:hyperlink>
            <w:r w:rsidRPr="0063745C">
              <w:rPr>
                <w:rFonts w:asciiTheme="minorHAnsi" w:hAnsiTheme="minorHAnsi" w:cstheme="minorHAnsi"/>
                <w:color w:val="000000"/>
              </w:rPr>
              <w:t>.</w:t>
            </w:r>
          </w:p>
          <w:p w:rsidR="0063745C" w:rsidRPr="0063745C" w:rsidRDefault="0063745C" w:rsidP="0063745C">
            <w:pPr>
              <w:spacing w:before="48" w:after="360"/>
              <w:rPr>
                <w:rFonts w:asciiTheme="minorHAnsi" w:hAnsiTheme="minorHAnsi" w:cstheme="minorHAnsi"/>
                <w:lang w:eastAsia="en-AU"/>
              </w:rPr>
            </w:pPr>
            <w:r w:rsidRPr="0063745C">
              <w:rPr>
                <w:rFonts w:asciiTheme="minorHAnsi" w:hAnsiTheme="minorHAnsi" w:cstheme="minorHAnsi"/>
                <w:color w:val="000000"/>
                <w:lang w:eastAsia="en-AU"/>
              </w:rPr>
              <w:t xml:space="preserve">A copy of the service’s emergency and evacuation policy and procedures must be available at the service premises, family day care residence or venue </w:t>
            </w:r>
            <w:proofErr w:type="gramStart"/>
            <w:r w:rsidRPr="0063745C">
              <w:rPr>
                <w:rFonts w:asciiTheme="minorHAnsi" w:hAnsiTheme="minorHAnsi" w:cstheme="minorHAnsi"/>
                <w:color w:val="000000"/>
                <w:lang w:eastAsia="en-AU"/>
              </w:rPr>
              <w:t>at all times</w:t>
            </w:r>
            <w:proofErr w:type="gramEnd"/>
            <w:r w:rsidRPr="0063745C">
              <w:rPr>
                <w:rFonts w:asciiTheme="minorHAnsi" w:hAnsiTheme="minorHAnsi" w:cstheme="minorHAnsi"/>
                <w:color w:val="000000"/>
                <w:lang w:eastAsia="en-AU"/>
              </w:rPr>
              <w:t xml:space="preserve"> or on request.</w:t>
            </w:r>
          </w:p>
          <w:p w:rsidR="0063745C" w:rsidRPr="0063745C" w:rsidRDefault="0063745C" w:rsidP="0063745C">
            <w:pPr>
              <w:spacing w:before="199" w:after="199"/>
              <w:jc w:val="center"/>
              <w:rPr>
                <w:rFonts w:asciiTheme="minorHAnsi" w:hAnsiTheme="minorHAnsi" w:cstheme="minorHAnsi"/>
                <w:b/>
                <w:bCs/>
                <w:sz w:val="32"/>
                <w:szCs w:val="32"/>
                <w:lang w:eastAsia="en-AU"/>
              </w:rPr>
            </w:pPr>
            <w:r w:rsidRPr="0063745C">
              <w:rPr>
                <w:rFonts w:asciiTheme="minorHAnsi" w:hAnsiTheme="minorHAnsi" w:cstheme="minorHAnsi"/>
                <w:b/>
                <w:bCs/>
                <w:color w:val="000000"/>
                <w:sz w:val="32"/>
                <w:szCs w:val="32"/>
                <w:lang w:eastAsia="en-AU"/>
              </w:rPr>
              <w:t>Preparing Emergency and Evacuation Procedures</w:t>
            </w:r>
          </w:p>
          <w:p w:rsidR="0063745C" w:rsidRPr="0063745C" w:rsidRDefault="0063745C" w:rsidP="0063745C">
            <w:pPr>
              <w:spacing w:before="48" w:after="360"/>
              <w:rPr>
                <w:rFonts w:asciiTheme="minorHAnsi" w:hAnsiTheme="minorHAnsi" w:cstheme="minorHAnsi"/>
                <w:lang w:eastAsia="en-AU"/>
              </w:rPr>
            </w:pPr>
            <w:r w:rsidRPr="0063745C">
              <w:rPr>
                <w:rFonts w:asciiTheme="minorHAnsi" w:hAnsiTheme="minorHAnsi" w:cstheme="minorHAnsi"/>
                <w:color w:val="000000"/>
                <w:lang w:eastAsia="en-AU"/>
              </w:rPr>
              <w:t>Providers must conduct a risk assessment to identify potential emergencies that may impact on their service. Emergency and evacuation procedures must include:</w:t>
            </w:r>
          </w:p>
          <w:p w:rsidR="0063745C" w:rsidRPr="0063745C" w:rsidRDefault="0063745C" w:rsidP="0063745C">
            <w:pPr>
              <w:numPr>
                <w:ilvl w:val="0"/>
                <w:numId w:val="1"/>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Instructions for what to do in the event of an emergency</w:t>
            </w:r>
          </w:p>
          <w:p w:rsidR="0063745C" w:rsidRPr="0063745C" w:rsidRDefault="0063745C" w:rsidP="0063745C">
            <w:pPr>
              <w:numPr>
                <w:ilvl w:val="0"/>
                <w:numId w:val="1"/>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An emergency and evacuation floor plan</w:t>
            </w:r>
          </w:p>
          <w:p w:rsidR="0063745C" w:rsidRPr="0063745C" w:rsidRDefault="0063745C" w:rsidP="0063745C">
            <w:pPr>
              <w:numPr>
                <w:ilvl w:val="0"/>
                <w:numId w:val="1"/>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Emergency evacuation floor plans are required to be prominently displayed near each exit of an early childhood education and care service’s premises, family day care residence and family day care venue.</w:t>
            </w:r>
          </w:p>
          <w:p w:rsidR="0063745C" w:rsidRPr="0063745C" w:rsidRDefault="0063745C" w:rsidP="0063745C">
            <w:pPr>
              <w:spacing w:before="48" w:after="360"/>
              <w:rPr>
                <w:rFonts w:asciiTheme="minorHAnsi" w:hAnsiTheme="minorHAnsi" w:cstheme="minorHAnsi"/>
                <w:b/>
                <w:bCs/>
                <w:lang w:eastAsia="en-AU"/>
              </w:rPr>
            </w:pPr>
            <w:r w:rsidRPr="0063745C">
              <w:rPr>
                <w:rFonts w:asciiTheme="minorHAnsi" w:hAnsiTheme="minorHAnsi" w:cstheme="minorHAnsi"/>
                <w:b/>
                <w:bCs/>
                <w:color w:val="000000"/>
                <w:lang w:eastAsia="en-AU"/>
              </w:rPr>
              <w:t>When preparing your service’s emergency management policy and procedures, consider:</w:t>
            </w:r>
          </w:p>
          <w:p w:rsidR="0063745C" w:rsidRPr="0063745C" w:rsidRDefault="0063745C" w:rsidP="0063745C">
            <w:pPr>
              <w:numPr>
                <w:ilvl w:val="0"/>
                <w:numId w:val="2"/>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 xml:space="preserve">Consulting and keep up to date with relevant authorities for guidance and advice. For example, ACT Fire and Rescue and Emergency Services and ACT Health on the management of bushfire risk and emergencies. </w:t>
            </w:r>
          </w:p>
          <w:p w:rsidR="0063745C" w:rsidRPr="0063745C" w:rsidRDefault="0063745C" w:rsidP="0063745C">
            <w:pPr>
              <w:numPr>
                <w:ilvl w:val="0"/>
                <w:numId w:val="2"/>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Identifying circumstances when decisions could be made to close the service and how closures will be communicated and managed</w:t>
            </w:r>
            <w:r w:rsidR="000E3B4F">
              <w:rPr>
                <w:rFonts w:asciiTheme="minorHAnsi" w:eastAsia="Times New Roman" w:hAnsiTheme="minorHAnsi" w:cstheme="minorHAnsi"/>
                <w:color w:val="000000"/>
                <w:lang w:eastAsia="en-AU"/>
              </w:rPr>
              <w:t>.</w:t>
            </w:r>
          </w:p>
          <w:p w:rsidR="0063745C" w:rsidRPr="0063745C" w:rsidRDefault="0063745C" w:rsidP="0063745C">
            <w:pPr>
              <w:numPr>
                <w:ilvl w:val="0"/>
                <w:numId w:val="2"/>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The approaches of other nearby facilities when developing your procedures for specific emergencies</w:t>
            </w:r>
          </w:p>
          <w:p w:rsidR="0063745C" w:rsidRPr="0063745C" w:rsidRDefault="0063745C" w:rsidP="0063745C">
            <w:pPr>
              <w:numPr>
                <w:ilvl w:val="0"/>
                <w:numId w:val="2"/>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 xml:space="preserve">Checking that your emergency contact details are </w:t>
            </w:r>
            <w:proofErr w:type="gramStart"/>
            <w:r w:rsidRPr="0063745C">
              <w:rPr>
                <w:rFonts w:asciiTheme="minorHAnsi" w:eastAsia="Times New Roman" w:hAnsiTheme="minorHAnsi" w:cstheme="minorHAnsi"/>
                <w:color w:val="000000"/>
                <w:lang w:eastAsia="en-AU"/>
              </w:rPr>
              <w:t>up-to-date</w:t>
            </w:r>
            <w:proofErr w:type="gramEnd"/>
            <w:r w:rsidRPr="0063745C">
              <w:rPr>
                <w:rFonts w:asciiTheme="minorHAnsi" w:eastAsia="Times New Roman" w:hAnsiTheme="minorHAnsi" w:cstheme="minorHAnsi"/>
                <w:color w:val="000000"/>
                <w:lang w:eastAsia="en-AU"/>
              </w:rPr>
              <w:t xml:space="preserve"> in your procedures and plans.</w:t>
            </w:r>
          </w:p>
          <w:p w:rsidR="0063745C" w:rsidRPr="0063745C" w:rsidRDefault="0063745C" w:rsidP="0063745C">
            <w:pPr>
              <w:numPr>
                <w:ilvl w:val="0"/>
                <w:numId w:val="2"/>
              </w:numPr>
              <w:spacing w:before="48" w:after="36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 xml:space="preserve">An important step is to ensure that provider and services contact details are kept up to date by using the </w:t>
            </w:r>
            <w:hyperlink r:id="rId14" w:history="1">
              <w:r w:rsidRPr="0063745C">
                <w:rPr>
                  <w:rStyle w:val="Hyperlink"/>
                  <w:rFonts w:asciiTheme="minorHAnsi" w:eastAsia="Times New Roman" w:hAnsiTheme="minorHAnsi" w:cstheme="minorHAnsi"/>
                  <w:lang w:eastAsia="en-AU"/>
                </w:rPr>
                <w:t>National Quality Agenda IT System</w:t>
              </w:r>
            </w:hyperlink>
            <w:r w:rsidRPr="0063745C">
              <w:rPr>
                <w:rFonts w:asciiTheme="minorHAnsi" w:eastAsia="Times New Roman" w:hAnsiTheme="minorHAnsi" w:cstheme="minorHAnsi"/>
                <w:color w:val="333333"/>
                <w:lang w:eastAsia="en-AU"/>
              </w:rPr>
              <w:t>.</w:t>
            </w:r>
            <w:r w:rsidRPr="0063745C">
              <w:rPr>
                <w:rFonts w:asciiTheme="minorHAnsi" w:eastAsia="Times New Roman" w:hAnsiTheme="minorHAnsi" w:cstheme="minorHAnsi"/>
                <w:color w:val="333132"/>
              </w:rPr>
              <w:t xml:space="preserve"> </w:t>
            </w:r>
          </w:p>
          <w:p w:rsidR="0063745C" w:rsidRPr="0063745C" w:rsidRDefault="0063745C" w:rsidP="0063745C">
            <w:pPr>
              <w:spacing w:before="48" w:after="360"/>
              <w:ind w:left="360"/>
              <w:jc w:val="center"/>
              <w:rPr>
                <w:rFonts w:asciiTheme="minorHAnsi" w:hAnsiTheme="minorHAnsi" w:cstheme="minorHAnsi"/>
                <w:sz w:val="24"/>
                <w:szCs w:val="24"/>
                <w:lang w:eastAsia="en-AU"/>
              </w:rPr>
            </w:pPr>
            <w:r w:rsidRPr="0063745C">
              <w:rPr>
                <w:rFonts w:asciiTheme="minorHAnsi" w:hAnsiTheme="minorHAnsi" w:cstheme="minorHAnsi"/>
                <w:noProof/>
                <w:color w:val="000000"/>
                <w:sz w:val="24"/>
                <w:szCs w:val="24"/>
                <w:lang w:eastAsia="en-AU"/>
              </w:rPr>
              <w:drawing>
                <wp:inline distT="0" distB="0" distL="0" distR="0" wp14:anchorId="7BB1A9C8" wp14:editId="07FF5DA4">
                  <wp:extent cx="2457450" cy="2876550"/>
                  <wp:effectExtent l="0" t="0" r="0" b="0"/>
                  <wp:docPr id="2" name="Picture 2" descr="A group of people walking down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roup of people walking down the stree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57450" cy="2876550"/>
                          </a:xfrm>
                          <a:prstGeom prst="rect">
                            <a:avLst/>
                          </a:prstGeom>
                          <a:noFill/>
                          <a:ln>
                            <a:noFill/>
                          </a:ln>
                        </pic:spPr>
                      </pic:pic>
                    </a:graphicData>
                  </a:graphic>
                </wp:inline>
              </w:drawing>
            </w:r>
          </w:p>
          <w:p w:rsidR="0063745C" w:rsidRPr="0063745C" w:rsidRDefault="0063745C" w:rsidP="0063745C">
            <w:pPr>
              <w:spacing w:before="48" w:after="360"/>
              <w:jc w:val="center"/>
              <w:rPr>
                <w:rFonts w:asciiTheme="minorHAnsi" w:hAnsiTheme="minorHAnsi" w:cstheme="minorHAnsi"/>
                <w:sz w:val="32"/>
                <w:szCs w:val="32"/>
                <w:lang w:eastAsia="en-AU"/>
              </w:rPr>
            </w:pPr>
            <w:r w:rsidRPr="0063745C">
              <w:rPr>
                <w:rFonts w:asciiTheme="minorHAnsi" w:hAnsiTheme="minorHAnsi" w:cstheme="minorHAnsi"/>
                <w:b/>
                <w:bCs/>
                <w:color w:val="000000"/>
                <w:sz w:val="32"/>
                <w:szCs w:val="32"/>
                <w:lang w:eastAsia="en-AU"/>
              </w:rPr>
              <w:t>Rehearsal of Emergency and Evacuation Procedures</w:t>
            </w:r>
          </w:p>
          <w:p w:rsidR="0063745C" w:rsidRPr="0063745C" w:rsidRDefault="000E3B4F" w:rsidP="0063745C">
            <w:pPr>
              <w:spacing w:before="48" w:after="360"/>
              <w:rPr>
                <w:rFonts w:asciiTheme="minorHAnsi" w:hAnsiTheme="minorHAnsi" w:cstheme="minorHAnsi"/>
                <w:lang w:eastAsia="en-AU"/>
              </w:rPr>
            </w:pPr>
            <w:r>
              <w:rPr>
                <w:rFonts w:asciiTheme="minorHAnsi" w:hAnsiTheme="minorHAnsi" w:cstheme="minorHAnsi"/>
                <w:color w:val="000000"/>
                <w:lang w:eastAsia="en-AU"/>
              </w:rPr>
              <w:t>S</w:t>
            </w:r>
            <w:r w:rsidR="0063745C" w:rsidRPr="0063745C">
              <w:rPr>
                <w:rFonts w:asciiTheme="minorHAnsi" w:hAnsiTheme="minorHAnsi" w:cstheme="minorHAnsi"/>
                <w:color w:val="000000"/>
                <w:lang w:eastAsia="en-AU"/>
              </w:rPr>
              <w:t>ervices are required to regularly rehearse their emergency and evacuation procedures (</w:t>
            </w:r>
            <w:hyperlink r:id="rId17" w:anchor="/view/regulation/2011/653/chap4/part4.2/div5" w:history="1">
              <w:r w:rsidR="0063745C" w:rsidRPr="0063745C">
                <w:rPr>
                  <w:rStyle w:val="Hyperlink"/>
                  <w:rFonts w:asciiTheme="minorHAnsi" w:hAnsiTheme="minorHAnsi" w:cstheme="minorHAnsi"/>
                  <w:color w:val="0070C0"/>
                </w:rPr>
                <w:t>Regulation 97</w:t>
              </w:r>
            </w:hyperlink>
            <w:r w:rsidR="0063745C" w:rsidRPr="0063745C">
              <w:rPr>
                <w:rFonts w:asciiTheme="minorHAnsi" w:hAnsiTheme="minorHAnsi" w:cstheme="minorHAnsi"/>
                <w:color w:val="000000"/>
              </w:rPr>
              <w:t>)</w:t>
            </w:r>
          </w:p>
          <w:p w:rsidR="0063745C" w:rsidRPr="0063745C" w:rsidRDefault="0063745C" w:rsidP="0063745C">
            <w:pPr>
              <w:numPr>
                <w:ilvl w:val="0"/>
                <w:numId w:val="3"/>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b/>
                <w:bCs/>
                <w:color w:val="000000"/>
                <w:lang w:eastAsia="en-AU"/>
              </w:rPr>
              <w:t>Centre-based services must</w:t>
            </w:r>
            <w:r w:rsidRPr="0063745C">
              <w:rPr>
                <w:rFonts w:asciiTheme="minorHAnsi" w:eastAsia="Times New Roman" w:hAnsiTheme="minorHAnsi" w:cstheme="minorHAnsi"/>
                <w:color w:val="000000"/>
                <w:lang w:eastAsia="en-AU"/>
              </w:rPr>
              <w:t>:</w:t>
            </w:r>
          </w:p>
          <w:p w:rsidR="0063745C" w:rsidRPr="0063745C" w:rsidRDefault="0063745C" w:rsidP="0063745C">
            <w:pPr>
              <w:numPr>
                <w:ilvl w:val="1"/>
                <w:numId w:val="3"/>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Conduct a rehearsal every 3 months and document it</w:t>
            </w:r>
          </w:p>
          <w:p w:rsidR="0063745C" w:rsidRPr="0063745C" w:rsidRDefault="0063745C" w:rsidP="0063745C">
            <w:pPr>
              <w:numPr>
                <w:ilvl w:val="1"/>
                <w:numId w:val="3"/>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Involve everyone who is present at the service at the time of the rehearsal. This includes all staff members, volunteers and children and the responsible person in relation to service who is present at the time of the rehearsal.</w:t>
            </w:r>
          </w:p>
          <w:p w:rsidR="0063745C" w:rsidRPr="0063745C" w:rsidRDefault="0063745C" w:rsidP="0063745C">
            <w:pPr>
              <w:numPr>
                <w:ilvl w:val="0"/>
                <w:numId w:val="3"/>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b/>
                <w:bCs/>
                <w:color w:val="000000"/>
                <w:lang w:eastAsia="en-AU"/>
              </w:rPr>
              <w:t>Family day care services must:</w:t>
            </w:r>
          </w:p>
          <w:p w:rsidR="0063745C" w:rsidRPr="0063745C" w:rsidRDefault="0063745C" w:rsidP="0063745C">
            <w:pPr>
              <w:numPr>
                <w:ilvl w:val="1"/>
                <w:numId w:val="3"/>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Conduct a rehearsal every 3 months and document it</w:t>
            </w:r>
          </w:p>
          <w:p w:rsidR="0063745C" w:rsidRPr="0063745C" w:rsidRDefault="0063745C" w:rsidP="0063745C">
            <w:pPr>
              <w:numPr>
                <w:ilvl w:val="1"/>
                <w:numId w:val="3"/>
              </w:numPr>
              <w:spacing w:before="48" w:after="120"/>
              <w:rPr>
                <w:rFonts w:asciiTheme="minorHAnsi" w:eastAsia="Times New Roman" w:hAnsiTheme="minorHAnsi" w:cstheme="minorHAnsi"/>
                <w:lang w:eastAsia="en-AU"/>
              </w:rPr>
            </w:pPr>
            <w:r w:rsidRPr="0063745C">
              <w:rPr>
                <w:rFonts w:asciiTheme="minorHAnsi" w:eastAsia="Times New Roman" w:hAnsiTheme="minorHAnsi" w:cstheme="minorHAnsi"/>
                <w:color w:val="000000"/>
                <w:lang w:eastAsia="en-AU"/>
              </w:rPr>
              <w:t>Involve each family day care educator and the children being educated by the family day care educator on the day of the rehearsal.</w:t>
            </w:r>
          </w:p>
          <w:p w:rsidR="0063745C" w:rsidRPr="0063745C" w:rsidRDefault="0063745C" w:rsidP="0063745C">
            <w:pPr>
              <w:spacing w:before="48" w:after="360"/>
              <w:rPr>
                <w:rFonts w:asciiTheme="minorHAnsi" w:hAnsiTheme="minorHAnsi" w:cstheme="minorHAnsi"/>
                <w:lang w:eastAsia="en-AU"/>
              </w:rPr>
            </w:pPr>
            <w:r w:rsidRPr="0063745C">
              <w:rPr>
                <w:rFonts w:asciiTheme="minorHAnsi" w:hAnsiTheme="minorHAnsi" w:cstheme="minorHAnsi"/>
                <w:color w:val="000000"/>
                <w:lang w:eastAsia="en-AU"/>
              </w:rPr>
              <w:t>Services must keep a documented record of each rehearsal.</w:t>
            </w:r>
          </w:p>
          <w:p w:rsidR="0063745C" w:rsidRPr="0063745C" w:rsidRDefault="0063745C" w:rsidP="0063745C">
            <w:pPr>
              <w:spacing w:before="48" w:after="360"/>
              <w:jc w:val="center"/>
              <w:rPr>
                <w:rFonts w:asciiTheme="minorHAnsi" w:hAnsiTheme="minorHAnsi" w:cstheme="minorHAnsi"/>
                <w:b/>
                <w:bCs/>
                <w:sz w:val="32"/>
                <w:szCs w:val="32"/>
                <w:lang w:eastAsia="en-AU"/>
              </w:rPr>
            </w:pPr>
            <w:r w:rsidRPr="0063745C">
              <w:rPr>
                <w:rFonts w:asciiTheme="minorHAnsi" w:hAnsiTheme="minorHAnsi" w:cstheme="minorHAnsi"/>
                <w:b/>
                <w:bCs/>
                <w:color w:val="000000"/>
                <w:sz w:val="32"/>
                <w:szCs w:val="32"/>
                <w:lang w:eastAsia="en-AU"/>
              </w:rPr>
              <w:t>2020 Early Childhood Degree Scholarships</w:t>
            </w:r>
          </w:p>
          <w:p w:rsidR="0063745C" w:rsidRPr="0063745C" w:rsidRDefault="0063745C" w:rsidP="0063745C">
            <w:pPr>
              <w:spacing w:after="240"/>
              <w:rPr>
                <w:rFonts w:asciiTheme="minorHAnsi" w:hAnsiTheme="minorHAnsi" w:cstheme="minorHAnsi"/>
                <w:color w:val="313131"/>
                <w:lang w:eastAsia="en-AU"/>
              </w:rPr>
            </w:pPr>
            <w:r w:rsidRPr="0063745C">
              <w:rPr>
                <w:rFonts w:asciiTheme="minorHAnsi" w:hAnsiTheme="minorHAnsi" w:cstheme="minorHAnsi"/>
                <w:color w:val="313131"/>
                <w:lang w:eastAsia="en-AU"/>
              </w:rPr>
              <w:t>The Early Childhood Policy and Regulation Branch of the ACT Education Directorate is committed to increasing the number and profile of degree-qualified educators in the ACT. This includes a focus on increasing the number of degree qualified Aboriginal and/or Torres Strait Islander early childhood educators to ensure children have access to inclusive and culturally appropriate education and care programs that embed Aboriginal and Torres Strait Islander perspectives.</w:t>
            </w:r>
          </w:p>
          <w:p w:rsidR="0063745C" w:rsidRPr="0063745C" w:rsidRDefault="0063745C" w:rsidP="0063745C">
            <w:pPr>
              <w:spacing w:after="240"/>
              <w:rPr>
                <w:rFonts w:asciiTheme="minorHAnsi" w:hAnsiTheme="minorHAnsi" w:cstheme="minorHAnsi"/>
                <w:color w:val="313131"/>
                <w:lang w:eastAsia="en-AU"/>
              </w:rPr>
            </w:pPr>
            <w:r w:rsidRPr="0063745C">
              <w:rPr>
                <w:rFonts w:asciiTheme="minorHAnsi" w:hAnsiTheme="minorHAnsi" w:cstheme="minorHAnsi"/>
                <w:color w:val="313131"/>
                <w:lang w:eastAsia="en-AU"/>
              </w:rPr>
              <w:t xml:space="preserve">In addition to the 2019 Early Childhood Degree Scholarship Program, the 2020 Early Childhood Degree Scholarship Program has commenced. This program will provide individuals who are working in the ACT Non-Government education and care sector financial assistance to gain an approved early childhood degree qualification. Individuals who are of Aboriginal and/or Torres Strait Islander background are encouraged to apply. All applications will be assessed once the application period closes on </w:t>
            </w:r>
            <w:r w:rsidRPr="0063745C">
              <w:rPr>
                <w:rFonts w:asciiTheme="minorHAnsi" w:hAnsiTheme="minorHAnsi" w:cstheme="minorHAnsi"/>
                <w:b/>
                <w:bCs/>
                <w:color w:val="313131"/>
                <w:lang w:eastAsia="en-AU"/>
              </w:rPr>
              <w:t>31 January 2020</w:t>
            </w:r>
            <w:r w:rsidRPr="0063745C">
              <w:rPr>
                <w:rFonts w:asciiTheme="minorHAnsi" w:hAnsiTheme="minorHAnsi" w:cstheme="minorHAnsi"/>
                <w:color w:val="313131"/>
                <w:lang w:eastAsia="en-AU"/>
              </w:rPr>
              <w:t xml:space="preserve">. For more information visit the </w:t>
            </w:r>
            <w:hyperlink r:id="rId18" w:history="1">
              <w:r w:rsidRPr="0063745C">
                <w:rPr>
                  <w:rStyle w:val="Hyperlink"/>
                  <w:rFonts w:asciiTheme="minorHAnsi" w:hAnsiTheme="minorHAnsi" w:cstheme="minorHAnsi"/>
                  <w:lang w:eastAsia="en-AU"/>
                </w:rPr>
                <w:t>ACT Education Directorate website</w:t>
              </w:r>
            </w:hyperlink>
            <w:r w:rsidRPr="0063745C">
              <w:rPr>
                <w:rFonts w:asciiTheme="minorHAnsi" w:hAnsiTheme="minorHAnsi" w:cstheme="minorHAnsi"/>
                <w:color w:val="313131"/>
                <w:lang w:eastAsia="en-AU"/>
              </w:rPr>
              <w:t xml:space="preserve">. </w:t>
            </w:r>
          </w:p>
          <w:p w:rsidR="0063745C" w:rsidRPr="0063745C" w:rsidRDefault="0063745C" w:rsidP="0063745C">
            <w:pPr>
              <w:spacing w:before="100" w:beforeAutospacing="1" w:after="100" w:afterAutospacing="1"/>
              <w:jc w:val="center"/>
              <w:rPr>
                <w:rFonts w:asciiTheme="minorHAnsi" w:hAnsiTheme="minorHAnsi" w:cstheme="minorHAnsi"/>
                <w:b/>
                <w:bCs/>
                <w:color w:val="333132"/>
                <w:sz w:val="32"/>
                <w:szCs w:val="32"/>
                <w:lang w:eastAsia="en-AU"/>
              </w:rPr>
            </w:pPr>
            <w:r w:rsidRPr="0063745C">
              <w:rPr>
                <w:rFonts w:asciiTheme="minorHAnsi" w:hAnsiTheme="minorHAnsi" w:cstheme="minorHAnsi"/>
                <w:b/>
                <w:bCs/>
                <w:color w:val="333132"/>
                <w:sz w:val="32"/>
                <w:szCs w:val="32"/>
                <w:lang w:eastAsia="en-AU"/>
              </w:rPr>
              <w:t>Changes to Early Childhood Teacher Requirements for 2020</w:t>
            </w:r>
          </w:p>
          <w:p w:rsidR="0063745C" w:rsidRPr="0063745C" w:rsidRDefault="0063745C" w:rsidP="0063745C">
            <w:pPr>
              <w:spacing w:before="100" w:beforeAutospacing="1" w:after="100" w:afterAutospacing="1" w:line="300" w:lineRule="exact"/>
              <w:rPr>
                <w:rFonts w:asciiTheme="minorHAnsi" w:hAnsiTheme="minorHAnsi" w:cstheme="minorHAnsi"/>
                <w:color w:val="222222"/>
                <w:lang w:eastAsia="en-AU"/>
              </w:rPr>
            </w:pPr>
            <w:r w:rsidRPr="0063745C">
              <w:rPr>
                <w:rFonts w:asciiTheme="minorHAnsi" w:hAnsiTheme="minorHAnsi" w:cstheme="minorHAnsi"/>
                <w:color w:val="222222"/>
                <w:lang w:eastAsia="en-AU"/>
              </w:rPr>
              <w:t>From 1 January 2020, all services will need to have a second early childhood teacher (ECT) or a ‘suitably qualified person’ in attendance when 60 or more children preschool age or under are being educated and cared for on a given day.</w:t>
            </w:r>
          </w:p>
          <w:p w:rsidR="0063745C" w:rsidRPr="0063745C" w:rsidRDefault="0063745C" w:rsidP="0063745C">
            <w:pPr>
              <w:spacing w:before="100" w:beforeAutospacing="1" w:after="100" w:afterAutospacing="1" w:line="300" w:lineRule="exact"/>
              <w:rPr>
                <w:rFonts w:asciiTheme="minorHAnsi" w:hAnsiTheme="minorHAnsi" w:cstheme="minorHAnsi"/>
                <w:color w:val="222222"/>
                <w:lang w:eastAsia="en-AU"/>
              </w:rPr>
            </w:pPr>
            <w:r w:rsidRPr="0063745C">
              <w:rPr>
                <w:rFonts w:asciiTheme="minorHAnsi" w:hAnsiTheme="minorHAnsi" w:cstheme="minorHAnsi"/>
                <w:color w:val="222222"/>
                <w:lang w:eastAsia="en-AU"/>
              </w:rPr>
              <w:t>A ‘suitably qualified person’ can be counted towards educator to child ratios when working directly with children, in the same way that an ECT can.</w:t>
            </w:r>
          </w:p>
          <w:p w:rsidR="0063745C" w:rsidRPr="0063745C" w:rsidRDefault="0063745C" w:rsidP="0063745C">
            <w:pPr>
              <w:spacing w:before="100" w:beforeAutospacing="1" w:after="100" w:afterAutospacing="1" w:line="300" w:lineRule="exact"/>
              <w:rPr>
                <w:rFonts w:asciiTheme="minorHAnsi" w:hAnsiTheme="minorHAnsi" w:cstheme="minorHAnsi"/>
                <w:b/>
                <w:bCs/>
                <w:color w:val="222222"/>
                <w:lang w:eastAsia="en-AU"/>
              </w:rPr>
            </w:pPr>
            <w:r w:rsidRPr="0063745C">
              <w:rPr>
                <w:rFonts w:asciiTheme="minorHAnsi" w:hAnsiTheme="minorHAnsi" w:cstheme="minorHAnsi"/>
                <w:b/>
                <w:bCs/>
                <w:color w:val="222222"/>
                <w:lang w:eastAsia="en-AU"/>
              </w:rPr>
              <w:t>A suitably qualified person can be:</w:t>
            </w:r>
          </w:p>
          <w:p w:rsidR="0063745C" w:rsidRPr="0063745C" w:rsidRDefault="0063745C" w:rsidP="0063745C">
            <w:pPr>
              <w:numPr>
                <w:ilvl w:val="0"/>
                <w:numId w:val="4"/>
              </w:numPr>
              <w:spacing w:before="100" w:beforeAutospacing="1" w:after="100" w:afterAutospacing="1" w:line="300" w:lineRule="exact"/>
              <w:rPr>
                <w:rFonts w:asciiTheme="minorHAnsi" w:eastAsia="Times New Roman" w:hAnsiTheme="minorHAnsi" w:cstheme="minorHAnsi"/>
                <w:color w:val="222222"/>
                <w:lang w:eastAsia="en-AU"/>
              </w:rPr>
            </w:pPr>
            <w:r w:rsidRPr="0063745C">
              <w:rPr>
                <w:rFonts w:asciiTheme="minorHAnsi" w:eastAsia="Times New Roman" w:hAnsiTheme="minorHAnsi" w:cstheme="minorHAnsi"/>
                <w:color w:val="222222"/>
                <w:lang w:eastAsia="en-AU"/>
              </w:rPr>
              <w:t>A person who is ‘actively working towards’ (</w:t>
            </w:r>
            <w:hyperlink r:id="rId19" w:anchor="/view/regulation/2011/653/chap1/reg10" w:history="1">
              <w:r w:rsidRPr="0063745C">
                <w:rPr>
                  <w:rStyle w:val="Hyperlink"/>
                  <w:rFonts w:asciiTheme="minorHAnsi" w:eastAsia="Times New Roman" w:hAnsiTheme="minorHAnsi" w:cstheme="minorHAnsi"/>
                  <w:lang w:eastAsia="en-AU"/>
                </w:rPr>
                <w:t>Regulation 10</w:t>
              </w:r>
            </w:hyperlink>
            <w:r w:rsidRPr="0063745C">
              <w:rPr>
                <w:rFonts w:asciiTheme="minorHAnsi" w:eastAsia="Times New Roman" w:hAnsiTheme="minorHAnsi" w:cstheme="minorHAnsi"/>
                <w:color w:val="000000"/>
                <w:lang w:eastAsia="en-AU"/>
              </w:rPr>
              <w:t>)</w:t>
            </w:r>
            <w:r w:rsidRPr="0063745C">
              <w:rPr>
                <w:rFonts w:asciiTheme="minorHAnsi" w:eastAsia="Times New Roman" w:hAnsiTheme="minorHAnsi" w:cstheme="minorHAnsi"/>
                <w:color w:val="222222"/>
                <w:lang w:eastAsia="en-AU"/>
              </w:rPr>
              <w:t xml:space="preserve"> an approved early childhood teaching qualification; and</w:t>
            </w:r>
          </w:p>
          <w:p w:rsidR="0063745C" w:rsidRPr="0063745C" w:rsidRDefault="0063745C" w:rsidP="0063745C">
            <w:pPr>
              <w:numPr>
                <w:ilvl w:val="0"/>
                <w:numId w:val="4"/>
              </w:numPr>
              <w:spacing w:before="100" w:beforeAutospacing="1" w:after="100" w:afterAutospacing="1"/>
              <w:rPr>
                <w:rFonts w:asciiTheme="minorHAnsi" w:eastAsia="Times New Roman" w:hAnsiTheme="minorHAnsi" w:cstheme="minorHAnsi"/>
                <w:color w:val="222222"/>
                <w:lang w:eastAsia="en-AU"/>
              </w:rPr>
            </w:pPr>
            <w:r w:rsidRPr="0063745C">
              <w:rPr>
                <w:rFonts w:asciiTheme="minorHAnsi" w:eastAsia="Times New Roman" w:hAnsiTheme="minorHAnsi" w:cstheme="minorHAnsi"/>
                <w:color w:val="222222"/>
                <w:lang w:eastAsia="en-AU"/>
              </w:rPr>
              <w:t xml:space="preserve">Has completed at least 50 percent of the ECT </w:t>
            </w:r>
            <w:r w:rsidR="00C56661" w:rsidRPr="0063745C">
              <w:rPr>
                <w:rFonts w:asciiTheme="minorHAnsi" w:eastAsia="Times New Roman" w:hAnsiTheme="minorHAnsi" w:cstheme="minorHAnsi"/>
                <w:color w:val="222222"/>
                <w:lang w:eastAsia="en-AU"/>
              </w:rPr>
              <w:t>qualification or</w:t>
            </w:r>
            <w:r w:rsidRPr="0063745C">
              <w:rPr>
                <w:rFonts w:asciiTheme="minorHAnsi" w:eastAsia="Times New Roman" w:hAnsiTheme="minorHAnsi" w:cstheme="minorHAnsi"/>
                <w:color w:val="222222"/>
                <w:lang w:eastAsia="en-AU"/>
              </w:rPr>
              <w:t xml:space="preserve"> holds an approved early childhood education and care diploma.</w:t>
            </w:r>
          </w:p>
          <w:p w:rsidR="0063745C" w:rsidRPr="0063745C" w:rsidRDefault="0063745C" w:rsidP="0063745C">
            <w:pPr>
              <w:spacing w:before="100" w:beforeAutospacing="1" w:after="100" w:afterAutospacing="1"/>
              <w:rPr>
                <w:rFonts w:asciiTheme="minorHAnsi" w:hAnsiTheme="minorHAnsi" w:cstheme="minorHAnsi"/>
                <w:b/>
                <w:bCs/>
                <w:color w:val="222222"/>
                <w:lang w:eastAsia="en-AU"/>
              </w:rPr>
            </w:pPr>
            <w:r w:rsidRPr="0063745C">
              <w:rPr>
                <w:rFonts w:asciiTheme="minorHAnsi" w:hAnsiTheme="minorHAnsi" w:cstheme="minorHAnsi"/>
                <w:b/>
                <w:bCs/>
                <w:color w:val="222222"/>
                <w:lang w:eastAsia="en-AU"/>
              </w:rPr>
              <w:t>OR</w:t>
            </w:r>
          </w:p>
          <w:p w:rsidR="0063745C" w:rsidRPr="0063745C" w:rsidRDefault="0063745C" w:rsidP="0063745C">
            <w:pPr>
              <w:numPr>
                <w:ilvl w:val="0"/>
                <w:numId w:val="5"/>
              </w:numPr>
              <w:spacing w:before="100" w:beforeAutospacing="1" w:after="100" w:afterAutospacing="1"/>
              <w:rPr>
                <w:rFonts w:asciiTheme="minorHAnsi" w:eastAsia="Times New Roman" w:hAnsiTheme="minorHAnsi" w:cstheme="minorHAnsi"/>
                <w:color w:val="222222"/>
                <w:lang w:eastAsia="en-AU"/>
              </w:rPr>
            </w:pPr>
            <w:r w:rsidRPr="0063745C">
              <w:rPr>
                <w:rFonts w:asciiTheme="minorHAnsi" w:eastAsia="Times New Roman" w:hAnsiTheme="minorHAnsi" w:cstheme="minorHAnsi"/>
                <w:color w:val="222222"/>
                <w:lang w:eastAsia="en-AU"/>
              </w:rPr>
              <w:t xml:space="preserve">A person who is registered as a primary or secondary school teacher in Australia; </w:t>
            </w:r>
            <w:r w:rsidRPr="0063745C">
              <w:rPr>
                <w:rFonts w:asciiTheme="minorHAnsi" w:eastAsia="Times New Roman" w:hAnsiTheme="minorHAnsi" w:cstheme="minorHAnsi"/>
                <w:b/>
                <w:bCs/>
                <w:color w:val="222222"/>
                <w:lang w:eastAsia="en-AU"/>
              </w:rPr>
              <w:t>and</w:t>
            </w:r>
          </w:p>
          <w:p w:rsidR="0063745C" w:rsidRPr="0063745C" w:rsidRDefault="0063745C" w:rsidP="0063745C">
            <w:pPr>
              <w:numPr>
                <w:ilvl w:val="0"/>
                <w:numId w:val="5"/>
              </w:numPr>
              <w:spacing w:before="100" w:beforeAutospacing="1" w:after="100" w:afterAutospacing="1" w:line="300" w:lineRule="exact"/>
              <w:rPr>
                <w:rFonts w:asciiTheme="minorHAnsi" w:eastAsia="Times New Roman" w:hAnsiTheme="minorHAnsi" w:cstheme="minorHAnsi"/>
                <w:color w:val="222222"/>
                <w:lang w:eastAsia="en-AU"/>
              </w:rPr>
            </w:pPr>
            <w:r w:rsidRPr="0063745C">
              <w:rPr>
                <w:rFonts w:asciiTheme="minorHAnsi" w:eastAsia="Times New Roman" w:hAnsiTheme="minorHAnsi" w:cstheme="minorHAnsi"/>
                <w:color w:val="222222"/>
                <w:lang w:eastAsia="en-AU"/>
              </w:rPr>
              <w:t>Holds an ACECQA approved early childhood education and care diploma (or higher approved qualification).</w:t>
            </w:r>
          </w:p>
          <w:p w:rsidR="0063745C" w:rsidRPr="0063745C" w:rsidRDefault="0063745C" w:rsidP="0063745C">
            <w:pPr>
              <w:spacing w:before="100" w:beforeAutospacing="1" w:after="100" w:afterAutospacing="1" w:line="300" w:lineRule="exact"/>
              <w:rPr>
                <w:rFonts w:asciiTheme="minorHAnsi" w:hAnsiTheme="minorHAnsi" w:cstheme="minorHAnsi"/>
                <w:color w:val="222222"/>
                <w:lang w:eastAsia="en-AU"/>
              </w:rPr>
            </w:pPr>
            <w:r w:rsidRPr="0063745C">
              <w:rPr>
                <w:rFonts w:asciiTheme="minorHAnsi" w:hAnsiTheme="minorHAnsi" w:cstheme="minorHAnsi"/>
                <w:color w:val="222222"/>
                <w:lang w:eastAsia="en-AU"/>
              </w:rPr>
              <w:t xml:space="preserve">For more information in relation to early childhood teacher requirements for 2020 visit the </w:t>
            </w:r>
            <w:hyperlink r:id="rId20" w:history="1">
              <w:r w:rsidRPr="0063745C">
                <w:rPr>
                  <w:rStyle w:val="Hyperlink"/>
                  <w:rFonts w:asciiTheme="minorHAnsi" w:hAnsiTheme="minorHAnsi" w:cstheme="minorHAnsi"/>
                  <w:lang w:eastAsia="en-AU"/>
                </w:rPr>
                <w:t>ACECQA’s website.</w:t>
              </w:r>
            </w:hyperlink>
          </w:p>
          <w:p w:rsidR="0063745C" w:rsidRPr="0063745C" w:rsidRDefault="0063745C" w:rsidP="0063745C">
            <w:pPr>
              <w:spacing w:before="100" w:beforeAutospacing="1" w:after="100" w:afterAutospacing="1" w:line="300" w:lineRule="exact"/>
              <w:rPr>
                <w:rFonts w:asciiTheme="minorHAnsi" w:hAnsiTheme="minorHAnsi" w:cstheme="minorHAnsi"/>
              </w:rPr>
            </w:pPr>
            <w:r w:rsidRPr="0063745C">
              <w:rPr>
                <w:rFonts w:asciiTheme="minorHAnsi" w:hAnsiTheme="minorHAnsi" w:cstheme="minorHAnsi"/>
                <w:color w:val="222222"/>
                <w:lang w:eastAsia="en-AU"/>
              </w:rPr>
              <w:t>Please note that services may need to apply for a temporary waiver if they are unsuccessful in recruiting additional staff to meet the 2020 early childhood teacher requirements.</w:t>
            </w:r>
            <w:r w:rsidRPr="0063745C">
              <w:rPr>
                <w:rFonts w:asciiTheme="minorHAnsi" w:hAnsiTheme="minorHAnsi" w:cstheme="minorHAnsi"/>
                <w:color w:val="000000"/>
              </w:rPr>
              <w:t xml:space="preserve"> More information regarding evidence required to apply for a waiver read </w:t>
            </w:r>
            <w:hyperlink r:id="rId21" w:history="1">
              <w:r w:rsidRPr="0063745C">
                <w:rPr>
                  <w:rStyle w:val="Hyperlink"/>
                  <w:rFonts w:asciiTheme="minorHAnsi" w:hAnsiTheme="minorHAnsi" w:cstheme="minorHAnsi"/>
                </w:rPr>
                <w:t>ACECQA's Evidence for waiver applications information sheet.</w:t>
              </w:r>
            </w:hyperlink>
            <w:r w:rsidRPr="0063745C">
              <w:rPr>
                <w:rFonts w:asciiTheme="minorHAnsi" w:hAnsiTheme="minorHAnsi" w:cstheme="minorHAnsi"/>
                <w:color w:val="000000"/>
              </w:rPr>
              <w:t xml:space="preserve"> </w:t>
            </w:r>
          </w:p>
          <w:p w:rsidR="0063745C" w:rsidRPr="0063745C" w:rsidRDefault="0063745C" w:rsidP="0063745C">
            <w:pPr>
              <w:spacing w:before="100" w:beforeAutospacing="1" w:after="100" w:afterAutospacing="1" w:line="300" w:lineRule="exact"/>
              <w:jc w:val="center"/>
              <w:rPr>
                <w:rFonts w:asciiTheme="minorHAnsi" w:hAnsiTheme="minorHAnsi" w:cstheme="minorHAnsi"/>
                <w:b/>
                <w:bCs/>
                <w:color w:val="222222"/>
                <w:sz w:val="32"/>
                <w:szCs w:val="32"/>
              </w:rPr>
            </w:pPr>
            <w:r w:rsidRPr="0063745C">
              <w:rPr>
                <w:rFonts w:asciiTheme="minorHAnsi" w:hAnsiTheme="minorHAnsi" w:cstheme="minorHAnsi"/>
                <w:b/>
                <w:bCs/>
                <w:color w:val="222222"/>
                <w:sz w:val="32"/>
                <w:szCs w:val="32"/>
              </w:rPr>
              <w:t>Processing Timeframes for Waivers</w:t>
            </w:r>
          </w:p>
          <w:p w:rsidR="0063745C" w:rsidRPr="0063745C" w:rsidRDefault="0063745C" w:rsidP="0063745C">
            <w:pPr>
              <w:spacing w:after="225"/>
              <w:rPr>
                <w:rFonts w:asciiTheme="minorHAnsi" w:hAnsiTheme="minorHAnsi" w:cstheme="minorHAnsi"/>
                <w:lang w:eastAsia="en-AU"/>
              </w:rPr>
            </w:pPr>
            <w:r w:rsidRPr="0063745C">
              <w:rPr>
                <w:rFonts w:asciiTheme="minorHAnsi" w:hAnsiTheme="minorHAnsi" w:cstheme="minorHAnsi"/>
                <w:color w:val="000000"/>
                <w:lang w:eastAsia="en-AU"/>
              </w:rPr>
              <w:t>Waivers play an important role in helping providers maintain their level of service to families while dealing with special circumstances or unexpected events.</w:t>
            </w:r>
          </w:p>
          <w:p w:rsidR="0063745C" w:rsidRPr="0063745C" w:rsidRDefault="0063745C" w:rsidP="0063745C">
            <w:pPr>
              <w:spacing w:after="225"/>
              <w:rPr>
                <w:rFonts w:asciiTheme="minorHAnsi" w:hAnsiTheme="minorHAnsi" w:cstheme="minorHAnsi"/>
                <w:lang w:eastAsia="en-AU"/>
              </w:rPr>
            </w:pPr>
            <w:r w:rsidRPr="0063745C">
              <w:rPr>
                <w:rFonts w:asciiTheme="minorHAnsi" w:hAnsiTheme="minorHAnsi" w:cstheme="minorHAnsi"/>
                <w:color w:val="000000"/>
                <w:lang w:eastAsia="en-AU"/>
              </w:rPr>
              <w:t xml:space="preserve">An approved provider may apply to CECA for a waiver. Applying for a waiver should be a last resort; providers should explore other avenues before making an application. </w:t>
            </w:r>
          </w:p>
          <w:p w:rsidR="0063745C" w:rsidRPr="0063745C" w:rsidRDefault="0063745C" w:rsidP="0063745C">
            <w:pPr>
              <w:spacing w:after="225"/>
              <w:rPr>
                <w:rFonts w:asciiTheme="minorHAnsi" w:hAnsiTheme="minorHAnsi" w:cstheme="minorHAnsi"/>
                <w:lang w:eastAsia="en-AU"/>
              </w:rPr>
            </w:pPr>
            <w:r w:rsidRPr="0063745C">
              <w:rPr>
                <w:rFonts w:asciiTheme="minorHAnsi" w:hAnsiTheme="minorHAnsi" w:cstheme="minorHAnsi"/>
                <w:color w:val="000000"/>
                <w:lang w:eastAsia="en-AU"/>
              </w:rPr>
              <w:t xml:space="preserve">Please note that CECA have up to 60 days to respond to a waiver </w:t>
            </w:r>
            <w:proofErr w:type="gramStart"/>
            <w:r w:rsidRPr="0063745C">
              <w:rPr>
                <w:rFonts w:asciiTheme="minorHAnsi" w:hAnsiTheme="minorHAnsi" w:cstheme="minorHAnsi"/>
                <w:color w:val="000000"/>
                <w:lang w:eastAsia="en-AU"/>
              </w:rPr>
              <w:t>application, once</w:t>
            </w:r>
            <w:proofErr w:type="gramEnd"/>
            <w:r w:rsidRPr="0063745C">
              <w:rPr>
                <w:rFonts w:asciiTheme="minorHAnsi" w:hAnsiTheme="minorHAnsi" w:cstheme="minorHAnsi"/>
                <w:color w:val="000000"/>
                <w:lang w:eastAsia="en-AU"/>
              </w:rPr>
              <w:t xml:space="preserve"> all required documentation has been submitted. </w:t>
            </w:r>
          </w:p>
          <w:p w:rsidR="0063745C" w:rsidRPr="0063745C" w:rsidRDefault="0063745C" w:rsidP="0063745C">
            <w:pPr>
              <w:spacing w:before="100" w:beforeAutospacing="1" w:after="100" w:afterAutospacing="1"/>
              <w:jc w:val="center"/>
              <w:rPr>
                <w:rFonts w:asciiTheme="minorHAnsi" w:hAnsiTheme="minorHAnsi" w:cstheme="minorHAnsi"/>
                <w:b/>
                <w:bCs/>
                <w:color w:val="000000"/>
                <w:sz w:val="32"/>
                <w:szCs w:val="32"/>
                <w:lang w:eastAsia="en-AU"/>
              </w:rPr>
            </w:pPr>
            <w:r w:rsidRPr="0063745C">
              <w:rPr>
                <w:rFonts w:asciiTheme="minorHAnsi" w:hAnsiTheme="minorHAnsi" w:cstheme="minorHAnsi"/>
                <w:noProof/>
                <w:color w:val="000000"/>
                <w:sz w:val="20"/>
                <w:szCs w:val="20"/>
                <w:lang w:eastAsia="en-AU"/>
              </w:rPr>
              <w:drawing>
                <wp:inline distT="0" distB="0" distL="0" distR="0" wp14:anchorId="69CB54CA" wp14:editId="00E75966">
                  <wp:extent cx="4086225" cy="2276475"/>
                  <wp:effectExtent l="0" t="0" r="0" b="0"/>
                  <wp:docPr id="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86225" cy="2276475"/>
                          </a:xfrm>
                          <a:prstGeom prst="rect">
                            <a:avLst/>
                          </a:prstGeom>
                          <a:noFill/>
                          <a:ln>
                            <a:noFill/>
                          </a:ln>
                        </pic:spPr>
                      </pic:pic>
                    </a:graphicData>
                  </a:graphic>
                </wp:inline>
              </w:drawing>
            </w:r>
          </w:p>
          <w:p w:rsidR="0063745C" w:rsidRPr="0063745C" w:rsidRDefault="0063745C" w:rsidP="0063745C">
            <w:pPr>
              <w:spacing w:before="100" w:beforeAutospacing="1" w:after="100" w:afterAutospacing="1"/>
              <w:jc w:val="center"/>
              <w:rPr>
                <w:rFonts w:asciiTheme="minorHAnsi" w:hAnsiTheme="minorHAnsi" w:cstheme="minorHAnsi"/>
                <w:b/>
                <w:bCs/>
                <w:color w:val="000000"/>
                <w:sz w:val="32"/>
                <w:szCs w:val="32"/>
                <w:lang w:eastAsia="en-AU"/>
              </w:rPr>
            </w:pPr>
            <w:r w:rsidRPr="0063745C">
              <w:rPr>
                <w:rFonts w:asciiTheme="minorHAnsi" w:hAnsiTheme="minorHAnsi" w:cstheme="minorHAnsi"/>
                <w:b/>
                <w:bCs/>
                <w:color w:val="000000"/>
                <w:sz w:val="32"/>
                <w:szCs w:val="32"/>
                <w:lang w:eastAsia="en-AU"/>
              </w:rPr>
              <w:t>Have your say on Child Safe Standards</w:t>
            </w:r>
          </w:p>
          <w:p w:rsidR="0063745C" w:rsidRPr="0063745C" w:rsidRDefault="0063745C" w:rsidP="0063745C">
            <w:pPr>
              <w:spacing w:before="100" w:beforeAutospacing="1" w:after="100" w:afterAutospacing="1"/>
              <w:rPr>
                <w:rFonts w:asciiTheme="minorHAnsi" w:hAnsiTheme="minorHAnsi" w:cstheme="minorHAnsi"/>
                <w:color w:val="000000"/>
                <w:lang w:eastAsia="en-AU"/>
              </w:rPr>
            </w:pPr>
            <w:r w:rsidRPr="0063745C">
              <w:rPr>
                <w:rFonts w:asciiTheme="minorHAnsi" w:hAnsiTheme="minorHAnsi" w:cstheme="minorHAnsi"/>
                <w:color w:val="000000"/>
                <w:lang w:eastAsia="en-AU"/>
              </w:rPr>
              <w:t>ACT Government is preparing to implement Child Abuse Royal Commission recommendations to regulate Child Safe Standards in the ACT.</w:t>
            </w:r>
          </w:p>
          <w:p w:rsidR="0063745C" w:rsidRPr="0063745C" w:rsidRDefault="0063745C" w:rsidP="0063745C">
            <w:pPr>
              <w:spacing w:before="100" w:beforeAutospacing="1" w:after="100" w:afterAutospacing="1"/>
              <w:rPr>
                <w:rFonts w:asciiTheme="minorHAnsi" w:hAnsiTheme="minorHAnsi" w:cstheme="minorHAnsi"/>
                <w:color w:val="000000"/>
                <w:lang w:eastAsia="en-AU"/>
              </w:rPr>
            </w:pPr>
            <w:r w:rsidRPr="0063745C">
              <w:rPr>
                <w:rFonts w:asciiTheme="minorHAnsi" w:hAnsiTheme="minorHAnsi" w:cstheme="minorHAnsi"/>
                <w:color w:val="000000"/>
                <w:lang w:eastAsia="en-AU"/>
              </w:rPr>
              <w:t>Child Safe Standards help organisations create a culture of safety which protects and empowers children and young people. </w:t>
            </w:r>
          </w:p>
          <w:p w:rsidR="0063745C" w:rsidRPr="0063745C" w:rsidRDefault="0063745C" w:rsidP="0063745C">
            <w:pPr>
              <w:spacing w:before="100" w:beforeAutospacing="1" w:after="100" w:afterAutospacing="1"/>
              <w:rPr>
                <w:rFonts w:asciiTheme="minorHAnsi" w:hAnsiTheme="minorHAnsi" w:cstheme="minorHAnsi"/>
                <w:color w:val="000000"/>
                <w:lang w:eastAsia="en-AU"/>
              </w:rPr>
            </w:pPr>
            <w:r w:rsidRPr="0063745C">
              <w:rPr>
                <w:rFonts w:asciiTheme="minorHAnsi" w:hAnsiTheme="minorHAnsi" w:cstheme="minorHAnsi"/>
                <w:color w:val="000000"/>
                <w:lang w:eastAsia="en-AU"/>
              </w:rPr>
              <w:t>If you are an employee, volunteer or provider in an organisation that engages with children and young people, go to and: </w:t>
            </w:r>
          </w:p>
          <w:p w:rsidR="0063745C" w:rsidRPr="0063745C" w:rsidRDefault="0063745C" w:rsidP="0063745C">
            <w:pPr>
              <w:numPr>
                <w:ilvl w:val="0"/>
                <w:numId w:val="6"/>
              </w:numPr>
              <w:spacing w:before="100" w:beforeAutospacing="1" w:after="100" w:afterAutospacing="1"/>
              <w:rPr>
                <w:rFonts w:asciiTheme="minorHAnsi" w:eastAsia="Times New Roman" w:hAnsiTheme="minorHAnsi" w:cstheme="minorHAnsi"/>
                <w:color w:val="000000"/>
              </w:rPr>
            </w:pPr>
            <w:r w:rsidRPr="0063745C">
              <w:rPr>
                <w:rFonts w:asciiTheme="minorHAnsi" w:eastAsia="Times New Roman" w:hAnsiTheme="minorHAnsi" w:cstheme="minorHAnsi"/>
                <w:b/>
                <w:bCs/>
                <w:color w:val="000000"/>
              </w:rPr>
              <w:t>Learn more</w:t>
            </w:r>
            <w:r w:rsidRPr="0063745C">
              <w:rPr>
                <w:rFonts w:asciiTheme="minorHAnsi" w:eastAsia="Times New Roman" w:hAnsiTheme="minorHAnsi" w:cstheme="minorHAnsi"/>
                <w:color w:val="000000"/>
              </w:rPr>
              <w:t xml:space="preserve"> – Explore the </w:t>
            </w:r>
            <w:hyperlink r:id="rId25" w:history="1">
              <w:r w:rsidRPr="0063745C">
                <w:rPr>
                  <w:rStyle w:val="Hyperlink"/>
                  <w:rFonts w:asciiTheme="minorHAnsi" w:eastAsia="Times New Roman" w:hAnsiTheme="minorHAnsi" w:cstheme="minorHAnsi"/>
                </w:rPr>
                <w:t>tools and resources</w:t>
              </w:r>
            </w:hyperlink>
            <w:r w:rsidRPr="0063745C">
              <w:rPr>
                <w:rFonts w:asciiTheme="minorHAnsi" w:eastAsia="Times New Roman" w:hAnsiTheme="minorHAnsi" w:cstheme="minorHAnsi"/>
                <w:color w:val="000000"/>
              </w:rPr>
              <w:t xml:space="preserve"> available to assist organisations to provide safe environments for children and young people.</w:t>
            </w:r>
          </w:p>
          <w:p w:rsidR="0063745C" w:rsidRPr="0063745C" w:rsidRDefault="0063745C" w:rsidP="0063745C">
            <w:pPr>
              <w:numPr>
                <w:ilvl w:val="0"/>
                <w:numId w:val="6"/>
              </w:numPr>
              <w:spacing w:before="100" w:beforeAutospacing="1" w:after="100" w:afterAutospacing="1"/>
              <w:rPr>
                <w:rFonts w:asciiTheme="minorHAnsi" w:eastAsia="Times New Roman" w:hAnsiTheme="minorHAnsi" w:cstheme="minorHAnsi"/>
                <w:color w:val="000000"/>
              </w:rPr>
            </w:pPr>
            <w:r w:rsidRPr="0063745C">
              <w:rPr>
                <w:rFonts w:asciiTheme="minorHAnsi" w:eastAsia="Times New Roman" w:hAnsiTheme="minorHAnsi" w:cstheme="minorHAnsi"/>
                <w:b/>
                <w:bCs/>
                <w:color w:val="000000"/>
              </w:rPr>
              <w:t>Complete a short online survey</w:t>
            </w:r>
            <w:r w:rsidRPr="0063745C">
              <w:rPr>
                <w:rFonts w:asciiTheme="minorHAnsi" w:eastAsia="Times New Roman" w:hAnsiTheme="minorHAnsi" w:cstheme="minorHAnsi"/>
                <w:color w:val="000000"/>
              </w:rPr>
              <w:t xml:space="preserve"> – Tell us what types of support will help your organisation comply with Child Safe Standards.</w:t>
            </w:r>
          </w:p>
          <w:p w:rsidR="0063745C" w:rsidRPr="0063745C" w:rsidRDefault="0063745C" w:rsidP="0063745C">
            <w:pPr>
              <w:numPr>
                <w:ilvl w:val="0"/>
                <w:numId w:val="6"/>
              </w:numPr>
              <w:spacing w:before="100" w:beforeAutospacing="1" w:after="100" w:afterAutospacing="1"/>
              <w:rPr>
                <w:rFonts w:asciiTheme="minorHAnsi" w:eastAsia="Times New Roman" w:hAnsiTheme="minorHAnsi" w:cstheme="minorHAnsi"/>
                <w:color w:val="000000"/>
              </w:rPr>
            </w:pPr>
            <w:r w:rsidRPr="0063745C">
              <w:rPr>
                <w:rFonts w:asciiTheme="minorHAnsi" w:eastAsia="Times New Roman" w:hAnsiTheme="minorHAnsi" w:cstheme="minorHAnsi"/>
                <w:b/>
                <w:bCs/>
                <w:color w:val="000000"/>
              </w:rPr>
              <w:t>Make a submission</w:t>
            </w:r>
            <w:r w:rsidRPr="0063745C">
              <w:rPr>
                <w:rFonts w:asciiTheme="minorHAnsi" w:eastAsia="Times New Roman" w:hAnsiTheme="minorHAnsi" w:cstheme="minorHAnsi"/>
                <w:color w:val="000000"/>
              </w:rPr>
              <w:t xml:space="preserve"> – The detailed design for the Child Safe Standards scheme will be developed in early 2020.  If you would like to contribute to this process, please make a submission.</w:t>
            </w:r>
          </w:p>
          <w:p w:rsidR="0063745C" w:rsidRPr="0063745C" w:rsidRDefault="0063745C" w:rsidP="0063745C">
            <w:pPr>
              <w:spacing w:before="100" w:beforeAutospacing="1" w:after="100" w:afterAutospacing="1"/>
              <w:ind w:left="360"/>
              <w:rPr>
                <w:rFonts w:asciiTheme="minorHAnsi" w:hAnsiTheme="minorHAnsi" w:cstheme="minorHAnsi"/>
                <w:color w:val="000000"/>
                <w:lang w:eastAsia="en-AU"/>
              </w:rPr>
            </w:pPr>
            <w:r w:rsidRPr="0063745C">
              <w:rPr>
                <w:rFonts w:asciiTheme="minorHAnsi" w:hAnsiTheme="minorHAnsi" w:cstheme="minorHAnsi"/>
                <w:color w:val="000000"/>
              </w:rPr>
              <w:t xml:space="preserve">Additional information about the community consultation process for the ACT Child Safe Standards can be found in the attachment. </w:t>
            </w:r>
            <w:r w:rsidRPr="0063745C">
              <w:rPr>
                <w:rFonts w:asciiTheme="minorHAnsi" w:hAnsiTheme="minorHAnsi" w:cstheme="minorHAnsi"/>
                <w:color w:val="000000"/>
                <w:lang w:eastAsia="en-AU"/>
              </w:rPr>
              <w:t xml:space="preserve">The consultation period closes </w:t>
            </w:r>
            <w:r w:rsidRPr="0063745C">
              <w:rPr>
                <w:rFonts w:asciiTheme="minorHAnsi" w:hAnsiTheme="minorHAnsi" w:cstheme="minorHAnsi"/>
                <w:b/>
                <w:bCs/>
                <w:color w:val="000000"/>
                <w:lang w:eastAsia="en-AU"/>
              </w:rPr>
              <w:t>28 February 2020</w:t>
            </w:r>
            <w:r w:rsidRPr="0063745C">
              <w:rPr>
                <w:rFonts w:asciiTheme="minorHAnsi" w:hAnsiTheme="minorHAnsi" w:cstheme="minorHAnsi"/>
                <w:color w:val="000000"/>
                <w:lang w:eastAsia="en-AU"/>
              </w:rPr>
              <w:t>.</w:t>
            </w:r>
          </w:p>
          <w:p w:rsidR="0063745C" w:rsidRPr="0063745C" w:rsidRDefault="0063745C" w:rsidP="0063745C">
            <w:pPr>
              <w:spacing w:before="100" w:beforeAutospacing="1" w:after="100" w:afterAutospacing="1"/>
              <w:jc w:val="center"/>
              <w:rPr>
                <w:rFonts w:asciiTheme="minorHAnsi" w:hAnsiTheme="minorHAnsi" w:cstheme="minorHAnsi"/>
                <w:b/>
                <w:bCs/>
                <w:color w:val="000000"/>
                <w:sz w:val="32"/>
                <w:szCs w:val="32"/>
              </w:rPr>
            </w:pPr>
            <w:r w:rsidRPr="0063745C">
              <w:rPr>
                <w:rFonts w:asciiTheme="minorHAnsi" w:hAnsiTheme="minorHAnsi" w:cstheme="minorHAnsi"/>
                <w:b/>
                <w:bCs/>
                <w:color w:val="000000"/>
                <w:sz w:val="32"/>
                <w:szCs w:val="32"/>
              </w:rPr>
              <w:t>CECA Operational Hours 25 December 2019 - 1 January 2020 (inclusive)</w:t>
            </w:r>
          </w:p>
          <w:p w:rsidR="0063745C" w:rsidRPr="0063745C" w:rsidRDefault="0063745C" w:rsidP="0063745C">
            <w:pPr>
              <w:spacing w:before="100" w:beforeAutospacing="1" w:after="100" w:afterAutospacing="1"/>
              <w:rPr>
                <w:rFonts w:asciiTheme="minorHAnsi" w:hAnsiTheme="minorHAnsi" w:cstheme="minorHAnsi"/>
                <w:color w:val="000000"/>
              </w:rPr>
            </w:pPr>
            <w:r w:rsidRPr="0063745C">
              <w:rPr>
                <w:rFonts w:asciiTheme="minorHAnsi" w:hAnsiTheme="minorHAnsi" w:cstheme="minorHAnsi"/>
                <w:color w:val="000000"/>
              </w:rPr>
              <w:t>The CECA office will be closed between 25 December 2019 to 1 January 2020 (inclusive).</w:t>
            </w:r>
          </w:p>
          <w:p w:rsidR="0063745C" w:rsidRPr="0063745C" w:rsidRDefault="0063745C" w:rsidP="0063745C">
            <w:pPr>
              <w:spacing w:before="100" w:beforeAutospacing="1" w:after="100" w:afterAutospacing="1"/>
              <w:rPr>
                <w:rFonts w:asciiTheme="minorHAnsi" w:hAnsiTheme="minorHAnsi" w:cstheme="minorHAnsi"/>
                <w:color w:val="000000"/>
                <w:sz w:val="24"/>
                <w:szCs w:val="24"/>
              </w:rPr>
            </w:pPr>
            <w:r w:rsidRPr="0063745C">
              <w:rPr>
                <w:rFonts w:asciiTheme="minorHAnsi" w:hAnsiTheme="minorHAnsi" w:cstheme="minorHAnsi"/>
                <w:color w:val="000000"/>
              </w:rPr>
              <w:t xml:space="preserve">For urgent matters requiring CECA’s assistance please contact Clare Brookes Senior Director, Early Childhood Early Childhood Policy and Regulation on </w:t>
            </w:r>
            <w:r w:rsidRPr="0063745C">
              <w:rPr>
                <w:rFonts w:asciiTheme="minorHAnsi" w:hAnsiTheme="minorHAnsi" w:cstheme="minorHAnsi"/>
                <w:b/>
                <w:bCs/>
                <w:color w:val="000000"/>
                <w:sz w:val="24"/>
                <w:szCs w:val="24"/>
              </w:rPr>
              <w:t>0481 003 833</w:t>
            </w:r>
          </w:p>
          <w:p w:rsidR="0063745C" w:rsidRPr="0063745C" w:rsidRDefault="0063745C" w:rsidP="0063745C">
            <w:pPr>
              <w:spacing w:before="100" w:beforeAutospacing="1" w:after="100" w:afterAutospacing="1"/>
              <w:rPr>
                <w:rFonts w:asciiTheme="minorHAnsi" w:hAnsiTheme="minorHAnsi" w:cstheme="minorHAnsi"/>
                <w:color w:val="000000"/>
              </w:rPr>
            </w:pPr>
            <w:r w:rsidRPr="0063745C">
              <w:rPr>
                <w:rFonts w:asciiTheme="minorHAnsi" w:hAnsiTheme="minorHAnsi" w:cstheme="minorHAnsi"/>
                <w:color w:val="000000"/>
              </w:rPr>
              <w:t>Please note that notifications can continue to be submitted using the National Quality Agenda IT System (NQAITS) and CECA will respond to these from 2 January 2020.</w:t>
            </w:r>
          </w:p>
          <w:p w:rsidR="0063745C" w:rsidRPr="0063745C" w:rsidRDefault="0063745C" w:rsidP="0063745C">
            <w:pPr>
              <w:spacing w:before="100" w:beforeAutospacing="1" w:after="100" w:afterAutospacing="1"/>
              <w:rPr>
                <w:rFonts w:asciiTheme="minorHAnsi" w:hAnsiTheme="minorHAnsi" w:cstheme="minorHAnsi"/>
                <w:color w:val="000000"/>
              </w:rPr>
            </w:pPr>
            <w:r w:rsidRPr="0063745C">
              <w:rPr>
                <w:rFonts w:asciiTheme="minorHAnsi" w:hAnsiTheme="minorHAnsi" w:cstheme="minorHAnsi"/>
                <w:color w:val="000000"/>
              </w:rPr>
              <w:t xml:space="preserve">The CECA team wish the ACT education and care community a relaxing and safe break and look forward to working with you in 2020. </w:t>
            </w:r>
          </w:p>
          <w:p w:rsidR="00F0412B" w:rsidRPr="0063745C" w:rsidRDefault="00F0412B" w:rsidP="00C600AD">
            <w:pPr>
              <w:rPr>
                <w:rFonts w:asciiTheme="minorHAnsi" w:hAnsiTheme="minorHAnsi" w:cstheme="minorHAnsi"/>
                <w:color w:val="000000"/>
                <w:lang w:eastAsia="en-AU"/>
              </w:rPr>
            </w:pPr>
          </w:p>
          <w:p w:rsidR="00F0412B" w:rsidRPr="0063745C" w:rsidRDefault="00F0412B" w:rsidP="00C600AD">
            <w:pPr>
              <w:rPr>
                <w:rFonts w:asciiTheme="minorHAnsi" w:hAnsiTheme="minorHAnsi" w:cstheme="minorHAnsi"/>
                <w:sz w:val="20"/>
                <w:szCs w:val="20"/>
              </w:rPr>
            </w:pPr>
            <w:r w:rsidRPr="0063745C">
              <w:rPr>
                <w:rFonts w:asciiTheme="minorHAnsi" w:hAnsiTheme="minorHAnsi" w:cstheme="minorHAnsi"/>
                <w:color w:val="000000"/>
                <w:sz w:val="20"/>
                <w:szCs w:val="20"/>
                <w:lang w:eastAsia="en-AU"/>
              </w:rPr>
              <w:t xml:space="preserve">For enquires in relation to this notification please call CECA on (02) 6207 1114 or email </w:t>
            </w:r>
            <w:hyperlink r:id="rId26" w:history="1">
              <w:r w:rsidRPr="0063745C">
                <w:rPr>
                  <w:rStyle w:val="Hyperlink"/>
                  <w:rFonts w:asciiTheme="minorHAnsi" w:hAnsiTheme="minorHAnsi" w:cstheme="minorHAnsi"/>
                  <w:color w:val="0000FF"/>
                  <w:sz w:val="20"/>
                  <w:szCs w:val="20"/>
                </w:rPr>
                <w:t>CECA@ACT.gov.au</w:t>
              </w:r>
            </w:hyperlink>
            <w:r w:rsidRPr="0063745C">
              <w:rPr>
                <w:rFonts w:asciiTheme="minorHAnsi" w:hAnsiTheme="minorHAnsi" w:cstheme="minorHAnsi"/>
                <w:color w:val="000000"/>
                <w:sz w:val="20"/>
                <w:szCs w:val="20"/>
                <w:u w:val="single"/>
              </w:rPr>
              <w:t>.</w:t>
            </w:r>
            <w:r w:rsidRPr="0063745C">
              <w:rPr>
                <w:rFonts w:asciiTheme="minorHAnsi" w:hAnsiTheme="minorHAnsi" w:cstheme="minorHAnsi"/>
                <w:color w:val="000000"/>
                <w:sz w:val="20"/>
                <w:szCs w:val="20"/>
              </w:rPr>
              <w:t xml:space="preserve"> </w:t>
            </w:r>
          </w:p>
          <w:p w:rsidR="00F0412B" w:rsidRPr="0063745C" w:rsidRDefault="00F0412B" w:rsidP="00C600AD">
            <w:pPr>
              <w:jc w:val="center"/>
              <w:rPr>
                <w:rFonts w:asciiTheme="minorHAnsi" w:hAnsiTheme="minorHAnsi" w:cstheme="minorHAnsi"/>
              </w:rPr>
            </w:pPr>
          </w:p>
          <w:p w:rsidR="00F0412B" w:rsidRPr="0063745C" w:rsidRDefault="00F0412B" w:rsidP="00C600AD">
            <w:pPr>
              <w:jc w:val="center"/>
              <w:rPr>
                <w:rFonts w:asciiTheme="minorHAnsi" w:hAnsiTheme="minorHAnsi" w:cstheme="minorHAnsi"/>
                <w:color w:val="767171"/>
                <w:sz w:val="20"/>
                <w:szCs w:val="20"/>
                <w:lang w:eastAsia="en-AU"/>
              </w:rPr>
            </w:pPr>
            <w:r w:rsidRPr="0063745C">
              <w:rPr>
                <w:rFonts w:asciiTheme="minorHAnsi" w:hAnsiTheme="minorHAnsi" w:cstheme="minorHAnsi"/>
                <w:color w:val="767171"/>
                <w:sz w:val="20"/>
                <w:szCs w:val="20"/>
                <w:lang w:eastAsia="en-AU"/>
              </w:rPr>
              <w:t xml:space="preserve">This email has been authorised by the ACT Regulatory Authority (CECA). </w:t>
            </w:r>
          </w:p>
          <w:p w:rsidR="00F0412B" w:rsidRPr="0063745C" w:rsidRDefault="00F0412B" w:rsidP="00C600AD">
            <w:pPr>
              <w:jc w:val="center"/>
              <w:rPr>
                <w:rFonts w:asciiTheme="minorHAnsi" w:hAnsiTheme="minorHAnsi" w:cstheme="minorHAnsi"/>
                <w:color w:val="767171"/>
                <w:lang w:eastAsia="en-AU"/>
              </w:rPr>
            </w:pPr>
            <w:r w:rsidRPr="0063745C">
              <w:rPr>
                <w:rFonts w:asciiTheme="minorHAnsi" w:hAnsiTheme="minorHAnsi" w:cstheme="minorHAnsi"/>
                <w:color w:val="767171"/>
                <w:sz w:val="20"/>
                <w:szCs w:val="20"/>
                <w:lang w:eastAsia="en-AU"/>
              </w:rPr>
              <w:t>CECA are responsible for administering the National Quality Framework within the ACT</w:t>
            </w:r>
            <w:r w:rsidRPr="0063745C">
              <w:rPr>
                <w:rFonts w:asciiTheme="minorHAnsi" w:hAnsiTheme="minorHAnsi" w:cstheme="minorHAnsi"/>
                <w:color w:val="767171"/>
                <w:lang w:eastAsia="en-AU"/>
              </w:rPr>
              <w:t>.</w:t>
            </w:r>
          </w:p>
        </w:tc>
      </w:tr>
    </w:tbl>
    <w:p w:rsidR="00F0412B" w:rsidRPr="0063745C" w:rsidRDefault="00F0412B" w:rsidP="00F0412B">
      <w:pPr>
        <w:rPr>
          <w:rFonts w:asciiTheme="minorHAnsi" w:hAnsiTheme="minorHAnsi" w:cstheme="minorHAnsi"/>
          <w:color w:val="333132"/>
        </w:rPr>
      </w:pPr>
    </w:p>
    <w:tbl>
      <w:tblPr>
        <w:tblW w:w="10488" w:type="dxa"/>
        <w:jc w:val="center"/>
        <w:tblCellSpacing w:w="0" w:type="dxa"/>
        <w:shd w:val="clear" w:color="auto" w:fill="FFFFFF"/>
        <w:tblCellMar>
          <w:left w:w="0" w:type="dxa"/>
          <w:right w:w="0" w:type="dxa"/>
        </w:tblCellMar>
        <w:tblLook w:val="04A0" w:firstRow="1" w:lastRow="0" w:firstColumn="1" w:lastColumn="0" w:noHBand="0" w:noVBand="1"/>
      </w:tblPr>
      <w:tblGrid>
        <w:gridCol w:w="10510"/>
      </w:tblGrid>
      <w:tr w:rsidR="00F0412B" w:rsidRPr="0063745C" w:rsidTr="00C600AD">
        <w:trPr>
          <w:trHeight w:val="671"/>
          <w:tblCellSpacing w:w="0" w:type="dxa"/>
          <w:jc w:val="center"/>
        </w:trPr>
        <w:tc>
          <w:tcPr>
            <w:tcW w:w="10439" w:type="dxa"/>
            <w:shd w:val="clear" w:color="auto" w:fill="5C5C5C"/>
            <w:vAlign w:val="center"/>
            <w:hideMark/>
          </w:tcPr>
          <w:tbl>
            <w:tblPr>
              <w:tblW w:w="10510" w:type="dxa"/>
              <w:jc w:val="center"/>
              <w:tblCellSpacing w:w="0" w:type="dxa"/>
              <w:shd w:val="clear" w:color="auto" w:fill="FFFFFF"/>
              <w:tblCellMar>
                <w:left w:w="0" w:type="dxa"/>
                <w:right w:w="0" w:type="dxa"/>
              </w:tblCellMar>
              <w:tblLook w:val="04A0" w:firstRow="1" w:lastRow="0" w:firstColumn="1" w:lastColumn="0" w:noHBand="0" w:noVBand="1"/>
            </w:tblPr>
            <w:tblGrid>
              <w:gridCol w:w="4139"/>
              <w:gridCol w:w="88"/>
              <w:gridCol w:w="6283"/>
            </w:tblGrid>
            <w:tr w:rsidR="00F0412B" w:rsidRPr="0063745C" w:rsidTr="00C600AD">
              <w:trPr>
                <w:gridAfter w:val="2"/>
                <w:wAfter w:w="6371" w:type="dxa"/>
                <w:trHeight w:val="76"/>
                <w:tblCellSpacing w:w="0" w:type="dxa"/>
                <w:jc w:val="center"/>
              </w:trPr>
              <w:tc>
                <w:tcPr>
                  <w:tcW w:w="0" w:type="auto"/>
                  <w:shd w:val="clear" w:color="auto" w:fill="5C5C5C"/>
                  <w:vAlign w:val="center"/>
                  <w:hideMark/>
                </w:tcPr>
                <w:p w:rsidR="00F0412B" w:rsidRPr="0063745C" w:rsidRDefault="00F0412B" w:rsidP="00C600AD">
                  <w:pPr>
                    <w:rPr>
                      <w:rFonts w:asciiTheme="minorHAnsi" w:eastAsia="Times New Roman" w:hAnsiTheme="minorHAnsi" w:cstheme="minorHAnsi"/>
                      <w:sz w:val="20"/>
                      <w:szCs w:val="20"/>
                      <w:lang w:eastAsia="en-AU"/>
                    </w:rPr>
                  </w:pPr>
                </w:p>
              </w:tc>
            </w:tr>
            <w:tr w:rsidR="00F0412B" w:rsidRPr="0063745C" w:rsidTr="00C600AD">
              <w:trPr>
                <w:trHeight w:val="543"/>
                <w:tblCellSpacing w:w="0" w:type="dxa"/>
                <w:jc w:val="center"/>
              </w:trPr>
              <w:tc>
                <w:tcPr>
                  <w:tcW w:w="0" w:type="auto"/>
                  <w:shd w:val="clear" w:color="auto" w:fill="5C5C5C"/>
                  <w:tcMar>
                    <w:top w:w="120" w:type="dxa"/>
                    <w:left w:w="630" w:type="dxa"/>
                    <w:bottom w:w="120" w:type="dxa"/>
                    <w:right w:w="0" w:type="dxa"/>
                  </w:tcMar>
                  <w:vAlign w:val="center"/>
                  <w:hideMark/>
                </w:tcPr>
                <w:p w:rsidR="00F0412B" w:rsidRPr="0063745C" w:rsidRDefault="00F0412B" w:rsidP="00C600AD">
                  <w:pPr>
                    <w:pStyle w:val="NormalWeb"/>
                    <w:rPr>
                      <w:rFonts w:asciiTheme="minorHAnsi" w:hAnsiTheme="minorHAnsi" w:cstheme="minorHAnsi"/>
                      <w:color w:val="FFFFFF"/>
                      <w:sz w:val="20"/>
                      <w:szCs w:val="20"/>
                    </w:rPr>
                  </w:pPr>
                  <w:r w:rsidRPr="0063745C">
                    <w:rPr>
                      <w:rFonts w:asciiTheme="minorHAnsi" w:hAnsiTheme="minorHAnsi" w:cstheme="minorHAnsi"/>
                      <w:noProof/>
                      <w:color w:val="0000FF"/>
                      <w:sz w:val="20"/>
                      <w:szCs w:val="20"/>
                    </w:rPr>
                    <w:drawing>
                      <wp:inline distT="0" distB="0" distL="0" distR="0" wp14:anchorId="7BEC8CD0" wp14:editId="3CE3097D">
                        <wp:extent cx="1085850" cy="352425"/>
                        <wp:effectExtent l="0" t="0" r="0" b="0"/>
                        <wp:docPr id="93" name="Picture 93" descr="faceboo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tc>
              <w:tc>
                <w:tcPr>
                  <w:tcW w:w="0" w:type="auto"/>
                  <w:shd w:val="clear" w:color="auto" w:fill="5C5C5C"/>
                  <w:tcMar>
                    <w:top w:w="120" w:type="dxa"/>
                    <w:left w:w="0" w:type="dxa"/>
                    <w:bottom w:w="120" w:type="dxa"/>
                    <w:right w:w="0" w:type="dxa"/>
                  </w:tcMar>
                  <w:vAlign w:val="center"/>
                  <w:hideMark/>
                </w:tcPr>
                <w:p w:rsidR="00F0412B" w:rsidRPr="0063745C" w:rsidRDefault="00F0412B" w:rsidP="00C600AD">
                  <w:pPr>
                    <w:jc w:val="center"/>
                    <w:rPr>
                      <w:rFonts w:asciiTheme="minorHAnsi" w:hAnsiTheme="minorHAnsi" w:cstheme="minorHAnsi"/>
                      <w:color w:val="333132"/>
                    </w:rPr>
                  </w:pPr>
                  <w:r w:rsidRPr="0063745C">
                    <w:rPr>
                      <w:rFonts w:asciiTheme="minorHAnsi" w:hAnsiTheme="minorHAnsi" w:cstheme="minorHAnsi"/>
                      <w:color w:val="333132"/>
                    </w:rPr>
                    <w:t> </w:t>
                  </w:r>
                </w:p>
              </w:tc>
              <w:tc>
                <w:tcPr>
                  <w:tcW w:w="6283" w:type="dxa"/>
                  <w:shd w:val="clear" w:color="auto" w:fill="5C5C5C"/>
                  <w:tcMar>
                    <w:top w:w="120" w:type="dxa"/>
                    <w:left w:w="0" w:type="dxa"/>
                    <w:bottom w:w="120" w:type="dxa"/>
                    <w:right w:w="525" w:type="dxa"/>
                  </w:tcMar>
                  <w:vAlign w:val="center"/>
                  <w:hideMark/>
                </w:tcPr>
                <w:p w:rsidR="00F0412B" w:rsidRPr="0063745C" w:rsidRDefault="00F0412B" w:rsidP="00C600AD">
                  <w:pPr>
                    <w:jc w:val="right"/>
                    <w:rPr>
                      <w:rFonts w:asciiTheme="minorHAnsi" w:hAnsiTheme="minorHAnsi" w:cstheme="minorHAnsi"/>
                      <w:color w:val="333132"/>
                    </w:rPr>
                  </w:pPr>
                  <w:r w:rsidRPr="0063745C">
                    <w:rPr>
                      <w:rFonts w:asciiTheme="minorHAnsi" w:hAnsiTheme="minorHAnsi" w:cstheme="minorHAnsi"/>
                      <w:noProof/>
                      <w:color w:val="333132"/>
                    </w:rPr>
                    <w:drawing>
                      <wp:inline distT="0" distB="0" distL="0" distR="0" wp14:anchorId="6CEFD90C" wp14:editId="48669CFE">
                        <wp:extent cx="1895475" cy="647700"/>
                        <wp:effectExtent l="0" t="0" r="0" b="0"/>
                        <wp:docPr id="94" name="Picture 94"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pect, Integrity, Collaboration and Innovation, the ACTPS Values and Signature Behaivour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tc>
            </w:tr>
          </w:tbl>
          <w:p w:rsidR="00F0412B" w:rsidRPr="0063745C" w:rsidRDefault="00F0412B" w:rsidP="00C600AD">
            <w:pPr>
              <w:jc w:val="center"/>
              <w:rPr>
                <w:rFonts w:asciiTheme="minorHAnsi" w:eastAsia="Times New Roman" w:hAnsiTheme="minorHAnsi" w:cstheme="minorHAnsi"/>
                <w:sz w:val="20"/>
                <w:szCs w:val="20"/>
                <w:lang w:eastAsia="en-AU"/>
              </w:rPr>
            </w:pPr>
          </w:p>
        </w:tc>
      </w:tr>
      <w:tr w:rsidR="00F0412B" w:rsidRPr="0063745C" w:rsidTr="00C600AD">
        <w:trPr>
          <w:trHeight w:val="60"/>
          <w:tblCellSpacing w:w="0" w:type="dxa"/>
          <w:jc w:val="center"/>
        </w:trPr>
        <w:tc>
          <w:tcPr>
            <w:tcW w:w="10488" w:type="dxa"/>
            <w:shd w:val="clear" w:color="auto" w:fill="5C5C5C"/>
            <w:vAlign w:val="center"/>
          </w:tcPr>
          <w:p w:rsidR="00F0412B" w:rsidRPr="0063745C" w:rsidRDefault="00F0412B" w:rsidP="00C600AD">
            <w:pPr>
              <w:rPr>
                <w:rFonts w:asciiTheme="minorHAnsi" w:hAnsiTheme="minorHAnsi" w:cstheme="minorHAnsi"/>
                <w:color w:val="333132"/>
              </w:rPr>
            </w:pPr>
          </w:p>
        </w:tc>
      </w:tr>
    </w:tbl>
    <w:p w:rsidR="001C49DD" w:rsidRPr="0063745C" w:rsidRDefault="001C49DD">
      <w:pPr>
        <w:rPr>
          <w:rFonts w:asciiTheme="minorHAnsi" w:hAnsiTheme="minorHAnsi" w:cstheme="minorHAnsi"/>
        </w:rPr>
      </w:pPr>
    </w:p>
    <w:sectPr w:rsidR="001C49DD" w:rsidRPr="00637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D616950"/>
    <w:multiLevelType w:val="multilevel"/>
    <w:tmpl w:val="C9A2C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F118C"/>
    <w:multiLevelType w:val="multilevel"/>
    <w:tmpl w:val="C03A2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D54059"/>
    <w:multiLevelType w:val="multilevel"/>
    <w:tmpl w:val="B06E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2A865BC"/>
    <w:multiLevelType w:val="multilevel"/>
    <w:tmpl w:val="67DA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2B"/>
    <w:rsid w:val="00080AC7"/>
    <w:rsid w:val="000E3B4F"/>
    <w:rsid w:val="00121500"/>
    <w:rsid w:val="001C49DD"/>
    <w:rsid w:val="001E4B11"/>
    <w:rsid w:val="00380DFB"/>
    <w:rsid w:val="003B5DDA"/>
    <w:rsid w:val="003F7DBA"/>
    <w:rsid w:val="0063745C"/>
    <w:rsid w:val="00694CF8"/>
    <w:rsid w:val="007A1861"/>
    <w:rsid w:val="00A5783B"/>
    <w:rsid w:val="00C56661"/>
    <w:rsid w:val="00F04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8C60"/>
  <w15:chartTrackingRefBased/>
  <w15:docId w15:val="{62567ED0-DA73-4DB8-B235-14CE9221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12B"/>
    <w:rPr>
      <w:color w:val="0563C1"/>
      <w:u w:val="single"/>
    </w:rPr>
  </w:style>
  <w:style w:type="paragraph" w:styleId="NormalWeb">
    <w:name w:val="Normal (Web)"/>
    <w:basedOn w:val="Normal"/>
    <w:uiPriority w:val="99"/>
    <w:semiHidden/>
    <w:unhideWhenUsed/>
    <w:rsid w:val="00F0412B"/>
    <w:pPr>
      <w:spacing w:before="100" w:beforeAutospacing="1" w:after="100" w:afterAutospacing="1"/>
    </w:pPr>
    <w:rPr>
      <w:lang w:eastAsia="en-AU"/>
    </w:rPr>
  </w:style>
  <w:style w:type="paragraph" w:styleId="NoSpacing">
    <w:name w:val="No Spacing"/>
    <w:basedOn w:val="Normal"/>
    <w:uiPriority w:val="1"/>
    <w:qFormat/>
    <w:rsid w:val="00F0412B"/>
  </w:style>
  <w:style w:type="paragraph" w:styleId="BalloonText">
    <w:name w:val="Balloon Text"/>
    <w:basedOn w:val="Normal"/>
    <w:link w:val="BalloonTextChar"/>
    <w:uiPriority w:val="99"/>
    <w:semiHidden/>
    <w:unhideWhenUsed/>
    <w:rsid w:val="00080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5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3441.ED572C00" TargetMode="External"/><Relationship Id="rId13" Type="http://schemas.openxmlformats.org/officeDocument/2006/relationships/hyperlink" Target="https://www.legislation.nsw.gov.au/" TargetMode="External"/><Relationship Id="rId18" Type="http://schemas.openxmlformats.org/officeDocument/2006/relationships/hyperlink" Target="https://www.education.act.gov.au/early-childhood/information-for-businesses-and-employees/careers-and-training" TargetMode="External"/><Relationship Id="rId26" Type="http://schemas.openxmlformats.org/officeDocument/2006/relationships/hyperlink" Target="mailto:CECA@ACT.gov.au" TargetMode="External"/><Relationship Id="rId3" Type="http://schemas.openxmlformats.org/officeDocument/2006/relationships/settings" Target="settings.xml"/><Relationship Id="rId21" Type="http://schemas.openxmlformats.org/officeDocument/2006/relationships/hyperlink" Target="https://www.acecqa.gov.au/sites/default/files/2019-05/Infosheet-evidenceforwaiverapplications.pdf" TargetMode="External"/><Relationship Id="rId7" Type="http://schemas.openxmlformats.org/officeDocument/2006/relationships/image" Target="media/image2.jpeg"/><Relationship Id="rId12" Type="http://schemas.openxmlformats.org/officeDocument/2006/relationships/hyperlink" Target="http://www.legislation.nsw.gov.au/" TargetMode="External"/><Relationship Id="rId17" Type="http://schemas.openxmlformats.org/officeDocument/2006/relationships/hyperlink" Target="http://www.legislation.nsw.gov.au/" TargetMode="External"/><Relationship Id="rId25" Type="http://schemas.openxmlformats.org/officeDocument/2006/relationships/hyperlink" Target="https://childsafe.humanrights.gov.au/learning-hub/about-our-training-resources" TargetMode="External"/><Relationship Id="rId2" Type="http://schemas.openxmlformats.org/officeDocument/2006/relationships/styles" Target="styles.xml"/><Relationship Id="rId16" Type="http://schemas.openxmlformats.org/officeDocument/2006/relationships/image" Target="cid:image002.jpg@01D5B749.42A19900" TargetMode="External"/><Relationship Id="rId20" Type="http://schemas.openxmlformats.org/officeDocument/2006/relationships/hyperlink" Target="https://www.acecqa.gov.au/qualification-requirements/additional-staffing-requirement-1-january-2020"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cid:image001.gif@01D63441.ED572C00" TargetMode="External"/><Relationship Id="rId11" Type="http://schemas.openxmlformats.org/officeDocument/2006/relationships/hyperlink" Target="https://aus01.safelinks.protection.outlook.com/?url=https%3A%2F%2Fqualityassessmentandregulationdivision.cmail19.com%2Ft%2Fd-l-xjtddik-jihyldudku-s%2F&amp;data=02%7C01%7C%7C825cc86a78fe47c4c49608d75fdb21b7%7Cb46c190803344236b978585ee88e4199%7C0%7C0%7C637083267082278425&amp;sdata=nia5eV7S64nzwSt7q3mJa4a0qEMGoSMnOT6TbS9Ezeg%3D&amp;reserved=0" TargetMode="External"/><Relationship Id="rId24" Type="http://schemas.openxmlformats.org/officeDocument/2006/relationships/image" Target="cid:image003.jpg@01D5B749.42A19900" TargetMode="External"/><Relationship Id="rId5" Type="http://schemas.openxmlformats.org/officeDocument/2006/relationships/image" Target="media/image1.gif"/><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image" Target="media/image5.png"/><Relationship Id="rId10" Type="http://schemas.openxmlformats.org/officeDocument/2006/relationships/hyperlink" Target="https://www.acecqa.gov.au/resources/national-quality-agenda-it-system" TargetMode="External"/><Relationship Id="rId19" Type="http://schemas.openxmlformats.org/officeDocument/2006/relationships/hyperlink" Target="https://www.legislation.nsw.gov.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ecqa.gov.au/nqf/national-law-regulations/national-regulations" TargetMode="External"/><Relationship Id="rId14" Type="http://schemas.openxmlformats.org/officeDocument/2006/relationships/hyperlink" Target="https://www.acecqa.gov.au/resources/national-quality-agenda-it-system" TargetMode="External"/><Relationship Id="rId22" Type="http://schemas.openxmlformats.org/officeDocument/2006/relationships/hyperlink" Target="https://www.youtube.com/watch?time_continue=315&amp;v=gIu0mSdmYYo&amp;feature=emb_logo" TargetMode="External"/><Relationship Id="rId27" Type="http://schemas.openxmlformats.org/officeDocument/2006/relationships/hyperlink" Target="https://www.facebook.com/CECAA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Wang, Zhenxing</cp:lastModifiedBy>
  <cp:revision>1</cp:revision>
  <dcterms:created xsi:type="dcterms:W3CDTF">2020-11-20T05:18:00Z</dcterms:created>
  <dcterms:modified xsi:type="dcterms:W3CDTF">2020-11-20T05:18:00Z</dcterms:modified>
</cp:coreProperties>
</file>