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BFEB" w14:textId="77777777" w:rsidR="00930D0D" w:rsidRPr="00660D7B" w:rsidRDefault="00930D0D" w:rsidP="00930D0D">
      <w:pPr>
        <w:rPr>
          <w:rFonts w:asciiTheme="minorHAnsi" w:hAnsiTheme="minorHAnsi" w:cstheme="minorHAnsi"/>
        </w:rPr>
      </w:pPr>
      <w:bookmarkStart w:id="0" w:name="_MailEndCompose"/>
    </w:p>
    <w:p w14:paraId="5DF65F3B" w14:textId="77777777" w:rsidR="00930D0D" w:rsidRPr="00660D7B" w:rsidRDefault="00930D0D" w:rsidP="00930D0D">
      <w:pPr>
        <w:rPr>
          <w:rFonts w:asciiTheme="minorHAnsi" w:hAnsiTheme="minorHAnsi" w:cstheme="minorHAnsi"/>
        </w:rPr>
      </w:pPr>
      <w:bookmarkStart w:id="1" w:name="_MailOriginal"/>
      <w:bookmarkEnd w:id="0"/>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3336"/>
        <w:gridCol w:w="3281"/>
        <w:gridCol w:w="4243"/>
      </w:tblGrid>
      <w:tr w:rsidR="009F52DC" w:rsidRPr="00660D7B" w14:paraId="711F5976" w14:textId="77777777" w:rsidTr="00930D0D">
        <w:trPr>
          <w:tblCellSpacing w:w="0" w:type="dxa"/>
          <w:jc w:val="center"/>
        </w:trPr>
        <w:tc>
          <w:tcPr>
            <w:tcW w:w="3255" w:type="dxa"/>
            <w:shd w:val="clear" w:color="auto" w:fill="5C5C5C"/>
            <w:tcMar>
              <w:top w:w="225" w:type="dxa"/>
              <w:left w:w="465" w:type="dxa"/>
              <w:bottom w:w="225" w:type="dxa"/>
              <w:right w:w="0" w:type="dxa"/>
            </w:tcMar>
            <w:vAlign w:val="center"/>
            <w:hideMark/>
          </w:tcPr>
          <w:p w14:paraId="4FB03180" w14:textId="77777777" w:rsidR="00930D0D" w:rsidRPr="00660D7B" w:rsidRDefault="00930D0D">
            <w:pPr>
              <w:rPr>
                <w:rFonts w:asciiTheme="minorHAnsi" w:hAnsiTheme="minorHAnsi" w:cstheme="minorHAnsi"/>
              </w:rPr>
            </w:pPr>
          </w:p>
        </w:tc>
        <w:tc>
          <w:tcPr>
            <w:tcW w:w="2970" w:type="dxa"/>
            <w:shd w:val="clear" w:color="auto" w:fill="5C5C5C"/>
            <w:tcMar>
              <w:top w:w="225" w:type="dxa"/>
              <w:left w:w="645" w:type="dxa"/>
              <w:bottom w:w="225" w:type="dxa"/>
              <w:right w:w="0" w:type="dxa"/>
            </w:tcMar>
            <w:vAlign w:val="center"/>
            <w:hideMark/>
          </w:tcPr>
          <w:p w14:paraId="3567D7E3" w14:textId="77777777" w:rsidR="00930D0D" w:rsidRPr="00660D7B" w:rsidRDefault="00930D0D">
            <w:pPr>
              <w:rPr>
                <w:rFonts w:asciiTheme="minorHAnsi" w:hAnsiTheme="minorHAnsi" w:cstheme="minorHAnsi"/>
                <w:color w:val="333132"/>
              </w:rPr>
            </w:pPr>
            <w:r w:rsidRPr="00660D7B">
              <w:rPr>
                <w:rFonts w:asciiTheme="minorHAnsi" w:hAnsiTheme="minorHAnsi" w:cstheme="minorHAnsi"/>
                <w:color w:val="333132"/>
              </w:rPr>
              <w:t> </w:t>
            </w:r>
          </w:p>
        </w:tc>
        <w:tc>
          <w:tcPr>
            <w:tcW w:w="4035" w:type="dxa"/>
            <w:shd w:val="clear" w:color="auto" w:fill="5C5C5C"/>
            <w:tcMar>
              <w:top w:w="225" w:type="dxa"/>
              <w:left w:w="0" w:type="dxa"/>
              <w:bottom w:w="225" w:type="dxa"/>
              <w:right w:w="375" w:type="dxa"/>
            </w:tcMar>
            <w:vAlign w:val="center"/>
            <w:hideMark/>
          </w:tcPr>
          <w:p w14:paraId="6BD1F7E1" w14:textId="77777777" w:rsidR="00930D0D" w:rsidRPr="00660D7B" w:rsidRDefault="00930D0D">
            <w:pPr>
              <w:pStyle w:val="NormalWeb"/>
              <w:jc w:val="right"/>
              <w:rPr>
                <w:rFonts w:asciiTheme="minorHAnsi" w:hAnsiTheme="minorHAnsi" w:cstheme="minorHAnsi"/>
                <w:color w:val="FFFFFF"/>
                <w:sz w:val="20"/>
                <w:szCs w:val="20"/>
              </w:rPr>
            </w:pPr>
            <w:r w:rsidRPr="00660D7B">
              <w:rPr>
                <w:rFonts w:asciiTheme="minorHAnsi" w:hAnsiTheme="minorHAnsi" w:cstheme="minorHAnsi"/>
                <w:noProof/>
              </w:rPr>
              <mc:AlternateContent>
                <mc:Choice Requires="wps">
                  <w:drawing>
                    <wp:inline distT="0" distB="0" distL="0" distR="0" wp14:anchorId="6F4F871E" wp14:editId="58FF7EDC">
                      <wp:extent cx="205740" cy="198120"/>
                      <wp:effectExtent l="3810" t="0" r="0" b="4445"/>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9F2BD" id="AutoShape 1" o:spid="_x0000_s1026" style="width:16.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Wxsw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" filled="f" stroked="f">
                      <o:lock v:ext="edit" aspectratio="t"/>
                      <w10:anchorlock/>
                    </v:rect>
                  </w:pict>
                </mc:Fallback>
              </mc:AlternateContent>
            </w:r>
            <w:r w:rsidRPr="00660D7B">
              <w:rPr>
                <w:rFonts w:asciiTheme="minorHAnsi" w:hAnsiTheme="minorHAnsi" w:cstheme="minorHAnsi"/>
                <w:noProof/>
              </w:rPr>
              <mc:AlternateContent>
                <mc:Choice Requires="wps">
                  <w:drawing>
                    <wp:inline distT="0" distB="0" distL="0" distR="0" wp14:anchorId="5CB2AC97" wp14:editId="4D94018F">
                      <wp:extent cx="205740" cy="198120"/>
                      <wp:effectExtent l="3810" t="0" r="0" b="4445"/>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2F727" id="AutoShape 2" o:spid="_x0000_s1026" style="width:16.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" filled="f" stroked="f">
                      <o:lock v:ext="edit" aspectratio="t"/>
                      <w10:anchorlock/>
                    </v:rect>
                  </w:pict>
                </mc:Fallback>
              </mc:AlternateContent>
            </w:r>
            <w:r w:rsidRPr="00660D7B">
              <w:rPr>
                <w:rFonts w:asciiTheme="minorHAnsi" w:hAnsiTheme="minorHAnsi" w:cstheme="minorHAnsi"/>
                <w:noProof/>
              </w:rPr>
              <mc:AlternateContent>
                <mc:Choice Requires="wps">
                  <w:drawing>
                    <wp:inline distT="0" distB="0" distL="0" distR="0" wp14:anchorId="420CA995" wp14:editId="7AD2A2C6">
                      <wp:extent cx="205740" cy="198120"/>
                      <wp:effectExtent l="3810" t="0" r="0" b="4445"/>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647E3" id="AutoShape 3" o:spid="_x0000_s1026" style="width:16.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" filled="f" stroked="f">
                      <o:lock v:ext="edit" aspectratio="t"/>
                      <w10:anchorlock/>
                    </v:rect>
                  </w:pict>
                </mc:Fallback>
              </mc:AlternateContent>
            </w:r>
          </w:p>
        </w:tc>
      </w:tr>
      <w:tr w:rsidR="00930D0D" w:rsidRPr="00660D7B" w14:paraId="60AEF637" w14:textId="77777777" w:rsidTr="00930D0D">
        <w:trPr>
          <w:tblCellSpacing w:w="0" w:type="dxa"/>
          <w:jc w:val="center"/>
        </w:trPr>
        <w:tc>
          <w:tcPr>
            <w:tcW w:w="0" w:type="auto"/>
            <w:gridSpan w:val="3"/>
            <w:shd w:val="clear" w:color="auto" w:fill="342682"/>
            <w:vAlign w:val="center"/>
            <w:hideMark/>
          </w:tcPr>
          <w:p w14:paraId="5AB80544" w14:textId="77777777" w:rsidR="00930D0D" w:rsidRPr="00660D7B" w:rsidRDefault="00930D0D">
            <w:pPr>
              <w:rPr>
                <w:rFonts w:asciiTheme="minorHAnsi" w:hAnsiTheme="minorHAnsi" w:cstheme="minorHAnsi"/>
                <w:color w:val="333132"/>
              </w:rPr>
            </w:pPr>
            <w:r w:rsidRPr="00660D7B">
              <w:rPr>
                <w:rFonts w:asciiTheme="minorHAnsi" w:hAnsiTheme="minorHAnsi" w:cstheme="minorHAnsi"/>
                <w:noProof/>
                <w:color w:val="333132"/>
              </w:rPr>
              <w:drawing>
                <wp:inline distT="0" distB="0" distL="0" distR="0" wp14:anchorId="7DBB8A79" wp14:editId="1EBC509A">
                  <wp:extent cx="6896100" cy="1970423"/>
                  <wp:effectExtent l="0" t="0" r="0" b="0"/>
                  <wp:docPr id="3" name="Picture 3"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Aler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61533" cy="1989119"/>
                          </a:xfrm>
                          <a:prstGeom prst="rect">
                            <a:avLst/>
                          </a:prstGeom>
                          <a:noFill/>
                          <a:ln>
                            <a:noFill/>
                          </a:ln>
                        </pic:spPr>
                      </pic:pic>
                    </a:graphicData>
                  </a:graphic>
                </wp:inline>
              </w:drawing>
            </w:r>
          </w:p>
        </w:tc>
      </w:tr>
      <w:tr w:rsidR="00930D0D" w:rsidRPr="00660D7B" w14:paraId="79ECBAF3" w14:textId="77777777" w:rsidTr="00AC3D81">
        <w:trPr>
          <w:trHeight w:val="1260"/>
          <w:tblCellSpacing w:w="0" w:type="dxa"/>
          <w:jc w:val="center"/>
        </w:trPr>
        <w:tc>
          <w:tcPr>
            <w:tcW w:w="0" w:type="auto"/>
            <w:gridSpan w:val="3"/>
            <w:shd w:val="clear" w:color="auto" w:fill="F2F2F2"/>
            <w:tcMar>
              <w:top w:w="300" w:type="dxa"/>
              <w:left w:w="750" w:type="dxa"/>
              <w:bottom w:w="375" w:type="dxa"/>
              <w:right w:w="630" w:type="dxa"/>
            </w:tcMar>
            <w:vAlign w:val="center"/>
          </w:tcPr>
          <w:p w14:paraId="4112CD27" w14:textId="76F85E5B" w:rsidR="009B1944" w:rsidRPr="00660D7B" w:rsidRDefault="00930D0D" w:rsidP="00192DED">
            <w:pPr>
              <w:spacing w:before="150" w:after="240" w:line="300" w:lineRule="exact"/>
              <w:jc w:val="center"/>
              <w:rPr>
                <w:rFonts w:asciiTheme="minorHAnsi" w:hAnsiTheme="minorHAnsi" w:cstheme="minorHAnsi"/>
                <w:i/>
                <w:iCs/>
                <w:color w:val="222222"/>
                <w:sz w:val="20"/>
                <w:szCs w:val="20"/>
                <w:lang w:eastAsia="en-AU"/>
              </w:rPr>
            </w:pPr>
            <w:r w:rsidRPr="00660D7B">
              <w:rPr>
                <w:rFonts w:asciiTheme="minorHAnsi" w:eastAsia="Times New Roman" w:hAnsiTheme="minorHAnsi" w:cstheme="minorHAnsi"/>
                <w:color w:val="333132"/>
              </w:rPr>
              <w:t xml:space="preserve"> </w:t>
            </w:r>
            <w:r w:rsidR="009B1944" w:rsidRPr="00660D7B">
              <w:rPr>
                <w:rFonts w:asciiTheme="minorHAnsi" w:hAnsiTheme="minorHAnsi" w:cstheme="minorHAnsi"/>
                <w:i/>
                <w:iCs/>
                <w:color w:val="222222"/>
                <w:sz w:val="20"/>
                <w:szCs w:val="20"/>
                <w:lang w:eastAsia="en-AU"/>
              </w:rPr>
              <w:t>The Children’s Education and Care Assurance Update links professionals, providers and educators with news, resources and information that supports quality outcomes for children in ACT education and care services</w:t>
            </w:r>
          </w:p>
          <w:p w14:paraId="42D26C51" w14:textId="61A374A1" w:rsidR="006736AC" w:rsidRPr="00660D7B" w:rsidRDefault="00B059AF" w:rsidP="00AC3D81">
            <w:pPr>
              <w:spacing w:before="150" w:after="240" w:line="300" w:lineRule="exact"/>
              <w:rPr>
                <w:rFonts w:asciiTheme="minorHAnsi" w:hAnsiTheme="minorHAnsi" w:cstheme="minorHAnsi"/>
                <w:color w:val="222222"/>
                <w:sz w:val="24"/>
                <w:szCs w:val="24"/>
                <w:lang w:eastAsia="en-AU"/>
              </w:rPr>
            </w:pPr>
            <w:r w:rsidRPr="00660D7B">
              <w:rPr>
                <w:rFonts w:asciiTheme="minorHAnsi" w:hAnsiTheme="minorHAnsi" w:cstheme="minorHAnsi"/>
                <w:color w:val="222222"/>
                <w:sz w:val="24"/>
                <w:szCs w:val="24"/>
                <w:lang w:eastAsia="en-AU"/>
              </w:rPr>
              <w:t>1</w:t>
            </w:r>
            <w:r w:rsidR="004A4F25">
              <w:rPr>
                <w:rFonts w:asciiTheme="minorHAnsi" w:hAnsiTheme="minorHAnsi" w:cstheme="minorHAnsi"/>
                <w:color w:val="222222"/>
                <w:sz w:val="24"/>
                <w:szCs w:val="24"/>
                <w:lang w:eastAsia="en-AU"/>
              </w:rPr>
              <w:t>9</w:t>
            </w:r>
            <w:r w:rsidR="00695A27" w:rsidRPr="00660D7B">
              <w:rPr>
                <w:rFonts w:asciiTheme="minorHAnsi" w:hAnsiTheme="minorHAnsi" w:cstheme="minorHAnsi"/>
                <w:color w:val="222222"/>
                <w:sz w:val="24"/>
                <w:szCs w:val="24"/>
                <w:lang w:eastAsia="en-AU"/>
              </w:rPr>
              <w:t xml:space="preserve"> </w:t>
            </w:r>
            <w:r w:rsidR="003B4525" w:rsidRPr="00660D7B">
              <w:rPr>
                <w:rFonts w:asciiTheme="minorHAnsi" w:hAnsiTheme="minorHAnsi" w:cstheme="minorHAnsi"/>
                <w:color w:val="222222"/>
                <w:sz w:val="24"/>
                <w:szCs w:val="24"/>
                <w:lang w:eastAsia="en-AU"/>
              </w:rPr>
              <w:t xml:space="preserve">March </w:t>
            </w:r>
            <w:r w:rsidR="00272047" w:rsidRPr="00660D7B">
              <w:rPr>
                <w:rFonts w:asciiTheme="minorHAnsi" w:hAnsiTheme="minorHAnsi" w:cstheme="minorHAnsi"/>
                <w:color w:val="222222"/>
                <w:sz w:val="24"/>
                <w:szCs w:val="24"/>
                <w:lang w:eastAsia="en-AU"/>
              </w:rPr>
              <w:t>2021</w:t>
            </w:r>
          </w:p>
          <w:p w14:paraId="20EDDEFC" w14:textId="61B85CB4" w:rsidR="00983A17" w:rsidRPr="00660D7B" w:rsidRDefault="00983A17" w:rsidP="00D76764">
            <w:pPr>
              <w:spacing w:after="240"/>
              <w:rPr>
                <w:rFonts w:asciiTheme="minorHAnsi" w:hAnsiTheme="minorHAnsi" w:cstheme="minorHAnsi"/>
                <w:b/>
                <w:bCs/>
                <w:color w:val="000000"/>
                <w:sz w:val="28"/>
                <w:szCs w:val="28"/>
                <w:lang w:eastAsia="en-AU"/>
              </w:rPr>
            </w:pPr>
            <w:r w:rsidRPr="00660D7B">
              <w:rPr>
                <w:rFonts w:asciiTheme="minorHAnsi" w:hAnsiTheme="minorHAnsi" w:cstheme="minorHAnsi"/>
                <w:b/>
                <w:bCs/>
                <w:color w:val="000000"/>
                <w:sz w:val="28"/>
                <w:szCs w:val="28"/>
                <w:lang w:eastAsia="en-AU"/>
              </w:rPr>
              <w:t>N</w:t>
            </w:r>
            <w:r w:rsidR="004130C0" w:rsidRPr="00660D7B">
              <w:rPr>
                <w:rFonts w:asciiTheme="minorHAnsi" w:hAnsiTheme="minorHAnsi" w:cstheme="minorHAnsi"/>
                <w:b/>
                <w:bCs/>
                <w:color w:val="000000"/>
                <w:sz w:val="28"/>
                <w:szCs w:val="28"/>
                <w:lang w:eastAsia="en-AU"/>
              </w:rPr>
              <w:t xml:space="preserve">ational </w:t>
            </w:r>
            <w:r w:rsidRPr="00660D7B">
              <w:rPr>
                <w:rFonts w:asciiTheme="minorHAnsi" w:hAnsiTheme="minorHAnsi" w:cstheme="minorHAnsi"/>
                <w:b/>
                <w:bCs/>
                <w:color w:val="000000"/>
                <w:sz w:val="28"/>
                <w:szCs w:val="28"/>
                <w:lang w:eastAsia="en-AU"/>
              </w:rPr>
              <w:t>Q</w:t>
            </w:r>
            <w:r w:rsidR="004130C0" w:rsidRPr="00660D7B">
              <w:rPr>
                <w:rFonts w:asciiTheme="minorHAnsi" w:hAnsiTheme="minorHAnsi" w:cstheme="minorHAnsi"/>
                <w:b/>
                <w:bCs/>
                <w:color w:val="000000"/>
                <w:sz w:val="28"/>
                <w:szCs w:val="28"/>
                <w:lang w:eastAsia="en-AU"/>
              </w:rPr>
              <w:t xml:space="preserve">uality </w:t>
            </w:r>
            <w:r w:rsidRPr="00660D7B">
              <w:rPr>
                <w:rFonts w:asciiTheme="minorHAnsi" w:hAnsiTheme="minorHAnsi" w:cstheme="minorHAnsi"/>
                <w:b/>
                <w:bCs/>
                <w:color w:val="000000"/>
                <w:sz w:val="28"/>
                <w:szCs w:val="28"/>
                <w:lang w:eastAsia="en-AU"/>
              </w:rPr>
              <w:t>F</w:t>
            </w:r>
            <w:r w:rsidR="004130C0" w:rsidRPr="00660D7B">
              <w:rPr>
                <w:rFonts w:asciiTheme="minorHAnsi" w:hAnsiTheme="minorHAnsi" w:cstheme="minorHAnsi"/>
                <w:b/>
                <w:bCs/>
                <w:color w:val="000000"/>
                <w:sz w:val="28"/>
                <w:szCs w:val="28"/>
                <w:lang w:eastAsia="en-AU"/>
              </w:rPr>
              <w:t>ramework</w:t>
            </w:r>
            <w:r w:rsidRPr="00660D7B">
              <w:rPr>
                <w:rFonts w:asciiTheme="minorHAnsi" w:hAnsiTheme="minorHAnsi" w:cstheme="minorHAnsi"/>
                <w:b/>
                <w:bCs/>
                <w:color w:val="000000"/>
                <w:sz w:val="28"/>
                <w:szCs w:val="28"/>
                <w:lang w:eastAsia="en-AU"/>
              </w:rPr>
              <w:t xml:space="preserve"> </w:t>
            </w:r>
            <w:r w:rsidR="00BA4F7C" w:rsidRPr="00660D7B">
              <w:rPr>
                <w:rFonts w:asciiTheme="minorHAnsi" w:hAnsiTheme="minorHAnsi" w:cstheme="minorHAnsi"/>
                <w:b/>
                <w:bCs/>
                <w:color w:val="000000"/>
                <w:sz w:val="28"/>
                <w:szCs w:val="28"/>
                <w:lang w:eastAsia="en-AU"/>
              </w:rPr>
              <w:t>R</w:t>
            </w:r>
            <w:r w:rsidRPr="00660D7B">
              <w:rPr>
                <w:rFonts w:asciiTheme="minorHAnsi" w:hAnsiTheme="minorHAnsi" w:cstheme="minorHAnsi"/>
                <w:b/>
                <w:bCs/>
                <w:color w:val="000000"/>
                <w:sz w:val="28"/>
                <w:szCs w:val="28"/>
                <w:lang w:eastAsia="en-AU"/>
              </w:rPr>
              <w:t xml:space="preserve">eview </w:t>
            </w:r>
            <w:r w:rsidR="00D034A1" w:rsidRPr="00660D7B">
              <w:rPr>
                <w:rFonts w:asciiTheme="minorHAnsi" w:hAnsiTheme="minorHAnsi" w:cstheme="minorHAnsi"/>
                <w:b/>
                <w:bCs/>
                <w:color w:val="000000"/>
                <w:sz w:val="28"/>
                <w:szCs w:val="28"/>
                <w:lang w:eastAsia="en-AU"/>
              </w:rPr>
              <w:t>Information Session</w:t>
            </w:r>
          </w:p>
          <w:p w14:paraId="4BEB6725" w14:textId="3294D578" w:rsidR="0091405E" w:rsidRDefault="0091405E" w:rsidP="0091405E">
            <w:pPr>
              <w:spacing w:after="240"/>
              <w:jc w:val="center"/>
              <w:rPr>
                <w:rFonts w:asciiTheme="minorHAnsi" w:eastAsia="Times New Roman" w:hAnsiTheme="minorHAnsi" w:cstheme="minorHAnsi"/>
                <w:color w:val="000000"/>
                <w:lang w:eastAsia="en-AU"/>
              </w:rPr>
            </w:pPr>
            <w:r w:rsidRPr="00660D7B">
              <w:rPr>
                <w:rFonts w:asciiTheme="minorHAnsi" w:hAnsiTheme="minorHAnsi" w:cstheme="minorHAnsi"/>
                <w:noProof/>
                <w:lang w:eastAsia="en-AU"/>
              </w:rPr>
              <w:drawing>
                <wp:inline distT="0" distB="0" distL="0" distR="0" wp14:anchorId="12CE2581" wp14:editId="36CD0FDE">
                  <wp:extent cx="3657600" cy="1635470"/>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9705" cy="1672183"/>
                          </a:xfrm>
                          <a:prstGeom prst="rect">
                            <a:avLst/>
                          </a:prstGeom>
                          <a:noFill/>
                          <a:ln>
                            <a:noFill/>
                          </a:ln>
                        </pic:spPr>
                      </pic:pic>
                    </a:graphicData>
                  </a:graphic>
                </wp:inline>
              </w:drawing>
            </w:r>
          </w:p>
          <w:p w14:paraId="7D81165A" w14:textId="07615C96" w:rsidR="0091405E" w:rsidRDefault="003E7E5A" w:rsidP="004130C0">
            <w:pPr>
              <w:spacing w:after="240"/>
              <w:rPr>
                <w:rFonts w:asciiTheme="minorHAnsi" w:eastAsia="Times New Roman" w:hAnsiTheme="minorHAnsi" w:cstheme="minorHAnsi"/>
                <w:color w:val="000000"/>
                <w:lang w:eastAsia="en-AU"/>
              </w:rPr>
            </w:pPr>
            <w:r w:rsidRPr="003E7E5A">
              <w:rPr>
                <w:rFonts w:asciiTheme="minorHAnsi" w:eastAsia="Times New Roman" w:hAnsiTheme="minorHAnsi" w:cstheme="minorHAnsi"/>
                <w:color w:val="000000"/>
                <w:lang w:eastAsia="en-AU"/>
              </w:rPr>
              <w:t>ACT providers, service leaders, educators and families are invited to have your say on the National Quality Framework (NQF) Review.</w:t>
            </w:r>
          </w:p>
          <w:p w14:paraId="00754197" w14:textId="7858B0BC" w:rsidR="00D034A1" w:rsidRPr="0091405E" w:rsidRDefault="00695A27" w:rsidP="004130C0">
            <w:pPr>
              <w:spacing w:after="240"/>
              <w:rPr>
                <w:rFonts w:asciiTheme="minorHAnsi" w:eastAsia="Times New Roman" w:hAnsiTheme="minorHAnsi" w:cstheme="minorHAnsi"/>
                <w:color w:val="000000"/>
                <w:u w:val="single"/>
                <w:lang w:eastAsia="en-AU"/>
              </w:rPr>
            </w:pPr>
            <w:r w:rsidRPr="00660D7B">
              <w:rPr>
                <w:rFonts w:asciiTheme="minorHAnsi" w:eastAsia="Times New Roman" w:hAnsiTheme="minorHAnsi" w:cstheme="minorHAnsi"/>
                <w:b/>
                <w:bCs/>
                <w:color w:val="000000"/>
                <w:lang w:eastAsia="en-AU"/>
              </w:rPr>
              <w:t>L</w:t>
            </w:r>
            <w:r w:rsidRPr="00660D7B">
              <w:rPr>
                <w:rFonts w:asciiTheme="minorHAnsi" w:hAnsiTheme="minorHAnsi" w:cstheme="minorHAnsi"/>
                <w:b/>
                <w:bCs/>
                <w:color w:val="000000"/>
              </w:rPr>
              <w:t xml:space="preserve">earn more </w:t>
            </w:r>
          </w:p>
          <w:p w14:paraId="24845BA2" w14:textId="408A417A" w:rsidR="00911A20" w:rsidRPr="00660D7B" w:rsidRDefault="004130C0" w:rsidP="00911A20">
            <w:pPr>
              <w:spacing w:after="240"/>
              <w:rPr>
                <w:rFonts w:asciiTheme="minorHAnsi" w:eastAsia="Times New Roman" w:hAnsiTheme="minorHAnsi" w:cstheme="minorHAnsi"/>
                <w:color w:val="000000"/>
                <w:lang w:eastAsia="en-AU"/>
              </w:rPr>
            </w:pPr>
            <w:r w:rsidRPr="00660D7B">
              <w:rPr>
                <w:rFonts w:asciiTheme="minorHAnsi" w:eastAsia="Times New Roman" w:hAnsiTheme="minorHAnsi" w:cstheme="minorHAnsi"/>
                <w:color w:val="000000"/>
                <w:lang w:eastAsia="en-AU"/>
              </w:rPr>
              <w:t>To learn more about the NQF Review, and how to have your say, including how you get your community involved visit ​</w:t>
            </w:r>
            <w:hyperlink r:id="rId12" w:history="1">
              <w:r w:rsidRPr="00660D7B">
                <w:rPr>
                  <w:rStyle w:val="Hyperlink"/>
                  <w:rFonts w:asciiTheme="minorHAnsi" w:eastAsia="Times New Roman" w:hAnsiTheme="minorHAnsi" w:cstheme="minorHAnsi"/>
                  <w:color w:val="0070C0"/>
                  <w:lang w:eastAsia="en-AU"/>
                </w:rPr>
                <w:t>https://www.nqfreview.com.au/</w:t>
              </w:r>
            </w:hyperlink>
            <w:r w:rsidRPr="00660D7B">
              <w:rPr>
                <w:rFonts w:asciiTheme="minorHAnsi" w:eastAsia="Times New Roman" w:hAnsiTheme="minorHAnsi" w:cstheme="minorHAnsi"/>
                <w:color w:val="000000"/>
                <w:lang w:eastAsia="en-AU"/>
              </w:rPr>
              <w:t>​</w:t>
            </w:r>
            <w:r w:rsidR="00911A20" w:rsidRPr="00660D7B">
              <w:rPr>
                <w:rFonts w:asciiTheme="minorHAnsi" w:eastAsia="Times New Roman" w:hAnsiTheme="minorHAnsi" w:cstheme="minorHAnsi"/>
                <w:color w:val="000000"/>
                <w:lang w:eastAsia="en-AU"/>
              </w:rPr>
              <w:t>.</w:t>
            </w:r>
            <w:r w:rsidRPr="00660D7B">
              <w:rPr>
                <w:rFonts w:asciiTheme="minorHAnsi" w:eastAsia="Times New Roman" w:hAnsiTheme="minorHAnsi" w:cstheme="minorHAnsi"/>
                <w:color w:val="000000"/>
                <w:lang w:eastAsia="en-AU"/>
              </w:rPr>
              <w:t> </w:t>
            </w:r>
            <w:r w:rsidR="00911A20" w:rsidRPr="00660D7B">
              <w:rPr>
                <w:rFonts w:asciiTheme="minorHAnsi" w:eastAsia="Times New Roman" w:hAnsiTheme="minorHAnsi" w:cstheme="minorHAnsi"/>
                <w:color w:val="000000"/>
                <w:lang w:eastAsia="en-AU"/>
              </w:rPr>
              <w:t>All feedback is valued, and the purpose of this consultation process is to seek a broad range of community views on the impacts the proposed options will have on the way the NQF operates across Australia.</w:t>
            </w:r>
          </w:p>
          <w:p w14:paraId="2C89785C" w14:textId="0E6C76A2" w:rsidR="00B10FE2" w:rsidRPr="00660D7B" w:rsidRDefault="00B10FE2" w:rsidP="001737DB">
            <w:pPr>
              <w:spacing w:after="240"/>
              <w:rPr>
                <w:rFonts w:asciiTheme="minorHAnsi" w:hAnsiTheme="minorHAnsi" w:cstheme="minorHAnsi"/>
                <w:b/>
                <w:bCs/>
                <w:color w:val="000000"/>
              </w:rPr>
            </w:pPr>
            <w:r w:rsidRPr="00660D7B">
              <w:rPr>
                <w:rFonts w:asciiTheme="minorHAnsi" w:eastAsia="Times New Roman" w:hAnsiTheme="minorHAnsi" w:cstheme="minorHAnsi"/>
                <w:b/>
                <w:bCs/>
                <w:color w:val="000000"/>
                <w:lang w:eastAsia="en-AU"/>
              </w:rPr>
              <w:t>N</w:t>
            </w:r>
            <w:r w:rsidRPr="00660D7B">
              <w:rPr>
                <w:rFonts w:asciiTheme="minorHAnsi" w:hAnsiTheme="minorHAnsi" w:cstheme="minorHAnsi"/>
                <w:b/>
                <w:bCs/>
                <w:color w:val="000000"/>
              </w:rPr>
              <w:t xml:space="preserve">QF Review </w:t>
            </w:r>
            <w:r w:rsidR="00695A27" w:rsidRPr="00660D7B">
              <w:rPr>
                <w:rFonts w:asciiTheme="minorHAnsi" w:hAnsiTheme="minorHAnsi" w:cstheme="minorHAnsi"/>
                <w:b/>
                <w:bCs/>
                <w:color w:val="000000"/>
              </w:rPr>
              <w:t>community r</w:t>
            </w:r>
            <w:r w:rsidRPr="00660D7B">
              <w:rPr>
                <w:rFonts w:asciiTheme="minorHAnsi" w:hAnsiTheme="minorHAnsi" w:cstheme="minorHAnsi"/>
                <w:b/>
                <w:bCs/>
                <w:color w:val="000000"/>
              </w:rPr>
              <w:t xml:space="preserve">esources </w:t>
            </w:r>
          </w:p>
          <w:p w14:paraId="5CC2BFDC" w14:textId="5E097990" w:rsidR="00535A81" w:rsidRPr="00660D7B" w:rsidRDefault="00535A81" w:rsidP="001737DB">
            <w:pPr>
              <w:spacing w:after="240"/>
              <w:rPr>
                <w:rFonts w:asciiTheme="minorHAnsi" w:eastAsia="Times New Roman" w:hAnsiTheme="minorHAnsi" w:cstheme="minorHAnsi"/>
                <w:color w:val="000000"/>
                <w:lang w:eastAsia="en-AU"/>
              </w:rPr>
            </w:pPr>
            <w:r w:rsidRPr="00660D7B">
              <w:rPr>
                <w:rFonts w:asciiTheme="minorHAnsi" w:eastAsia="Times New Roman" w:hAnsiTheme="minorHAnsi" w:cstheme="minorHAnsi"/>
                <w:color w:val="000000"/>
                <w:lang w:eastAsia="en-AU"/>
              </w:rPr>
              <w:t>Below are some links to communication materials you can share with</w:t>
            </w:r>
            <w:r w:rsidR="00CE0D06" w:rsidRPr="00660D7B">
              <w:rPr>
                <w:rFonts w:asciiTheme="minorHAnsi" w:eastAsia="Times New Roman" w:hAnsiTheme="minorHAnsi" w:cstheme="minorHAnsi"/>
                <w:color w:val="000000"/>
                <w:lang w:eastAsia="en-AU"/>
              </w:rPr>
              <w:t xml:space="preserve"> your </w:t>
            </w:r>
            <w:r w:rsidRPr="00660D7B">
              <w:rPr>
                <w:rFonts w:asciiTheme="minorHAnsi" w:eastAsia="Times New Roman" w:hAnsiTheme="minorHAnsi" w:cstheme="minorHAnsi"/>
                <w:color w:val="000000"/>
                <w:lang w:eastAsia="en-AU"/>
              </w:rPr>
              <w:t>service and families to support the consultation phase:</w:t>
            </w:r>
          </w:p>
          <w:p w14:paraId="7BD6FA9D" w14:textId="29BD4312" w:rsidR="00AC3D81" w:rsidRPr="00660D7B" w:rsidRDefault="00230D44" w:rsidP="001737DB">
            <w:pPr>
              <w:spacing w:after="240"/>
              <w:rPr>
                <w:rFonts w:asciiTheme="minorHAnsi" w:eastAsia="Times New Roman" w:hAnsiTheme="minorHAnsi" w:cstheme="minorHAnsi"/>
                <w:color w:val="0070C0"/>
                <w:lang w:eastAsia="en-AU"/>
              </w:rPr>
            </w:pPr>
            <w:hyperlink r:id="rId13" w:history="1">
              <w:r w:rsidR="00B34E43" w:rsidRPr="00660D7B">
                <w:rPr>
                  <w:rStyle w:val="Hyperlink"/>
                  <w:rFonts w:asciiTheme="minorHAnsi" w:eastAsia="Times New Roman" w:hAnsiTheme="minorHAnsi" w:cstheme="minorHAnsi"/>
                  <w:color w:val="0070C0"/>
                  <w:lang w:eastAsia="en-AU"/>
                </w:rPr>
                <w:t>Poster for sector</w:t>
              </w:r>
            </w:hyperlink>
            <w:r w:rsidR="00B34E43" w:rsidRPr="00660D7B">
              <w:rPr>
                <w:rFonts w:asciiTheme="minorHAnsi" w:eastAsia="Times New Roman" w:hAnsiTheme="minorHAnsi" w:cstheme="minorHAnsi"/>
                <w:color w:val="0070C0"/>
                <w:lang w:eastAsia="en-AU"/>
              </w:rPr>
              <w:t xml:space="preserve"> </w:t>
            </w:r>
          </w:p>
          <w:p w14:paraId="75A748CD" w14:textId="36454F56" w:rsidR="00B34E43" w:rsidRPr="00660D7B" w:rsidRDefault="00230D44" w:rsidP="001737DB">
            <w:pPr>
              <w:spacing w:after="240"/>
              <w:rPr>
                <w:rFonts w:asciiTheme="minorHAnsi" w:eastAsia="Times New Roman" w:hAnsiTheme="minorHAnsi" w:cstheme="minorHAnsi"/>
                <w:color w:val="0070C0"/>
                <w:lang w:eastAsia="en-AU"/>
              </w:rPr>
            </w:pPr>
            <w:hyperlink r:id="rId14" w:history="1">
              <w:r w:rsidR="00B34E43" w:rsidRPr="00660D7B">
                <w:rPr>
                  <w:rStyle w:val="Hyperlink"/>
                  <w:rFonts w:asciiTheme="minorHAnsi" w:eastAsia="Times New Roman" w:hAnsiTheme="minorHAnsi" w:cstheme="minorHAnsi"/>
                  <w:color w:val="0070C0"/>
                  <w:lang w:eastAsia="en-AU"/>
                </w:rPr>
                <w:t>Poster for families/carers</w:t>
              </w:r>
            </w:hyperlink>
          </w:p>
          <w:p w14:paraId="1C0160CC" w14:textId="78B0162F" w:rsidR="00B34E43" w:rsidRPr="00660D7B" w:rsidRDefault="00230D44" w:rsidP="001737DB">
            <w:pPr>
              <w:spacing w:after="240"/>
              <w:rPr>
                <w:rFonts w:asciiTheme="minorHAnsi" w:eastAsia="Times New Roman" w:hAnsiTheme="minorHAnsi" w:cstheme="minorHAnsi"/>
                <w:color w:val="0070C0"/>
                <w:lang w:eastAsia="en-AU"/>
              </w:rPr>
            </w:pPr>
            <w:hyperlink r:id="rId15" w:history="1">
              <w:r w:rsidR="00B34E43" w:rsidRPr="00660D7B">
                <w:rPr>
                  <w:rStyle w:val="Hyperlink"/>
                  <w:rFonts w:asciiTheme="minorHAnsi" w:eastAsia="Times New Roman" w:hAnsiTheme="minorHAnsi" w:cstheme="minorHAnsi"/>
                  <w:color w:val="0070C0"/>
                  <w:lang w:eastAsia="en-AU"/>
                </w:rPr>
                <w:t xml:space="preserve">Poster for </w:t>
              </w:r>
              <w:r w:rsidR="00C24460" w:rsidRPr="00660D7B">
                <w:rPr>
                  <w:rStyle w:val="Hyperlink"/>
                  <w:rFonts w:asciiTheme="minorHAnsi" w:eastAsia="Times New Roman" w:hAnsiTheme="minorHAnsi" w:cstheme="minorHAnsi"/>
                  <w:color w:val="0070C0"/>
                  <w:lang w:eastAsia="en-AU"/>
                </w:rPr>
                <w:t>sector and families/carers</w:t>
              </w:r>
            </w:hyperlink>
          </w:p>
          <w:p w14:paraId="25222B92" w14:textId="1B4EB11F" w:rsidR="00D76764" w:rsidRPr="00660D7B" w:rsidRDefault="00B059AF" w:rsidP="00CE0D06">
            <w:pPr>
              <w:spacing w:after="240"/>
              <w:rPr>
                <w:rFonts w:asciiTheme="minorHAnsi" w:eastAsia="Times New Roman" w:hAnsiTheme="minorHAnsi" w:cstheme="minorHAnsi"/>
                <w:lang w:eastAsia="en-AU"/>
              </w:rPr>
            </w:pPr>
            <w:r w:rsidRPr="00660D7B">
              <w:rPr>
                <w:rFonts w:asciiTheme="minorHAnsi" w:hAnsiTheme="minorHAnsi" w:cstheme="minorHAnsi"/>
                <w:b/>
                <w:bCs/>
                <w:sz w:val="28"/>
                <w:szCs w:val="28"/>
                <w:lang w:eastAsia="en-AU"/>
              </w:rPr>
              <w:t>A focus on c</w:t>
            </w:r>
            <w:r w:rsidR="00D76764" w:rsidRPr="00660D7B">
              <w:rPr>
                <w:rFonts w:asciiTheme="minorHAnsi" w:hAnsiTheme="minorHAnsi" w:cstheme="minorHAnsi"/>
                <w:b/>
                <w:bCs/>
                <w:sz w:val="28"/>
                <w:szCs w:val="28"/>
                <w:lang w:eastAsia="en-AU"/>
              </w:rPr>
              <w:t xml:space="preserve">hild protection obligations in the ACT </w:t>
            </w:r>
          </w:p>
          <w:p w14:paraId="2AEE548F" w14:textId="4F593559" w:rsidR="00D76764" w:rsidRPr="00660D7B" w:rsidRDefault="00D76764" w:rsidP="00D76764">
            <w:pPr>
              <w:rPr>
                <w:rFonts w:asciiTheme="minorHAnsi" w:hAnsiTheme="minorHAnsi" w:cstheme="minorHAnsi"/>
                <w:color w:val="000000"/>
                <w:lang w:eastAsia="en-AU"/>
              </w:rPr>
            </w:pPr>
            <w:r w:rsidRPr="00660D7B">
              <w:rPr>
                <w:rFonts w:asciiTheme="minorHAnsi" w:eastAsia="Times New Roman" w:hAnsiTheme="minorHAnsi" w:cstheme="minorHAnsi"/>
                <w:color w:val="000000"/>
                <w:lang w:eastAsia="en-AU"/>
              </w:rPr>
              <w:t xml:space="preserve">The approved provider of an education and care service must ensure that nominated supervisors and all staff members understand their responsibilities under the relevant child protection law the existence and application of the current child protection law and any obligations that they may have under that law. </w:t>
            </w:r>
            <w:r w:rsidRPr="00660D7B">
              <w:rPr>
                <w:rFonts w:asciiTheme="minorHAnsi" w:hAnsiTheme="minorHAnsi" w:cstheme="minorHAnsi"/>
                <w:color w:val="000000"/>
                <w:lang w:eastAsia="en-AU"/>
              </w:rPr>
              <w:t xml:space="preserve">See </w:t>
            </w:r>
            <w:hyperlink r:id="rId16" w:anchor="sec.84" w:history="1">
              <w:r w:rsidRPr="00660D7B">
                <w:rPr>
                  <w:rStyle w:val="Hyperlink"/>
                  <w:rFonts w:asciiTheme="minorHAnsi" w:hAnsiTheme="minorHAnsi" w:cstheme="minorHAnsi"/>
                  <w:lang w:eastAsia="en-AU"/>
                </w:rPr>
                <w:t>regulation 84</w:t>
              </w:r>
            </w:hyperlink>
            <w:r w:rsidRPr="00660D7B">
              <w:rPr>
                <w:rFonts w:asciiTheme="minorHAnsi" w:hAnsiTheme="minorHAnsi" w:cstheme="minorHAnsi"/>
                <w:color w:val="000000"/>
                <w:lang w:eastAsia="en-AU"/>
              </w:rPr>
              <w:t xml:space="preserve">. Service policies and procedures must reflect current </w:t>
            </w:r>
            <w:r w:rsidR="00F411AE" w:rsidRPr="00660D7B">
              <w:rPr>
                <w:rFonts w:asciiTheme="minorHAnsi" w:hAnsiTheme="minorHAnsi" w:cstheme="minorHAnsi"/>
                <w:color w:val="000000"/>
                <w:lang w:eastAsia="en-AU"/>
              </w:rPr>
              <w:t xml:space="preserve">law and </w:t>
            </w:r>
            <w:r w:rsidR="005E7D6B" w:rsidRPr="00660D7B">
              <w:rPr>
                <w:rFonts w:asciiTheme="minorHAnsi" w:hAnsiTheme="minorHAnsi" w:cstheme="minorHAnsi"/>
                <w:color w:val="000000"/>
                <w:lang w:eastAsia="en-AU"/>
              </w:rPr>
              <w:t xml:space="preserve">regulations </w:t>
            </w:r>
            <w:r w:rsidRPr="00660D7B">
              <w:rPr>
                <w:rFonts w:asciiTheme="minorHAnsi" w:hAnsiTheme="minorHAnsi" w:cstheme="minorHAnsi"/>
                <w:color w:val="000000"/>
                <w:lang w:eastAsia="en-AU"/>
              </w:rPr>
              <w:t xml:space="preserve">in place in relation to providing a child safe environment.  </w:t>
            </w:r>
          </w:p>
          <w:p w14:paraId="2F0274F9" w14:textId="77777777" w:rsidR="00D76764" w:rsidRPr="00660D7B" w:rsidRDefault="00D76764" w:rsidP="00D76764">
            <w:pPr>
              <w:rPr>
                <w:rFonts w:asciiTheme="minorHAnsi" w:hAnsiTheme="minorHAnsi" w:cstheme="minorHAnsi"/>
                <w:b/>
                <w:bCs/>
                <w:color w:val="000000"/>
                <w:lang w:eastAsia="en-AU"/>
              </w:rPr>
            </w:pPr>
          </w:p>
          <w:p w14:paraId="6A24E4C2" w14:textId="77777777" w:rsidR="00423C11" w:rsidRPr="00423C11" w:rsidRDefault="00423C11" w:rsidP="00423C11">
            <w:pPr>
              <w:spacing w:after="240"/>
              <w:rPr>
                <w:rFonts w:asciiTheme="minorHAnsi" w:eastAsia="Times New Roman" w:hAnsiTheme="minorHAnsi" w:cstheme="minorHAnsi"/>
                <w:sz w:val="24"/>
                <w:szCs w:val="24"/>
                <w:lang w:eastAsia="en-AU"/>
              </w:rPr>
            </w:pPr>
            <w:r w:rsidRPr="00423C11">
              <w:rPr>
                <w:rFonts w:asciiTheme="minorHAnsi" w:eastAsia="Times New Roman" w:hAnsiTheme="minorHAnsi" w:cstheme="minorHAnsi"/>
                <w:b/>
                <w:bCs/>
                <w:sz w:val="24"/>
                <w:szCs w:val="24"/>
                <w:lang w:eastAsia="en-AU"/>
              </w:rPr>
              <w:t>Child protection: mandatory reporting</w:t>
            </w:r>
          </w:p>
          <w:p w14:paraId="2468D1B3" w14:textId="77777777" w:rsidR="00423C11" w:rsidRPr="00423C11" w:rsidRDefault="00423C11" w:rsidP="00423C11">
            <w:pPr>
              <w:spacing w:after="240"/>
              <w:rPr>
                <w:rFonts w:asciiTheme="minorHAnsi" w:eastAsia="Times New Roman" w:hAnsiTheme="minorHAnsi" w:cstheme="minorHAnsi"/>
                <w:color w:val="313131"/>
                <w:lang w:eastAsia="en-AU"/>
              </w:rPr>
            </w:pPr>
            <w:r w:rsidRPr="00423C11">
              <w:rPr>
                <w:rFonts w:asciiTheme="minorHAnsi" w:eastAsia="Times New Roman" w:hAnsiTheme="minorHAnsi" w:cstheme="minorHAnsi"/>
                <w:color w:val="0070C0"/>
                <w:u w:val="single"/>
                <w:lang w:eastAsia="en-AU"/>
              </w:rPr>
              <w:t>The </w:t>
            </w:r>
            <w:hyperlink r:id="rId17" w:history="1">
              <w:r w:rsidRPr="00423C11">
                <w:rPr>
                  <w:rFonts w:asciiTheme="minorHAnsi" w:eastAsia="Times New Roman" w:hAnsiTheme="minorHAnsi" w:cstheme="minorHAnsi"/>
                  <w:i/>
                  <w:iCs/>
                  <w:color w:val="0070C0"/>
                  <w:u w:val="single"/>
                  <w:lang w:eastAsia="en-AU"/>
                </w:rPr>
                <w:t>Children and Young People Act 2008</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313131"/>
                <w:lang w:eastAsia="en-AU"/>
              </w:rPr>
              <w:drawing>
                <wp:inline distT="0" distB="0" distL="0" distR="0" wp14:anchorId="34BE7E95" wp14:editId="0B0AEB21">
                  <wp:extent cx="95250" cy="142875"/>
                  <wp:effectExtent l="0" t="0" r="0" b="9525"/>
                  <wp:docPr id="13" name="Picture 1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 </w:t>
            </w:r>
            <w:r w:rsidRPr="00271D2D">
              <w:rPr>
                <w:rFonts w:asciiTheme="minorHAnsi" w:eastAsia="Times New Roman" w:hAnsiTheme="minorHAnsi" w:cstheme="minorHAnsi"/>
                <w:lang w:eastAsia="en-AU"/>
              </w:rPr>
              <w:t>includes a legal obligation that individuals working in education and care services must report any suspected child abuse or neglect.</w:t>
            </w:r>
          </w:p>
          <w:p w14:paraId="64419718" w14:textId="77777777" w:rsidR="00423C11" w:rsidRPr="00423C11" w:rsidRDefault="00230D44" w:rsidP="00423C11">
            <w:pPr>
              <w:spacing w:after="240"/>
              <w:rPr>
                <w:rFonts w:asciiTheme="minorHAnsi" w:eastAsia="Times New Roman" w:hAnsiTheme="minorHAnsi" w:cstheme="minorHAnsi"/>
                <w:color w:val="313131"/>
                <w:lang w:eastAsia="en-AU"/>
              </w:rPr>
            </w:pPr>
            <w:hyperlink r:id="rId19" w:history="1">
              <w:r w:rsidR="00423C11" w:rsidRPr="00423C11">
                <w:rPr>
                  <w:rFonts w:asciiTheme="minorHAnsi" w:eastAsia="Times New Roman" w:hAnsiTheme="minorHAnsi" w:cstheme="minorHAnsi"/>
                  <w:color w:val="0070C0"/>
                  <w:u w:val="single"/>
                  <w:lang w:eastAsia="en-AU"/>
                </w:rPr>
                <w:t>Keeping Children and Young People Safe</w:t>
              </w:r>
            </w:hyperlink>
            <w:r w:rsidR="00423C11" w:rsidRPr="00423C11">
              <w:rPr>
                <w:rFonts w:asciiTheme="minorHAnsi" w:eastAsia="Times New Roman" w:hAnsiTheme="minorHAnsi" w:cstheme="minorHAnsi"/>
                <w:color w:val="0070C0"/>
                <w:lang w:eastAsia="en-AU"/>
              </w:rPr>
              <w:t> </w:t>
            </w:r>
            <w:r w:rsidR="00423C11" w:rsidRPr="00423C11">
              <w:rPr>
                <w:rFonts w:asciiTheme="minorHAnsi" w:eastAsia="Times New Roman" w:hAnsiTheme="minorHAnsi" w:cstheme="minorHAnsi"/>
                <w:noProof/>
                <w:color w:val="313131"/>
                <w:lang w:eastAsia="en-AU"/>
              </w:rPr>
              <w:drawing>
                <wp:inline distT="0" distB="0" distL="0" distR="0" wp14:anchorId="3CEB1207" wp14:editId="211F637F">
                  <wp:extent cx="95250" cy="142875"/>
                  <wp:effectExtent l="0" t="0" r="0" b="9525"/>
                  <wp:docPr id="14" name="Picture 1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423C11" w:rsidRPr="00271D2D">
              <w:rPr>
                <w:rFonts w:asciiTheme="minorHAnsi" w:eastAsia="Times New Roman" w:hAnsiTheme="minorHAnsi" w:cstheme="minorHAnsi"/>
                <w:lang w:eastAsia="en-AU"/>
              </w:rPr>
              <w:t>is a guide to assist members of the public in making decisions about reporting concerns of child abuse or neglect in the ACT.</w:t>
            </w:r>
          </w:p>
          <w:p w14:paraId="434E501B" w14:textId="77777777" w:rsidR="00423C11" w:rsidRPr="00423C11" w:rsidRDefault="00423C11" w:rsidP="00423C11">
            <w:pPr>
              <w:spacing w:after="240"/>
              <w:rPr>
                <w:rFonts w:asciiTheme="minorHAnsi" w:eastAsia="Times New Roman" w:hAnsiTheme="minorHAnsi" w:cstheme="minorHAnsi"/>
                <w:color w:val="313131"/>
                <w:lang w:eastAsia="en-AU"/>
              </w:rPr>
            </w:pPr>
            <w:r w:rsidRPr="00271D2D">
              <w:rPr>
                <w:rFonts w:asciiTheme="minorHAnsi" w:eastAsia="Times New Roman" w:hAnsiTheme="minorHAnsi" w:cstheme="minorHAnsi"/>
                <w:lang w:eastAsia="en-AU"/>
              </w:rPr>
              <w:t>All staff working in education and care are encouraged to complete the Community Services Directorate’s free Keeping Children and Young People Safe </w:t>
            </w:r>
            <w:hyperlink r:id="rId20" w:history="1">
              <w:r w:rsidRPr="00423C11">
                <w:rPr>
                  <w:rFonts w:asciiTheme="minorHAnsi" w:eastAsia="Times New Roman" w:hAnsiTheme="minorHAnsi" w:cstheme="minorHAnsi"/>
                  <w:color w:val="0070C0"/>
                  <w:u w:val="single"/>
                  <w:lang w:eastAsia="en-AU"/>
                </w:rPr>
                <w:t>Online Training</w:t>
              </w:r>
            </w:hyperlink>
            <w:r w:rsidRPr="00423C11">
              <w:rPr>
                <w:rFonts w:asciiTheme="minorHAnsi" w:eastAsia="Times New Roman" w:hAnsiTheme="minorHAnsi" w:cstheme="minorHAnsi"/>
                <w:color w:val="313131"/>
                <w:lang w:eastAsia="en-AU"/>
              </w:rPr>
              <w:t> </w:t>
            </w:r>
            <w:r w:rsidRPr="00423C11">
              <w:rPr>
                <w:rFonts w:asciiTheme="minorHAnsi" w:eastAsia="Times New Roman" w:hAnsiTheme="minorHAnsi" w:cstheme="minorHAnsi"/>
                <w:noProof/>
                <w:color w:val="313131"/>
                <w:lang w:eastAsia="en-AU"/>
              </w:rPr>
              <w:drawing>
                <wp:inline distT="0" distB="0" distL="0" distR="0" wp14:anchorId="4C38C784" wp14:editId="394AFEA0">
                  <wp:extent cx="95250" cy="142875"/>
                  <wp:effectExtent l="0" t="0" r="0" b="9525"/>
                  <wp:docPr id="15" name="Picture 1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w:t>
            </w:r>
          </w:p>
          <w:p w14:paraId="2E63F43A" w14:textId="77777777" w:rsidR="00423C11" w:rsidRPr="00423C11" w:rsidRDefault="00423C11" w:rsidP="00423C11">
            <w:pPr>
              <w:spacing w:after="240"/>
              <w:rPr>
                <w:rFonts w:asciiTheme="minorHAnsi" w:eastAsia="Times New Roman" w:hAnsiTheme="minorHAnsi" w:cstheme="minorHAnsi"/>
                <w:sz w:val="24"/>
                <w:szCs w:val="24"/>
                <w:lang w:eastAsia="en-AU"/>
              </w:rPr>
            </w:pPr>
            <w:r w:rsidRPr="00423C11">
              <w:rPr>
                <w:rFonts w:asciiTheme="minorHAnsi" w:eastAsia="Times New Roman" w:hAnsiTheme="minorHAnsi" w:cstheme="minorHAnsi"/>
                <w:b/>
                <w:bCs/>
                <w:sz w:val="24"/>
                <w:szCs w:val="24"/>
                <w:lang w:eastAsia="en-AU"/>
              </w:rPr>
              <w:t>Child protection: Reportable Conduct Scheme</w:t>
            </w:r>
          </w:p>
          <w:p w14:paraId="4B9D156F" w14:textId="77777777" w:rsidR="00423C11" w:rsidRPr="00271D2D" w:rsidRDefault="00423C11" w:rsidP="00423C11">
            <w:pPr>
              <w:spacing w:after="240"/>
              <w:rPr>
                <w:rFonts w:asciiTheme="minorHAnsi" w:eastAsia="Times New Roman" w:hAnsiTheme="minorHAnsi" w:cstheme="minorHAnsi"/>
                <w:lang w:eastAsia="en-AU"/>
              </w:rPr>
            </w:pPr>
            <w:r w:rsidRPr="00271D2D">
              <w:rPr>
                <w:rFonts w:asciiTheme="minorHAnsi" w:eastAsia="Times New Roman" w:hAnsiTheme="minorHAnsi" w:cstheme="minorHAnsi"/>
                <w:lang w:eastAsia="en-AU"/>
              </w:rPr>
              <w:t>The</w:t>
            </w:r>
            <w:r w:rsidRPr="00423C11">
              <w:rPr>
                <w:rFonts w:asciiTheme="minorHAnsi" w:eastAsia="Times New Roman" w:hAnsiTheme="minorHAnsi" w:cstheme="minorHAnsi"/>
                <w:color w:val="313131"/>
                <w:lang w:eastAsia="en-AU"/>
              </w:rPr>
              <w:t> </w:t>
            </w:r>
            <w:hyperlink r:id="rId21" w:history="1">
              <w:r w:rsidRPr="00423C11">
                <w:rPr>
                  <w:rFonts w:asciiTheme="minorHAnsi" w:eastAsia="Times New Roman" w:hAnsiTheme="minorHAnsi" w:cstheme="minorHAnsi"/>
                  <w:color w:val="0070C0"/>
                  <w:u w:val="single"/>
                  <w:lang w:eastAsia="en-AU"/>
                </w:rPr>
                <w:t>Reportable Conduct Scheme</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313131"/>
                <w:lang w:eastAsia="en-AU"/>
              </w:rPr>
              <w:drawing>
                <wp:inline distT="0" distB="0" distL="0" distR="0" wp14:anchorId="0D171AA4" wp14:editId="4A65C93D">
                  <wp:extent cx="95250" cy="142875"/>
                  <wp:effectExtent l="0" t="0" r="0" b="9525"/>
                  <wp:docPr id="16" name="Picture 16"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271D2D">
              <w:rPr>
                <w:rFonts w:asciiTheme="minorHAnsi" w:eastAsia="Times New Roman" w:hAnsiTheme="minorHAnsi" w:cstheme="minorHAnsi"/>
                <w:lang w:eastAsia="en-AU"/>
              </w:rPr>
              <w:t>aims to improve child protection within organisations in the ACT.</w:t>
            </w:r>
          </w:p>
          <w:p w14:paraId="5732C3FD" w14:textId="7F0D0B75" w:rsidR="00423C11" w:rsidRPr="00271D2D" w:rsidRDefault="00423C11" w:rsidP="00423C11">
            <w:pPr>
              <w:spacing w:after="240"/>
              <w:rPr>
                <w:rFonts w:asciiTheme="minorHAnsi" w:eastAsia="Times New Roman" w:hAnsiTheme="minorHAnsi" w:cstheme="minorHAnsi"/>
                <w:lang w:eastAsia="en-AU"/>
              </w:rPr>
            </w:pPr>
            <w:r w:rsidRPr="00271D2D">
              <w:rPr>
                <w:rFonts w:asciiTheme="minorHAnsi" w:eastAsia="Times New Roman" w:hAnsiTheme="minorHAnsi" w:cstheme="minorHAnsi"/>
                <w:lang w:eastAsia="en-AU"/>
              </w:rPr>
              <w:t>Reportable conduct covers allegations or convictions of child abuse or misconduct towards children.</w:t>
            </w:r>
            <w:r w:rsidR="000C2532" w:rsidRPr="00271D2D">
              <w:rPr>
                <w:rFonts w:asciiTheme="minorHAnsi" w:eastAsia="Times New Roman" w:hAnsiTheme="minorHAnsi" w:cstheme="minorHAnsi"/>
                <w:lang w:eastAsia="en-AU"/>
              </w:rPr>
              <w:t xml:space="preserve"> </w:t>
            </w:r>
            <w:r w:rsidRPr="00271D2D">
              <w:rPr>
                <w:rFonts w:asciiTheme="minorHAnsi" w:eastAsia="Times New Roman" w:hAnsiTheme="minorHAnsi" w:cstheme="minorHAnsi"/>
                <w:lang w:eastAsia="en-AU"/>
              </w:rPr>
              <w:t>Organisations must report allegations of reportable conduct by an employee or volunteer. This includes ill-treatment of a child (such as emotional abuse or use of force) neglect, psychological harm, misconduct of a sexual nature, sexual or physical offences and convictions where a child is a victim or is present and inappropriate discipline or not protecting children from harm.</w:t>
            </w:r>
          </w:p>
          <w:p w14:paraId="5195A936" w14:textId="77777777" w:rsidR="00423C11" w:rsidRPr="00423C11" w:rsidRDefault="00423C11" w:rsidP="00423C11">
            <w:pPr>
              <w:spacing w:after="240"/>
              <w:rPr>
                <w:rFonts w:asciiTheme="minorHAnsi" w:eastAsia="Times New Roman" w:hAnsiTheme="minorHAnsi" w:cstheme="minorHAnsi"/>
                <w:color w:val="313131"/>
                <w:lang w:eastAsia="en-AU"/>
              </w:rPr>
            </w:pPr>
            <w:r w:rsidRPr="00271D2D">
              <w:rPr>
                <w:rFonts w:asciiTheme="minorHAnsi" w:eastAsia="Times New Roman" w:hAnsiTheme="minorHAnsi" w:cstheme="minorHAnsi"/>
                <w:lang w:eastAsia="en-AU"/>
              </w:rPr>
              <w:t>Organisations must have policies and procedures to prevent and respond to child abuse</w:t>
            </w:r>
            <w:r w:rsidRPr="00423C11">
              <w:rPr>
                <w:rFonts w:asciiTheme="minorHAnsi" w:eastAsia="Times New Roman" w:hAnsiTheme="minorHAnsi" w:cstheme="minorHAnsi"/>
                <w:color w:val="313131"/>
                <w:lang w:eastAsia="en-AU"/>
              </w:rPr>
              <w:t>.</w:t>
            </w:r>
          </w:p>
          <w:p w14:paraId="57C7B8A2" w14:textId="31D4471B" w:rsidR="00423C11" w:rsidRPr="00423C11" w:rsidRDefault="00423C11" w:rsidP="00423C11">
            <w:pPr>
              <w:spacing w:after="240"/>
              <w:rPr>
                <w:rFonts w:asciiTheme="minorHAnsi" w:eastAsia="Times New Roman" w:hAnsiTheme="minorHAnsi" w:cstheme="minorHAnsi"/>
                <w:color w:val="313131"/>
                <w:lang w:eastAsia="en-AU"/>
              </w:rPr>
            </w:pPr>
            <w:r w:rsidRPr="00271D2D">
              <w:rPr>
                <w:rFonts w:asciiTheme="minorHAnsi" w:eastAsia="Times New Roman" w:hAnsiTheme="minorHAnsi" w:cstheme="minorHAnsi"/>
                <w:lang w:eastAsia="en-AU"/>
              </w:rPr>
              <w:t>The ACT’s Ombudsman provides support and practice </w:t>
            </w:r>
            <w:hyperlink r:id="rId22" w:history="1">
              <w:r w:rsidRPr="00423C11">
                <w:rPr>
                  <w:rFonts w:asciiTheme="minorHAnsi" w:eastAsia="Times New Roman" w:hAnsiTheme="minorHAnsi" w:cstheme="minorHAnsi"/>
                  <w:color w:val="0070C0"/>
                  <w:u w:val="single"/>
                  <w:lang w:eastAsia="en-AU"/>
                </w:rPr>
                <w:t>guidelines</w:t>
              </w:r>
            </w:hyperlink>
            <w:r w:rsidR="005664D7" w:rsidRPr="00423C11">
              <w:rPr>
                <w:rFonts w:asciiTheme="minorHAnsi" w:eastAsia="Times New Roman" w:hAnsiTheme="minorHAnsi" w:cstheme="minorHAnsi"/>
                <w:noProof/>
                <w:color w:val="313131"/>
                <w:lang w:eastAsia="en-AU"/>
              </w:rPr>
              <w:drawing>
                <wp:inline distT="0" distB="0" distL="0" distR="0" wp14:anchorId="708A6C80" wp14:editId="0971556D">
                  <wp:extent cx="95250" cy="142875"/>
                  <wp:effectExtent l="0" t="0" r="0" b="9525"/>
                  <wp:docPr id="17" name="Picture 17"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  </w:t>
            </w:r>
            <w:r w:rsidRPr="00271D2D">
              <w:rPr>
                <w:rFonts w:asciiTheme="minorHAnsi" w:eastAsia="Times New Roman" w:hAnsiTheme="minorHAnsi" w:cstheme="minorHAnsi"/>
                <w:lang w:eastAsia="en-AU"/>
              </w:rPr>
              <w:t>to help organisations meet their reportable conduct obligations.</w:t>
            </w:r>
            <w:r w:rsidR="000C2532" w:rsidRPr="00271D2D">
              <w:rPr>
                <w:rFonts w:asciiTheme="minorHAnsi" w:eastAsia="Times New Roman" w:hAnsiTheme="minorHAnsi" w:cstheme="minorHAnsi"/>
                <w:lang w:eastAsia="en-AU"/>
              </w:rPr>
              <w:t xml:space="preserve"> </w:t>
            </w:r>
            <w:r w:rsidRPr="00271D2D">
              <w:rPr>
                <w:rFonts w:asciiTheme="minorHAnsi" w:eastAsia="Times New Roman" w:hAnsiTheme="minorHAnsi" w:cstheme="minorHAnsi"/>
                <w:lang w:eastAsia="en-AU"/>
              </w:rPr>
              <w:t>If organisations suspect criminal conduct, they must also report the conduct to </w:t>
            </w:r>
            <w:hyperlink r:id="rId23" w:history="1">
              <w:r w:rsidRPr="00423C11">
                <w:rPr>
                  <w:rFonts w:asciiTheme="minorHAnsi" w:eastAsia="Times New Roman" w:hAnsiTheme="minorHAnsi" w:cstheme="minorHAnsi"/>
                  <w:color w:val="0070C0"/>
                  <w:u w:val="single"/>
                  <w:lang w:eastAsia="en-AU"/>
                </w:rPr>
                <w:t>ACT Policing</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0070C0"/>
                <w:lang w:eastAsia="en-AU"/>
              </w:rPr>
              <w:drawing>
                <wp:inline distT="0" distB="0" distL="0" distR="0" wp14:anchorId="39AA74AC" wp14:editId="5B4ABCD4">
                  <wp:extent cx="95250" cy="142875"/>
                  <wp:effectExtent l="0" t="0" r="0" b="9525"/>
                  <wp:docPr id="18" name="Picture 18"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0070C0"/>
                <w:lang w:eastAsia="en-AU"/>
              </w:rPr>
              <w:t>.</w:t>
            </w:r>
            <w:r w:rsidRPr="00271D2D">
              <w:rPr>
                <w:rFonts w:asciiTheme="minorHAnsi" w:eastAsia="Times New Roman" w:hAnsiTheme="minorHAnsi" w:cstheme="minorHAnsi"/>
                <w:lang w:eastAsia="en-AU"/>
              </w:rPr>
              <w:t xml:space="preserve">More information about the reportable Conduct Scheme can be found on </w:t>
            </w:r>
            <w:r w:rsidRPr="00423C11">
              <w:rPr>
                <w:rFonts w:asciiTheme="minorHAnsi" w:eastAsia="Times New Roman" w:hAnsiTheme="minorHAnsi" w:cstheme="minorHAnsi"/>
                <w:color w:val="313131"/>
                <w:lang w:eastAsia="en-AU"/>
              </w:rPr>
              <w:t>the </w:t>
            </w:r>
            <w:hyperlink r:id="rId24" w:history="1">
              <w:r w:rsidRPr="00423C11">
                <w:rPr>
                  <w:rFonts w:asciiTheme="minorHAnsi" w:eastAsia="Times New Roman" w:hAnsiTheme="minorHAnsi" w:cstheme="minorHAnsi"/>
                  <w:color w:val="0070C0"/>
                  <w:u w:val="single"/>
                  <w:lang w:eastAsia="en-AU"/>
                </w:rPr>
                <w:t>ACT Ombudsman’s website</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0070C0"/>
                <w:lang w:eastAsia="en-AU"/>
              </w:rPr>
              <w:drawing>
                <wp:inline distT="0" distB="0" distL="0" distR="0" wp14:anchorId="5D3B02C1" wp14:editId="3BE59BFA">
                  <wp:extent cx="95250" cy="142875"/>
                  <wp:effectExtent l="0" t="0" r="0" b="9525"/>
                  <wp:docPr id="19" name="Picture 19"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0070C0"/>
                <w:lang w:eastAsia="en-AU"/>
              </w:rPr>
              <w:t>.</w:t>
            </w:r>
          </w:p>
          <w:p w14:paraId="24030368" w14:textId="77777777" w:rsidR="00423C11" w:rsidRPr="00423C11" w:rsidRDefault="00423C11" w:rsidP="00423C11">
            <w:pPr>
              <w:spacing w:after="240"/>
              <w:rPr>
                <w:rFonts w:asciiTheme="minorHAnsi" w:eastAsia="Times New Roman" w:hAnsiTheme="minorHAnsi" w:cstheme="minorHAnsi"/>
                <w:sz w:val="24"/>
                <w:szCs w:val="24"/>
                <w:lang w:eastAsia="en-AU"/>
              </w:rPr>
            </w:pPr>
            <w:r w:rsidRPr="00423C11">
              <w:rPr>
                <w:rFonts w:asciiTheme="minorHAnsi" w:eastAsia="Times New Roman" w:hAnsiTheme="minorHAnsi" w:cstheme="minorHAnsi"/>
                <w:b/>
                <w:bCs/>
                <w:sz w:val="24"/>
                <w:szCs w:val="24"/>
                <w:lang w:eastAsia="en-AU"/>
              </w:rPr>
              <w:t>Child protection: regulating restrictive practices</w:t>
            </w:r>
          </w:p>
          <w:p w14:paraId="22A67D7B" w14:textId="77777777" w:rsidR="00423C11" w:rsidRPr="00271D2D" w:rsidRDefault="00230D44" w:rsidP="00423C11">
            <w:pPr>
              <w:spacing w:after="240"/>
              <w:rPr>
                <w:rFonts w:asciiTheme="minorHAnsi" w:eastAsia="Times New Roman" w:hAnsiTheme="minorHAnsi" w:cstheme="minorHAnsi"/>
                <w:lang w:eastAsia="en-AU"/>
              </w:rPr>
            </w:pPr>
            <w:hyperlink r:id="rId25" w:history="1">
              <w:r w:rsidR="00423C11" w:rsidRPr="00423C11">
                <w:rPr>
                  <w:rFonts w:asciiTheme="minorHAnsi" w:eastAsia="Times New Roman" w:hAnsiTheme="minorHAnsi" w:cstheme="minorHAnsi"/>
                  <w:color w:val="0070C0"/>
                  <w:u w:val="single"/>
                  <w:lang w:eastAsia="en-AU"/>
                </w:rPr>
                <w:t>Senior Practitioner Act 2018</w:t>
              </w:r>
            </w:hyperlink>
            <w:r w:rsidR="00423C11" w:rsidRPr="00423C11">
              <w:rPr>
                <w:rFonts w:asciiTheme="minorHAnsi" w:eastAsia="Times New Roman" w:hAnsiTheme="minorHAnsi" w:cstheme="minorHAnsi"/>
                <w:color w:val="0070C0"/>
                <w:lang w:eastAsia="en-AU"/>
              </w:rPr>
              <w:t> </w:t>
            </w:r>
            <w:r w:rsidR="00423C11" w:rsidRPr="00423C11">
              <w:rPr>
                <w:rFonts w:asciiTheme="minorHAnsi" w:eastAsia="Times New Roman" w:hAnsiTheme="minorHAnsi" w:cstheme="minorHAnsi"/>
                <w:noProof/>
                <w:color w:val="313131"/>
                <w:lang w:eastAsia="en-AU"/>
              </w:rPr>
              <w:drawing>
                <wp:inline distT="0" distB="0" distL="0" distR="0" wp14:anchorId="729D94F1" wp14:editId="2267DA90">
                  <wp:extent cx="95250" cy="142875"/>
                  <wp:effectExtent l="0" t="0" r="0" b="9525"/>
                  <wp:docPr id="20" name="Picture 20"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00423C11" w:rsidRPr="00423C11">
              <w:rPr>
                <w:rFonts w:asciiTheme="minorHAnsi" w:eastAsia="Times New Roman" w:hAnsiTheme="minorHAnsi" w:cstheme="minorHAnsi"/>
                <w:color w:val="313131"/>
                <w:lang w:eastAsia="en-AU"/>
              </w:rPr>
              <w:t> </w:t>
            </w:r>
            <w:r w:rsidR="00423C11" w:rsidRPr="00271D2D">
              <w:rPr>
                <w:rFonts w:asciiTheme="minorHAnsi" w:eastAsia="Times New Roman" w:hAnsiTheme="minorHAnsi" w:cstheme="minorHAnsi"/>
                <w:lang w:eastAsia="en-AU"/>
              </w:rPr>
              <w:t>regulates the use of restrictive practices by a range of entities, including approved providers.</w:t>
            </w:r>
          </w:p>
          <w:p w14:paraId="6828A336" w14:textId="6187DB30" w:rsidR="00423C11" w:rsidRPr="00271D2D" w:rsidRDefault="00423C11" w:rsidP="00423C11">
            <w:pPr>
              <w:spacing w:after="240"/>
              <w:rPr>
                <w:rFonts w:asciiTheme="minorHAnsi" w:eastAsia="Times New Roman" w:hAnsiTheme="minorHAnsi" w:cstheme="minorHAnsi"/>
                <w:lang w:eastAsia="en-AU"/>
              </w:rPr>
            </w:pPr>
            <w:r w:rsidRPr="00271D2D">
              <w:rPr>
                <w:rFonts w:asciiTheme="minorHAnsi" w:eastAsia="Times New Roman" w:hAnsiTheme="minorHAnsi" w:cstheme="minorHAnsi"/>
                <w:lang w:eastAsia="en-AU"/>
              </w:rPr>
              <w:t xml:space="preserve">The Senior Practitioner works with the regulated communities to drive cultural change across all sectors where restrictive practices may be an issue. The legislation protects the rights of individuals in settings </w:t>
            </w:r>
            <w:r w:rsidRPr="00271D2D">
              <w:rPr>
                <w:rFonts w:asciiTheme="minorHAnsi" w:eastAsia="Times New Roman" w:hAnsiTheme="minorHAnsi" w:cstheme="minorHAnsi"/>
                <w:lang w:eastAsia="en-AU"/>
              </w:rPr>
              <w:lastRenderedPageBreak/>
              <w:t>including children in education and care services.</w:t>
            </w:r>
            <w:r w:rsidR="00DF1B27">
              <w:rPr>
                <w:rFonts w:asciiTheme="minorHAnsi" w:eastAsia="Times New Roman" w:hAnsiTheme="minorHAnsi" w:cstheme="minorHAnsi"/>
                <w:lang w:eastAsia="en-AU"/>
              </w:rPr>
              <w:t xml:space="preserve"> The role of the Senior Practitioner is to reduce and eliminate the use of restrictive practices and to ensure that where restricted practices are used they are reported and included in an approved Positive Behaviour Support Plan which is used in a consistent manner between settings.</w:t>
            </w:r>
          </w:p>
          <w:p w14:paraId="7A0A2C0D" w14:textId="1717E5A0" w:rsidR="00423C11" w:rsidRPr="00423C11" w:rsidRDefault="00423C11" w:rsidP="00423C11">
            <w:pPr>
              <w:spacing w:after="240"/>
              <w:rPr>
                <w:rFonts w:asciiTheme="minorHAnsi" w:eastAsia="Times New Roman" w:hAnsiTheme="minorHAnsi" w:cstheme="minorHAnsi"/>
                <w:color w:val="0070C0"/>
                <w:lang w:eastAsia="en-AU"/>
              </w:rPr>
            </w:pPr>
            <w:r w:rsidRPr="00271D2D">
              <w:rPr>
                <w:rFonts w:asciiTheme="minorHAnsi" w:eastAsia="Times New Roman" w:hAnsiTheme="minorHAnsi" w:cstheme="minorHAnsi"/>
                <w:lang w:eastAsia="en-AU"/>
              </w:rPr>
              <w:t>More information about the Senior Practitioner and restrictive practices can be found in </w:t>
            </w:r>
            <w:hyperlink r:id="rId26" w:history="1">
              <w:r w:rsidRPr="00423C11">
                <w:rPr>
                  <w:rFonts w:asciiTheme="minorHAnsi" w:eastAsia="Times New Roman" w:hAnsiTheme="minorHAnsi" w:cstheme="minorHAnsi"/>
                  <w:color w:val="0070C0"/>
                  <w:u w:val="single"/>
                  <w:lang w:eastAsia="en-AU"/>
                </w:rPr>
                <w:t>ACT Senior Practitioner Fact Sheet</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313131"/>
                <w:lang w:eastAsia="en-AU"/>
              </w:rPr>
              <w:drawing>
                <wp:inline distT="0" distB="0" distL="0" distR="0" wp14:anchorId="05388747" wp14:editId="64AA74C6">
                  <wp:extent cx="95250" cy="142875"/>
                  <wp:effectExtent l="0" t="0" r="0" b="9525"/>
                  <wp:docPr id="21" name="Picture 2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 </w:t>
            </w:r>
            <w:r w:rsidR="00AE5A40">
              <w:rPr>
                <w:rFonts w:asciiTheme="minorHAnsi" w:eastAsia="Times New Roman" w:hAnsiTheme="minorHAnsi" w:cstheme="minorHAnsi"/>
                <w:color w:val="313131"/>
                <w:lang w:eastAsia="en-AU"/>
              </w:rPr>
              <w:t xml:space="preserve">in this free </w:t>
            </w:r>
            <w:hyperlink r:id="rId27" w:history="1">
              <w:r w:rsidR="00AE5A40" w:rsidRPr="00AE5A40">
                <w:rPr>
                  <w:rStyle w:val="Hyperlink"/>
                  <w:rFonts w:asciiTheme="minorHAnsi" w:eastAsia="Times New Roman" w:hAnsiTheme="minorHAnsi" w:cstheme="minorHAnsi"/>
                  <w:lang w:eastAsia="en-AU"/>
                </w:rPr>
                <w:t>Online Training</w:t>
              </w:r>
            </w:hyperlink>
            <w:r w:rsidR="00AE5A40">
              <w:rPr>
                <w:rFonts w:asciiTheme="minorHAnsi" w:eastAsia="Times New Roman" w:hAnsiTheme="minorHAnsi" w:cstheme="minorHAnsi"/>
                <w:color w:val="313131"/>
                <w:lang w:eastAsia="en-AU"/>
              </w:rPr>
              <w:t xml:space="preserve"> package </w:t>
            </w:r>
            <w:r w:rsidRPr="00271D2D">
              <w:rPr>
                <w:rFonts w:asciiTheme="minorHAnsi" w:eastAsia="Times New Roman" w:hAnsiTheme="minorHAnsi" w:cstheme="minorHAnsi"/>
                <w:lang w:eastAsia="en-AU"/>
              </w:rPr>
              <w:t>and on the </w:t>
            </w:r>
            <w:hyperlink r:id="rId28" w:history="1">
              <w:r w:rsidRPr="00423C11">
                <w:rPr>
                  <w:rFonts w:asciiTheme="minorHAnsi" w:eastAsia="Times New Roman" w:hAnsiTheme="minorHAnsi" w:cstheme="minorHAnsi"/>
                  <w:color w:val="0070C0"/>
                  <w:u w:val="single"/>
                  <w:lang w:eastAsia="en-AU"/>
                </w:rPr>
                <w:t>Community Services Directorate’s website</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0070C0"/>
                <w:lang w:eastAsia="en-AU"/>
              </w:rPr>
              <w:drawing>
                <wp:inline distT="0" distB="0" distL="0" distR="0" wp14:anchorId="7A4EC2CB" wp14:editId="3A93D10B">
                  <wp:extent cx="95250" cy="142875"/>
                  <wp:effectExtent l="0" t="0" r="0" b="9525"/>
                  <wp:docPr id="10" name="Picture 10"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0070C0"/>
                <w:lang w:eastAsia="en-AU"/>
              </w:rPr>
              <w:t>.</w:t>
            </w:r>
            <w:r w:rsidR="00EB00A6">
              <w:rPr>
                <w:rFonts w:asciiTheme="minorHAnsi" w:eastAsia="Times New Roman" w:hAnsiTheme="minorHAnsi" w:cstheme="minorHAnsi"/>
                <w:color w:val="0070C0"/>
                <w:lang w:eastAsia="en-AU"/>
              </w:rPr>
              <w:t xml:space="preserve">  </w:t>
            </w:r>
          </w:p>
          <w:p w14:paraId="7348DBF7" w14:textId="77777777" w:rsidR="00423C11" w:rsidRPr="00423C11" w:rsidRDefault="00423C11" w:rsidP="00423C11">
            <w:pPr>
              <w:spacing w:after="240"/>
              <w:rPr>
                <w:rFonts w:asciiTheme="minorHAnsi" w:hAnsiTheme="minorHAnsi" w:cstheme="minorHAnsi"/>
                <w:b/>
                <w:bCs/>
                <w:sz w:val="24"/>
                <w:szCs w:val="24"/>
              </w:rPr>
            </w:pPr>
            <w:r w:rsidRPr="00423C11">
              <w:rPr>
                <w:rFonts w:asciiTheme="minorHAnsi" w:hAnsiTheme="minorHAnsi" w:cstheme="minorHAnsi"/>
                <w:b/>
                <w:bCs/>
                <w:sz w:val="24"/>
                <w:szCs w:val="24"/>
              </w:rPr>
              <w:t>Child protection: Working with Vulnerable People checking</w:t>
            </w:r>
          </w:p>
          <w:p w14:paraId="4D2B8CA3" w14:textId="77777777" w:rsidR="00423C11" w:rsidRPr="00271D2D" w:rsidRDefault="00423C11" w:rsidP="00423C11">
            <w:pPr>
              <w:spacing w:after="240"/>
              <w:rPr>
                <w:rFonts w:asciiTheme="minorHAnsi" w:eastAsia="Times New Roman" w:hAnsiTheme="minorHAnsi" w:cstheme="minorHAnsi"/>
                <w:lang w:eastAsia="en-AU"/>
              </w:rPr>
            </w:pPr>
            <w:r w:rsidRPr="00271D2D">
              <w:rPr>
                <w:rFonts w:asciiTheme="minorHAnsi" w:eastAsia="Times New Roman" w:hAnsiTheme="minorHAnsi" w:cstheme="minorHAnsi"/>
                <w:lang w:eastAsia="en-AU"/>
              </w:rPr>
              <w:t>The</w:t>
            </w:r>
            <w:r w:rsidRPr="00423C11">
              <w:rPr>
                <w:rFonts w:asciiTheme="minorHAnsi" w:eastAsia="Times New Roman" w:hAnsiTheme="minorHAnsi" w:cstheme="minorHAnsi"/>
                <w:color w:val="313131"/>
                <w:lang w:eastAsia="en-AU"/>
              </w:rPr>
              <w:t> </w:t>
            </w:r>
            <w:hyperlink r:id="rId29" w:history="1">
              <w:r w:rsidRPr="00423C11">
                <w:rPr>
                  <w:rFonts w:asciiTheme="minorHAnsi" w:eastAsia="Times New Roman" w:hAnsiTheme="minorHAnsi" w:cstheme="minorHAnsi"/>
                  <w:i/>
                  <w:iCs/>
                  <w:color w:val="0070C0"/>
                  <w:u w:val="single"/>
                  <w:lang w:eastAsia="en-AU"/>
                </w:rPr>
                <w:t>Working with Vulnerable People (background Checking) Act 2011</w:t>
              </w:r>
            </w:hyperlink>
            <w:r w:rsidRPr="00423C11">
              <w:rPr>
                <w:rFonts w:asciiTheme="minorHAnsi" w:eastAsia="Times New Roman" w:hAnsiTheme="minorHAnsi" w:cstheme="minorHAnsi"/>
                <w:color w:val="0070C0"/>
                <w:u w:val="single"/>
                <w:lang w:eastAsia="en-AU"/>
              </w:rPr>
              <w:t> </w:t>
            </w:r>
            <w:r w:rsidRPr="00423C11">
              <w:rPr>
                <w:rFonts w:asciiTheme="minorHAnsi" w:eastAsia="Times New Roman" w:hAnsiTheme="minorHAnsi" w:cstheme="minorHAnsi"/>
                <w:noProof/>
                <w:color w:val="313131"/>
                <w:lang w:eastAsia="en-AU"/>
              </w:rPr>
              <w:drawing>
                <wp:inline distT="0" distB="0" distL="0" distR="0" wp14:anchorId="53C77108" wp14:editId="2548182C">
                  <wp:extent cx="95250" cy="142875"/>
                  <wp:effectExtent l="0" t="0" r="0" b="9525"/>
                  <wp:docPr id="11" name="Picture 1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 </w:t>
            </w:r>
            <w:r w:rsidRPr="00271D2D">
              <w:rPr>
                <w:rFonts w:asciiTheme="minorHAnsi" w:eastAsia="Times New Roman" w:hAnsiTheme="minorHAnsi" w:cstheme="minorHAnsi"/>
                <w:lang w:eastAsia="en-AU"/>
              </w:rPr>
              <w:t>requires all individuals working and volunteering in education and care services to have a background check and to be registered.</w:t>
            </w:r>
          </w:p>
          <w:p w14:paraId="1ABF3770" w14:textId="77777777" w:rsidR="00423C11" w:rsidRPr="00423C11" w:rsidRDefault="00423C11" w:rsidP="00423C11">
            <w:pPr>
              <w:rPr>
                <w:rFonts w:asciiTheme="minorHAnsi" w:eastAsia="Times New Roman" w:hAnsiTheme="minorHAnsi" w:cstheme="minorHAnsi"/>
                <w:color w:val="313131"/>
                <w:lang w:eastAsia="en-AU"/>
              </w:rPr>
            </w:pPr>
            <w:r w:rsidRPr="00271D2D">
              <w:rPr>
                <w:rFonts w:asciiTheme="minorHAnsi" w:eastAsia="Times New Roman" w:hAnsiTheme="minorHAnsi" w:cstheme="minorHAnsi"/>
                <w:lang w:eastAsia="en-AU"/>
              </w:rPr>
              <w:t xml:space="preserve">Providers and educators are required to maintain up to date records of Working with Vulnerable People (WWVP) Registration cards. This </w:t>
            </w:r>
            <w:proofErr w:type="gramStart"/>
            <w:r w:rsidRPr="00271D2D">
              <w:rPr>
                <w:rFonts w:asciiTheme="minorHAnsi" w:eastAsia="Times New Roman" w:hAnsiTheme="minorHAnsi" w:cstheme="minorHAnsi"/>
                <w:lang w:eastAsia="en-AU"/>
              </w:rPr>
              <w:t>includes the obligation upon individuals to carry their WWVP card at all times</w:t>
            </w:r>
            <w:proofErr w:type="gramEnd"/>
            <w:r w:rsidRPr="00271D2D">
              <w:rPr>
                <w:rFonts w:asciiTheme="minorHAnsi" w:eastAsia="Times New Roman" w:hAnsiTheme="minorHAnsi" w:cstheme="minorHAnsi"/>
                <w:lang w:eastAsia="en-AU"/>
              </w:rPr>
              <w:t xml:space="preserve"> while engaged in educating and caring for children in an education and care setting. For more information visit the </w:t>
            </w:r>
            <w:hyperlink r:id="rId30" w:anchor="!tabs-4" w:history="1">
              <w:r w:rsidRPr="00423C11">
                <w:rPr>
                  <w:rFonts w:asciiTheme="minorHAnsi" w:eastAsia="Times New Roman" w:hAnsiTheme="minorHAnsi" w:cstheme="minorHAnsi"/>
                  <w:color w:val="0070C0"/>
                  <w:u w:val="single"/>
                  <w:lang w:eastAsia="en-AU"/>
                </w:rPr>
                <w:t>Access Canberra’s website</w:t>
              </w:r>
            </w:hyperlink>
            <w:r w:rsidRPr="00423C11">
              <w:rPr>
                <w:rFonts w:asciiTheme="minorHAnsi" w:eastAsia="Times New Roman" w:hAnsiTheme="minorHAnsi" w:cstheme="minorHAnsi"/>
                <w:color w:val="0070C0"/>
                <w:lang w:eastAsia="en-AU"/>
              </w:rPr>
              <w:t> </w:t>
            </w:r>
            <w:r w:rsidRPr="00423C11">
              <w:rPr>
                <w:rFonts w:asciiTheme="minorHAnsi" w:eastAsia="Times New Roman" w:hAnsiTheme="minorHAnsi" w:cstheme="minorHAnsi"/>
                <w:noProof/>
                <w:color w:val="313131"/>
                <w:lang w:eastAsia="en-AU"/>
              </w:rPr>
              <w:drawing>
                <wp:inline distT="0" distB="0" distL="0" distR="0" wp14:anchorId="59D428C6" wp14:editId="3B2D1723">
                  <wp:extent cx="95250" cy="142875"/>
                  <wp:effectExtent l="0" t="0" r="0" b="9525"/>
                  <wp:docPr id="12" name="Picture 1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nal 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23C11">
              <w:rPr>
                <w:rFonts w:asciiTheme="minorHAnsi" w:eastAsia="Times New Roman" w:hAnsiTheme="minorHAnsi" w:cstheme="minorHAnsi"/>
                <w:color w:val="313131"/>
                <w:lang w:eastAsia="en-AU"/>
              </w:rPr>
              <w:t>.</w:t>
            </w:r>
          </w:p>
          <w:p w14:paraId="11BF6785" w14:textId="68EAEDEE" w:rsidR="00423C11" w:rsidRPr="00660D7B" w:rsidRDefault="007D4156" w:rsidP="00AC3D81">
            <w:pPr>
              <w:spacing w:after="240"/>
              <w:rPr>
                <w:rFonts w:asciiTheme="minorHAnsi" w:hAnsiTheme="minorHAnsi" w:cstheme="minorHAnsi"/>
              </w:rPr>
            </w:pPr>
            <w:r w:rsidRPr="00660D7B">
              <w:rPr>
                <w:rFonts w:asciiTheme="minorHAnsi" w:hAnsiTheme="minorHAnsi" w:cstheme="minorHAnsi"/>
                <w:noProof/>
              </w:rPr>
              <w:drawing>
                <wp:anchor distT="0" distB="0" distL="114300" distR="114300" simplePos="0" relativeHeight="251659264" behindDoc="1" locked="0" layoutInCell="1" allowOverlap="1" wp14:anchorId="56ED5F2E" wp14:editId="4929DDCB">
                  <wp:simplePos x="0" y="0"/>
                  <wp:positionH relativeFrom="column">
                    <wp:posOffset>-81915</wp:posOffset>
                  </wp:positionH>
                  <wp:positionV relativeFrom="paragraph">
                    <wp:posOffset>343535</wp:posOffset>
                  </wp:positionV>
                  <wp:extent cx="1273175" cy="1790700"/>
                  <wp:effectExtent l="0" t="0" r="3175" b="0"/>
                  <wp:wrapTight wrapText="bothSides">
                    <wp:wrapPolygon edited="0">
                      <wp:start x="0" y="0"/>
                      <wp:lineTo x="0" y="21370"/>
                      <wp:lineTo x="21331" y="21370"/>
                      <wp:lineTo x="21331" y="0"/>
                      <wp:lineTo x="0" y="0"/>
                    </wp:wrapPolygon>
                  </wp:wrapTight>
                  <wp:docPr id="22" name="Picture 22" descr="Self-assessment Tool cover with ACEC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assessment Tool cover with ACECQA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31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A4A53" w14:textId="2E575F2C" w:rsidR="004113E4" w:rsidRPr="00660D7B" w:rsidRDefault="004113E4" w:rsidP="004113E4">
            <w:pPr>
              <w:spacing w:before="100" w:beforeAutospacing="1" w:after="100" w:afterAutospacing="1" w:line="276" w:lineRule="auto"/>
              <w:rPr>
                <w:rFonts w:asciiTheme="minorHAnsi" w:hAnsiTheme="minorHAnsi" w:cstheme="minorHAnsi"/>
                <w:b/>
                <w:bCs/>
                <w:sz w:val="28"/>
                <w:szCs w:val="28"/>
              </w:rPr>
            </w:pPr>
            <w:r w:rsidRPr="00660D7B">
              <w:rPr>
                <w:rFonts w:asciiTheme="minorHAnsi" w:hAnsiTheme="minorHAnsi" w:cstheme="minorHAnsi"/>
                <w:b/>
                <w:bCs/>
                <w:sz w:val="28"/>
                <w:szCs w:val="28"/>
              </w:rPr>
              <w:t xml:space="preserve">Reflecting and planning for continuous improvement </w:t>
            </w:r>
          </w:p>
          <w:p w14:paraId="25E4025A" w14:textId="77777777" w:rsidR="007D4156" w:rsidRPr="00660D7B" w:rsidRDefault="004113E4" w:rsidP="007E693A">
            <w:pPr>
              <w:spacing w:before="240" w:after="240"/>
              <w:rPr>
                <w:rFonts w:asciiTheme="minorHAnsi" w:hAnsiTheme="minorHAnsi" w:cstheme="minorHAnsi"/>
              </w:rPr>
            </w:pPr>
            <w:r w:rsidRPr="00660D7B">
              <w:rPr>
                <w:rFonts w:asciiTheme="minorHAnsi" w:hAnsiTheme="minorHAnsi" w:cstheme="minorHAnsi"/>
              </w:rPr>
              <w:t xml:space="preserve">While 2020 was a very challenging year, times of change often provide important opportunities to review, reflect and plan for continuous improvement. </w:t>
            </w:r>
            <w:hyperlink r:id="rId32" w:anchor="SAT" w:history="1">
              <w:r w:rsidRPr="00660D7B">
                <w:rPr>
                  <w:rFonts w:asciiTheme="minorHAnsi" w:hAnsiTheme="minorHAnsi" w:cstheme="minorHAnsi"/>
                  <w:color w:val="0563C1"/>
                  <w:u w:val="single"/>
                </w:rPr>
                <w:t>ACECQA’s Self-assessment Tool</w:t>
              </w:r>
            </w:hyperlink>
            <w:r w:rsidRPr="00660D7B">
              <w:rPr>
                <w:rFonts w:asciiTheme="minorHAnsi" w:hAnsiTheme="minorHAnsi" w:cstheme="minorHAnsi"/>
              </w:rPr>
              <w:t xml:space="preserve"> can assist services to identify their strengths, </w:t>
            </w:r>
            <w:proofErr w:type="gramStart"/>
            <w:r w:rsidRPr="00660D7B">
              <w:rPr>
                <w:rFonts w:asciiTheme="minorHAnsi" w:hAnsiTheme="minorHAnsi" w:cstheme="minorHAnsi"/>
              </w:rPr>
              <w:t>compliance</w:t>
            </w:r>
            <w:proofErr w:type="gramEnd"/>
            <w:r w:rsidRPr="00660D7B">
              <w:rPr>
                <w:rFonts w:asciiTheme="minorHAnsi" w:hAnsiTheme="minorHAnsi" w:cstheme="minorHAnsi"/>
              </w:rPr>
              <w:t xml:space="preserve"> and opportunities for continuous improvement. </w:t>
            </w:r>
          </w:p>
          <w:p w14:paraId="41ACF664" w14:textId="2A4C5864" w:rsidR="009A3943" w:rsidRPr="00660D7B" w:rsidRDefault="004113E4" w:rsidP="007E693A">
            <w:pPr>
              <w:spacing w:before="240" w:after="240"/>
              <w:rPr>
                <w:rFonts w:asciiTheme="minorHAnsi" w:hAnsiTheme="minorHAnsi" w:cstheme="minorHAnsi"/>
              </w:rPr>
            </w:pPr>
            <w:r w:rsidRPr="00660D7B">
              <w:rPr>
                <w:rFonts w:asciiTheme="minorHAnsi" w:hAnsiTheme="minorHAnsi" w:cstheme="minorHAnsi"/>
              </w:rPr>
              <w:t>This tool can guide services through the process of self-assessment which can, where needed, inform their Quality Improvement Plan.</w:t>
            </w:r>
            <w:r w:rsidR="00172257" w:rsidRPr="00660D7B">
              <w:rPr>
                <w:rFonts w:asciiTheme="minorHAnsi" w:hAnsiTheme="minorHAnsi" w:cstheme="minorHAnsi"/>
              </w:rPr>
              <w:t xml:space="preserve"> </w:t>
            </w:r>
          </w:p>
          <w:p w14:paraId="10BDAFFE" w14:textId="77777777" w:rsidR="007D4156" w:rsidRPr="00660D7B" w:rsidRDefault="007D4156" w:rsidP="001B4761">
            <w:pPr>
              <w:rPr>
                <w:rFonts w:asciiTheme="minorHAnsi" w:hAnsiTheme="minorHAnsi" w:cstheme="minorHAnsi"/>
                <w:b/>
                <w:bCs/>
                <w:color w:val="000000"/>
                <w:sz w:val="28"/>
                <w:szCs w:val="28"/>
                <w:lang w:eastAsia="en-AU"/>
              </w:rPr>
            </w:pPr>
          </w:p>
          <w:p w14:paraId="24626668" w14:textId="77777777" w:rsidR="001B4761" w:rsidRPr="00660D7B" w:rsidRDefault="001B4761" w:rsidP="009A0D33">
            <w:pPr>
              <w:rPr>
                <w:rFonts w:asciiTheme="minorHAnsi" w:hAnsiTheme="minorHAnsi" w:cstheme="minorHAnsi"/>
                <w:b/>
                <w:bCs/>
                <w:color w:val="000000"/>
                <w:sz w:val="28"/>
                <w:szCs w:val="28"/>
                <w:lang w:eastAsia="en-AU"/>
              </w:rPr>
            </w:pPr>
          </w:p>
          <w:p w14:paraId="34AA2461" w14:textId="29906AEA" w:rsidR="009A0D33" w:rsidRPr="00660D7B" w:rsidRDefault="009A0D33" w:rsidP="009A0D33">
            <w:pPr>
              <w:rPr>
                <w:rFonts w:asciiTheme="minorHAnsi" w:hAnsiTheme="minorHAnsi" w:cstheme="minorHAnsi"/>
                <w:b/>
                <w:bCs/>
                <w:color w:val="000000"/>
                <w:sz w:val="28"/>
                <w:szCs w:val="28"/>
                <w:lang w:eastAsia="en-AU"/>
              </w:rPr>
            </w:pPr>
            <w:r w:rsidRPr="00660D7B">
              <w:rPr>
                <w:rFonts w:asciiTheme="minorHAnsi" w:hAnsiTheme="minorHAnsi" w:cstheme="minorHAnsi"/>
                <w:b/>
                <w:bCs/>
                <w:color w:val="000000"/>
                <w:sz w:val="28"/>
                <w:szCs w:val="28"/>
                <w:lang w:eastAsia="en-AU"/>
              </w:rPr>
              <w:t xml:space="preserve">CECA </w:t>
            </w:r>
            <w:r w:rsidR="00592C4E" w:rsidRPr="00660D7B">
              <w:rPr>
                <w:rFonts w:asciiTheme="minorHAnsi" w:hAnsiTheme="minorHAnsi" w:cstheme="minorHAnsi"/>
                <w:b/>
                <w:bCs/>
                <w:color w:val="000000"/>
                <w:sz w:val="28"/>
                <w:szCs w:val="28"/>
                <w:lang w:eastAsia="en-AU"/>
              </w:rPr>
              <w:t xml:space="preserve">communication channels </w:t>
            </w:r>
          </w:p>
          <w:p w14:paraId="41287EE6" w14:textId="77777777" w:rsidR="00AC3D81" w:rsidRPr="00660D7B" w:rsidRDefault="00AC3D81" w:rsidP="009A0D33">
            <w:pPr>
              <w:rPr>
                <w:rFonts w:asciiTheme="minorHAnsi" w:hAnsiTheme="minorHAnsi" w:cstheme="minorHAnsi"/>
                <w:b/>
                <w:bCs/>
                <w:color w:val="000000"/>
                <w:sz w:val="28"/>
                <w:szCs w:val="28"/>
                <w:lang w:eastAsia="en-AU"/>
              </w:rPr>
            </w:pPr>
          </w:p>
          <w:p w14:paraId="63C84B67" w14:textId="77777777" w:rsidR="00585198" w:rsidRPr="00660D7B" w:rsidRDefault="00592C4E" w:rsidP="009A0D33">
            <w:pPr>
              <w:rPr>
                <w:rFonts w:asciiTheme="minorHAnsi" w:hAnsiTheme="minorHAnsi" w:cstheme="minorHAnsi"/>
                <w:color w:val="000000"/>
                <w:lang w:eastAsia="en-AU"/>
              </w:rPr>
            </w:pPr>
            <w:r w:rsidRPr="00660D7B">
              <w:rPr>
                <w:rFonts w:asciiTheme="minorHAnsi" w:hAnsiTheme="minorHAnsi" w:cstheme="minorHAnsi"/>
                <w:color w:val="000000"/>
                <w:lang w:eastAsia="en-AU"/>
              </w:rPr>
              <w:t xml:space="preserve">To keep up to date with information from CECA all providers, service leaders and educators are encouraged to </w:t>
            </w:r>
            <w:r w:rsidR="00D9738D" w:rsidRPr="00660D7B">
              <w:rPr>
                <w:rFonts w:asciiTheme="minorHAnsi" w:hAnsiTheme="minorHAnsi" w:cstheme="minorHAnsi"/>
                <w:color w:val="000000"/>
                <w:lang w:eastAsia="en-AU"/>
              </w:rPr>
              <w:t xml:space="preserve">connect with CECA’s communication channels. </w:t>
            </w:r>
            <w:r w:rsidR="009A0D33" w:rsidRPr="00660D7B">
              <w:rPr>
                <w:rFonts w:asciiTheme="minorHAnsi" w:hAnsiTheme="minorHAnsi" w:cstheme="minorHAnsi"/>
                <w:color w:val="000000"/>
                <w:lang w:eastAsia="en-AU"/>
              </w:rPr>
              <w:t xml:space="preserve">Subscribe to receive all CECA </w:t>
            </w:r>
            <w:r w:rsidR="00D9738D" w:rsidRPr="00660D7B">
              <w:rPr>
                <w:rFonts w:asciiTheme="minorHAnsi" w:hAnsiTheme="minorHAnsi" w:cstheme="minorHAnsi"/>
                <w:color w:val="000000"/>
                <w:lang w:eastAsia="en-AU"/>
              </w:rPr>
              <w:t xml:space="preserve">email </w:t>
            </w:r>
            <w:r w:rsidR="009A0D33" w:rsidRPr="00660D7B">
              <w:rPr>
                <w:rFonts w:asciiTheme="minorHAnsi" w:hAnsiTheme="minorHAnsi" w:cstheme="minorHAnsi"/>
                <w:color w:val="000000"/>
                <w:lang w:eastAsia="en-AU"/>
              </w:rPr>
              <w:t xml:space="preserve">communications with a request </w:t>
            </w:r>
            <w:r w:rsidR="00F03299" w:rsidRPr="00660D7B">
              <w:rPr>
                <w:rFonts w:asciiTheme="minorHAnsi" w:hAnsiTheme="minorHAnsi" w:cstheme="minorHAnsi"/>
              </w:rPr>
              <w:t xml:space="preserve">in writing </w:t>
            </w:r>
            <w:hyperlink r:id="rId33" w:history="1">
              <w:r w:rsidR="00F03299" w:rsidRPr="00660D7B">
                <w:rPr>
                  <w:rStyle w:val="Hyperlink"/>
                  <w:rFonts w:asciiTheme="minorHAnsi" w:hAnsiTheme="minorHAnsi" w:cstheme="minorHAnsi"/>
                </w:rPr>
                <w:t>here</w:t>
              </w:r>
            </w:hyperlink>
            <w:r w:rsidR="00D9738D" w:rsidRPr="00660D7B">
              <w:rPr>
                <w:rStyle w:val="Hyperlink"/>
                <w:rFonts w:asciiTheme="minorHAnsi" w:hAnsiTheme="minorHAnsi" w:cstheme="minorHAnsi"/>
                <w:color w:val="auto"/>
                <w:u w:val="none"/>
              </w:rPr>
              <w:t>,</w:t>
            </w:r>
            <w:r w:rsidR="00D9738D" w:rsidRPr="00660D7B">
              <w:rPr>
                <w:rStyle w:val="Hyperlink"/>
                <w:rFonts w:asciiTheme="minorHAnsi" w:hAnsiTheme="minorHAnsi" w:cstheme="minorHAnsi"/>
                <w:u w:val="none"/>
              </w:rPr>
              <w:t xml:space="preserve"> </w:t>
            </w:r>
            <w:r w:rsidR="00D9738D" w:rsidRPr="00660D7B">
              <w:rPr>
                <w:rStyle w:val="Hyperlink"/>
                <w:rFonts w:asciiTheme="minorHAnsi" w:hAnsiTheme="minorHAnsi" w:cstheme="minorHAnsi"/>
                <w:color w:val="auto"/>
                <w:u w:val="none"/>
              </w:rPr>
              <w:t>f</w:t>
            </w:r>
            <w:r w:rsidR="009A0D33" w:rsidRPr="00660D7B">
              <w:rPr>
                <w:rFonts w:asciiTheme="minorHAnsi" w:hAnsiTheme="minorHAnsi" w:cstheme="minorHAnsi"/>
                <w:color w:val="000000"/>
                <w:lang w:eastAsia="en-AU"/>
              </w:rPr>
              <w:t xml:space="preserve">ollow CECA’s </w:t>
            </w:r>
            <w:hyperlink r:id="rId34" w:history="1">
              <w:r w:rsidR="009A0D33" w:rsidRPr="00660D7B">
                <w:rPr>
                  <w:rStyle w:val="Hyperlink"/>
                  <w:rFonts w:asciiTheme="minorHAnsi" w:hAnsiTheme="minorHAnsi" w:cstheme="minorHAnsi"/>
                  <w:lang w:eastAsia="en-AU"/>
                </w:rPr>
                <w:t>Facebook</w:t>
              </w:r>
            </w:hyperlink>
            <w:r w:rsidR="009A0D33" w:rsidRPr="00660D7B">
              <w:rPr>
                <w:rFonts w:asciiTheme="minorHAnsi" w:hAnsiTheme="minorHAnsi" w:cstheme="minorHAnsi"/>
                <w:color w:val="000000"/>
                <w:lang w:eastAsia="en-AU"/>
              </w:rPr>
              <w:t xml:space="preserve"> page</w:t>
            </w:r>
            <w:r w:rsidR="00D9738D" w:rsidRPr="00660D7B">
              <w:rPr>
                <w:rFonts w:asciiTheme="minorHAnsi" w:hAnsiTheme="minorHAnsi" w:cstheme="minorHAnsi"/>
                <w:color w:val="000000"/>
                <w:lang w:eastAsia="en-AU"/>
              </w:rPr>
              <w:t xml:space="preserve"> and </w:t>
            </w:r>
            <w:hyperlink r:id="rId35" w:history="1">
              <w:r w:rsidR="00585198" w:rsidRPr="00660D7B">
                <w:rPr>
                  <w:rStyle w:val="Hyperlink"/>
                  <w:rFonts w:asciiTheme="minorHAnsi" w:eastAsia="Times New Roman" w:hAnsiTheme="minorHAnsi" w:cstheme="minorHAnsi"/>
                </w:rPr>
                <w:t>Eventbrite</w:t>
              </w:r>
            </w:hyperlink>
            <w:r w:rsidR="00585198" w:rsidRPr="00660D7B">
              <w:rPr>
                <w:rFonts w:asciiTheme="minorHAnsi" w:eastAsia="Times New Roman" w:hAnsiTheme="minorHAnsi" w:cstheme="minorHAnsi"/>
              </w:rPr>
              <w:t xml:space="preserve"> </w:t>
            </w:r>
            <w:r w:rsidR="0029503B" w:rsidRPr="00660D7B">
              <w:rPr>
                <w:rFonts w:asciiTheme="minorHAnsi" w:hAnsiTheme="minorHAnsi" w:cstheme="minorHAnsi"/>
                <w:color w:val="000000"/>
                <w:lang w:eastAsia="en-AU"/>
              </w:rPr>
              <w:t xml:space="preserve">platform.  </w:t>
            </w:r>
          </w:p>
          <w:p w14:paraId="54A13477" w14:textId="77777777" w:rsidR="00585198" w:rsidRPr="00660D7B" w:rsidRDefault="00585198" w:rsidP="009A0D33">
            <w:pPr>
              <w:rPr>
                <w:rFonts w:asciiTheme="minorHAnsi" w:hAnsiTheme="minorHAnsi" w:cstheme="minorHAnsi"/>
                <w:color w:val="000000"/>
                <w:lang w:eastAsia="en-AU"/>
              </w:rPr>
            </w:pPr>
          </w:p>
          <w:p w14:paraId="60FDAD60" w14:textId="1C9BDDD1" w:rsidR="00D9738D" w:rsidRPr="00660D7B" w:rsidRDefault="006B43B5" w:rsidP="009A0D33">
            <w:pPr>
              <w:rPr>
                <w:rFonts w:asciiTheme="minorHAnsi" w:hAnsiTheme="minorHAnsi" w:cstheme="minorHAnsi"/>
                <w:color w:val="000000"/>
                <w:lang w:eastAsia="en-AU"/>
              </w:rPr>
            </w:pPr>
            <w:r w:rsidRPr="00660D7B">
              <w:rPr>
                <w:rFonts w:asciiTheme="minorHAnsi" w:hAnsiTheme="minorHAnsi" w:cstheme="minorHAnsi"/>
                <w:color w:val="000000"/>
                <w:lang w:eastAsia="en-AU"/>
              </w:rPr>
              <w:t>Visit the Education Directorate website regularly for new content</w:t>
            </w:r>
            <w:r w:rsidR="003F53BC">
              <w:rPr>
                <w:rFonts w:asciiTheme="minorHAnsi" w:hAnsiTheme="minorHAnsi" w:cstheme="minorHAnsi"/>
                <w:color w:val="000000"/>
                <w:lang w:eastAsia="en-AU"/>
              </w:rPr>
              <w:t xml:space="preserve">. </w:t>
            </w:r>
            <w:r w:rsidR="001A0FA9" w:rsidRPr="00660D7B">
              <w:rPr>
                <w:rFonts w:asciiTheme="minorHAnsi" w:hAnsiTheme="minorHAnsi" w:cstheme="minorHAnsi"/>
                <w:color w:val="000000"/>
                <w:lang w:eastAsia="en-AU"/>
              </w:rPr>
              <w:t>CECA’s webpage includes</w:t>
            </w:r>
            <w:r w:rsidR="00433FAF" w:rsidRPr="00660D7B">
              <w:rPr>
                <w:rFonts w:asciiTheme="minorHAnsi" w:hAnsiTheme="minorHAnsi" w:cstheme="minorHAnsi"/>
                <w:color w:val="000000"/>
                <w:lang w:eastAsia="en-AU"/>
              </w:rPr>
              <w:t xml:space="preserve"> CECA</w:t>
            </w:r>
            <w:r w:rsidR="003F53BC">
              <w:rPr>
                <w:rFonts w:asciiTheme="minorHAnsi" w:hAnsiTheme="minorHAnsi" w:cstheme="minorHAnsi"/>
                <w:color w:val="000000"/>
                <w:lang w:eastAsia="en-AU"/>
              </w:rPr>
              <w:t xml:space="preserve"> </w:t>
            </w:r>
            <w:hyperlink r:id="rId36" w:history="1">
              <w:r w:rsidR="00433FAF" w:rsidRPr="00660D7B">
                <w:rPr>
                  <w:rStyle w:val="Hyperlink"/>
                  <w:rFonts w:asciiTheme="minorHAnsi" w:hAnsiTheme="minorHAnsi" w:cstheme="minorHAnsi"/>
                  <w:lang w:eastAsia="en-AU"/>
                </w:rPr>
                <w:t>Alerts, Notifications, Updates and Talking Quality editions</w:t>
              </w:r>
            </w:hyperlink>
            <w:r w:rsidR="00433FAF" w:rsidRPr="00660D7B">
              <w:rPr>
                <w:rFonts w:asciiTheme="minorHAnsi" w:hAnsiTheme="minorHAnsi" w:cstheme="minorHAnsi"/>
                <w:color w:val="000000"/>
                <w:lang w:eastAsia="en-AU"/>
              </w:rPr>
              <w:t xml:space="preserve">. </w:t>
            </w:r>
          </w:p>
          <w:p w14:paraId="20BBB69E" w14:textId="77777777" w:rsidR="00930D0D" w:rsidRPr="00660D7B" w:rsidRDefault="00930D0D">
            <w:pPr>
              <w:rPr>
                <w:rFonts w:asciiTheme="minorHAnsi" w:hAnsiTheme="minorHAnsi" w:cstheme="minorHAnsi"/>
                <w:color w:val="000000" w:themeColor="text1"/>
                <w:kern w:val="24"/>
                <w:lang w:eastAsia="en-AU"/>
              </w:rPr>
            </w:pPr>
          </w:p>
          <w:p w14:paraId="5C598C82" w14:textId="7A04F1D0" w:rsidR="00930D0D" w:rsidRPr="00660D7B" w:rsidRDefault="00930D0D" w:rsidP="001C1EF5">
            <w:pPr>
              <w:rPr>
                <w:rFonts w:asciiTheme="minorHAnsi" w:hAnsiTheme="minorHAnsi" w:cstheme="minorHAnsi"/>
              </w:rPr>
            </w:pPr>
            <w:r w:rsidRPr="00660D7B">
              <w:rPr>
                <w:rFonts w:asciiTheme="minorHAnsi" w:hAnsiTheme="minorHAnsi" w:cstheme="minorHAnsi"/>
                <w:color w:val="000000" w:themeColor="text1"/>
                <w:kern w:val="24"/>
                <w:lang w:eastAsia="en-AU"/>
              </w:rPr>
              <w:t xml:space="preserve">For enquires in relation to this notification please call CECA on (02) </w:t>
            </w:r>
            <w:r w:rsidRPr="00660D7B">
              <w:rPr>
                <w:rFonts w:asciiTheme="minorHAnsi" w:hAnsiTheme="minorHAnsi" w:cstheme="minorHAnsi"/>
                <w:lang w:eastAsia="en-AU"/>
              </w:rPr>
              <w:t xml:space="preserve">6207 1114 or email </w:t>
            </w:r>
            <w:hyperlink r:id="rId37" w:history="1">
              <w:r w:rsidRPr="00660D7B">
                <w:rPr>
                  <w:rStyle w:val="Hyperlink"/>
                  <w:rFonts w:asciiTheme="minorHAnsi" w:hAnsiTheme="minorHAnsi" w:cstheme="minorHAnsi"/>
                  <w:lang w:val="en-US"/>
                </w:rPr>
                <w:t>CECA@act.gov.au</w:t>
              </w:r>
            </w:hyperlink>
          </w:p>
          <w:p w14:paraId="72705182" w14:textId="77777777" w:rsidR="00930D0D" w:rsidRPr="00660D7B" w:rsidRDefault="00930D0D">
            <w:pPr>
              <w:jc w:val="center"/>
              <w:rPr>
                <w:rFonts w:asciiTheme="minorHAnsi" w:hAnsiTheme="minorHAnsi" w:cstheme="minorHAnsi"/>
              </w:rPr>
            </w:pPr>
          </w:p>
          <w:p w14:paraId="59F3D2D9" w14:textId="77777777" w:rsidR="00930D0D" w:rsidRPr="00660D7B" w:rsidRDefault="00930D0D">
            <w:pPr>
              <w:pStyle w:val="NormalWeb"/>
              <w:jc w:val="center"/>
              <w:rPr>
                <w:rFonts w:asciiTheme="minorHAnsi" w:hAnsiTheme="minorHAnsi" w:cstheme="minorHAnsi"/>
                <w:color w:val="333132"/>
                <w:sz w:val="20"/>
                <w:szCs w:val="20"/>
              </w:rPr>
            </w:pPr>
            <w:r w:rsidRPr="00660D7B">
              <w:rPr>
                <w:rFonts w:asciiTheme="minorHAnsi" w:hAnsiTheme="minorHAnsi" w:cstheme="minorHAnsi"/>
              </w:rPr>
              <w:t xml:space="preserve">This email has been authorised by the ACT Regulatory Authority (CECA). CECA are </w:t>
            </w:r>
            <w:r w:rsidRPr="00660D7B">
              <w:rPr>
                <w:rFonts w:asciiTheme="minorHAnsi" w:eastAsia="+mn-ea" w:hAnsiTheme="minorHAnsi" w:cstheme="minorHAnsi"/>
                <w:kern w:val="24"/>
              </w:rPr>
              <w:t>responsible for administering the</w:t>
            </w:r>
            <w:r w:rsidRPr="00660D7B">
              <w:rPr>
                <w:rFonts w:asciiTheme="minorHAnsi" w:hAnsiTheme="minorHAnsi" w:cstheme="minorHAnsi"/>
                <w:kern w:val="24"/>
              </w:rPr>
              <w:t xml:space="preserve"> </w:t>
            </w:r>
            <w:r w:rsidRPr="00660D7B">
              <w:rPr>
                <w:rFonts w:asciiTheme="minorHAnsi" w:hAnsiTheme="minorHAnsi" w:cstheme="minorHAnsi"/>
              </w:rPr>
              <w:t>National Quality Framework within the ACT.</w:t>
            </w:r>
          </w:p>
        </w:tc>
      </w:tr>
    </w:tbl>
    <w:p w14:paraId="09CD009B" w14:textId="77777777" w:rsidR="00930D0D" w:rsidRPr="00660D7B" w:rsidRDefault="00930D0D" w:rsidP="00930D0D">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739"/>
      </w:tblGrid>
      <w:tr w:rsidR="00930D0D" w:rsidRPr="00660D7B" w14:paraId="5619182D" w14:textId="77777777" w:rsidTr="00930D0D">
        <w:trPr>
          <w:tblCellSpacing w:w="0" w:type="dxa"/>
          <w:jc w:val="center"/>
          <w:hidden/>
        </w:trPr>
        <w:tc>
          <w:tcPr>
            <w:tcW w:w="0" w:type="auto"/>
            <w:shd w:val="clear" w:color="auto" w:fill="5C5C5C"/>
            <w:vAlign w:val="center"/>
            <w:hideMark/>
          </w:tcPr>
          <w:p w14:paraId="189CE565" w14:textId="77777777" w:rsidR="00930D0D" w:rsidRPr="00660D7B" w:rsidRDefault="00930D0D">
            <w:pPr>
              <w:rPr>
                <w:rFonts w:asciiTheme="minorHAnsi" w:hAnsiTheme="minorHAnsi" w:cstheme="minorHAnsi"/>
                <w:vanish/>
                <w:color w:val="333132"/>
              </w:rPr>
            </w:pPr>
          </w:p>
        </w:tc>
      </w:tr>
      <w:tr w:rsidR="00930D0D" w:rsidRPr="00660D7B" w14:paraId="05C5B2BA" w14:textId="77777777" w:rsidTr="00930D0D">
        <w:trPr>
          <w:tblCellSpacing w:w="0" w:type="dxa"/>
          <w:jc w:val="center"/>
        </w:trPr>
        <w:tc>
          <w:tcPr>
            <w:tcW w:w="0" w:type="auto"/>
            <w:shd w:val="clear" w:color="auto" w:fill="5C5C5C"/>
            <w:vAlign w:val="center"/>
            <w:hideMark/>
          </w:tcPr>
          <w:tbl>
            <w:tblPr>
              <w:tblW w:w="10739" w:type="dxa"/>
              <w:jc w:val="center"/>
              <w:tblCellSpacing w:w="0" w:type="dxa"/>
              <w:shd w:val="clear" w:color="auto" w:fill="FFFFFF"/>
              <w:tblCellMar>
                <w:left w:w="0" w:type="dxa"/>
                <w:right w:w="0" w:type="dxa"/>
              </w:tblCellMar>
              <w:tblLook w:val="04A0" w:firstRow="1" w:lastRow="0" w:firstColumn="1" w:lastColumn="0" w:noHBand="0" w:noVBand="1"/>
            </w:tblPr>
            <w:tblGrid>
              <w:gridCol w:w="4263"/>
              <w:gridCol w:w="91"/>
              <w:gridCol w:w="6385"/>
            </w:tblGrid>
            <w:tr w:rsidR="00930D0D" w:rsidRPr="00660D7B" w14:paraId="624AD1D0" w14:textId="77777777" w:rsidTr="007C0994">
              <w:trPr>
                <w:gridAfter w:val="2"/>
                <w:trHeight w:val="157"/>
                <w:tblCellSpacing w:w="0" w:type="dxa"/>
                <w:jc w:val="center"/>
              </w:trPr>
              <w:tc>
                <w:tcPr>
                  <w:tcW w:w="0" w:type="auto"/>
                  <w:shd w:val="clear" w:color="auto" w:fill="5C5C5C"/>
                  <w:vAlign w:val="center"/>
                  <w:hideMark/>
                </w:tcPr>
                <w:p w14:paraId="1BC150F0" w14:textId="77777777" w:rsidR="00930D0D" w:rsidRPr="00660D7B" w:rsidRDefault="00930D0D">
                  <w:pPr>
                    <w:rPr>
                      <w:rFonts w:asciiTheme="minorHAnsi" w:eastAsia="Times New Roman" w:hAnsiTheme="minorHAnsi" w:cstheme="minorHAnsi"/>
                      <w:sz w:val="20"/>
                      <w:szCs w:val="20"/>
                      <w:lang w:eastAsia="en-AU"/>
                    </w:rPr>
                  </w:pPr>
                </w:p>
              </w:tc>
            </w:tr>
            <w:tr w:rsidR="00930D0D" w:rsidRPr="00660D7B" w14:paraId="0ADACE40" w14:textId="77777777" w:rsidTr="007C0994">
              <w:trPr>
                <w:trHeight w:val="1117"/>
                <w:tblCellSpacing w:w="0" w:type="dxa"/>
                <w:jc w:val="center"/>
              </w:trPr>
              <w:tc>
                <w:tcPr>
                  <w:tcW w:w="0" w:type="auto"/>
                  <w:shd w:val="clear" w:color="auto" w:fill="5C5C5C"/>
                  <w:tcMar>
                    <w:top w:w="120" w:type="dxa"/>
                    <w:left w:w="630" w:type="dxa"/>
                    <w:bottom w:w="120" w:type="dxa"/>
                    <w:right w:w="0" w:type="dxa"/>
                  </w:tcMar>
                  <w:vAlign w:val="center"/>
                  <w:hideMark/>
                </w:tcPr>
                <w:p w14:paraId="6B601577" w14:textId="77777777" w:rsidR="00930D0D" w:rsidRPr="00660D7B" w:rsidRDefault="00930D0D">
                  <w:pPr>
                    <w:pStyle w:val="NormalWeb"/>
                    <w:rPr>
                      <w:rFonts w:asciiTheme="minorHAnsi" w:hAnsiTheme="minorHAnsi" w:cstheme="minorHAnsi"/>
                      <w:color w:val="FFFFFF"/>
                      <w:sz w:val="20"/>
                      <w:szCs w:val="20"/>
                    </w:rPr>
                  </w:pPr>
                  <w:r w:rsidRPr="00660D7B">
                    <w:rPr>
                      <w:rFonts w:asciiTheme="minorHAnsi" w:hAnsiTheme="minorHAnsi" w:cstheme="minorHAnsi"/>
                      <w:noProof/>
                      <w:color w:val="0000FF"/>
                      <w:sz w:val="20"/>
                      <w:szCs w:val="20"/>
                    </w:rPr>
                    <w:lastRenderedPageBreak/>
                    <w:drawing>
                      <wp:inline distT="0" distB="0" distL="0" distR="0" wp14:anchorId="396CD52D" wp14:editId="45954FD1">
                        <wp:extent cx="1089660" cy="350520"/>
                        <wp:effectExtent l="0" t="0" r="0" b="0"/>
                        <wp:docPr id="2" name="Picture 2" descr="facebook">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cebook">
                                  <a:hlinkClick r:id="rId34"/>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14:paraId="60246E90" w14:textId="77777777" w:rsidR="00930D0D" w:rsidRPr="00660D7B" w:rsidRDefault="00930D0D">
                  <w:pPr>
                    <w:jc w:val="center"/>
                    <w:rPr>
                      <w:rFonts w:asciiTheme="minorHAnsi" w:hAnsiTheme="minorHAnsi" w:cstheme="minorHAnsi"/>
                      <w:color w:val="333132"/>
                    </w:rPr>
                  </w:pPr>
                  <w:r w:rsidRPr="00660D7B">
                    <w:rPr>
                      <w:rFonts w:asciiTheme="minorHAnsi" w:hAnsiTheme="minorHAnsi" w:cstheme="minorHAnsi"/>
                      <w:color w:val="333132"/>
                    </w:rPr>
                    <w:t> </w:t>
                  </w:r>
                </w:p>
              </w:tc>
              <w:tc>
                <w:tcPr>
                  <w:tcW w:w="0" w:type="auto"/>
                  <w:shd w:val="clear" w:color="auto" w:fill="5C5C5C"/>
                  <w:tcMar>
                    <w:top w:w="120" w:type="dxa"/>
                    <w:left w:w="0" w:type="dxa"/>
                    <w:bottom w:w="120" w:type="dxa"/>
                    <w:right w:w="525" w:type="dxa"/>
                  </w:tcMar>
                  <w:vAlign w:val="center"/>
                  <w:hideMark/>
                </w:tcPr>
                <w:p w14:paraId="70B27FB9" w14:textId="77777777" w:rsidR="00930D0D" w:rsidRPr="00660D7B" w:rsidRDefault="00930D0D">
                  <w:pPr>
                    <w:jc w:val="right"/>
                    <w:rPr>
                      <w:rFonts w:asciiTheme="minorHAnsi" w:hAnsiTheme="minorHAnsi" w:cstheme="minorHAnsi"/>
                      <w:color w:val="333132"/>
                    </w:rPr>
                  </w:pPr>
                  <w:r w:rsidRPr="00660D7B">
                    <w:rPr>
                      <w:rFonts w:asciiTheme="minorHAnsi" w:hAnsiTheme="minorHAnsi" w:cstheme="minorHAnsi"/>
                      <w:noProof/>
                      <w:color w:val="333132"/>
                    </w:rPr>
                    <w:drawing>
                      <wp:inline distT="0" distB="0" distL="0" distR="0" wp14:anchorId="30A803F4" wp14:editId="38AC6AA1">
                        <wp:extent cx="1897380" cy="647700"/>
                        <wp:effectExtent l="0" t="0" r="0" b="0"/>
                        <wp:docPr id="1" name="Picture 1"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Integrity, Collaboration and Innovation, the ACTPS Values and Signature Behaivours"/>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14:paraId="0727326A" w14:textId="77777777" w:rsidR="00930D0D" w:rsidRPr="00660D7B" w:rsidRDefault="00930D0D">
            <w:pPr>
              <w:jc w:val="center"/>
              <w:rPr>
                <w:rFonts w:asciiTheme="minorHAnsi" w:eastAsia="Times New Roman" w:hAnsiTheme="minorHAnsi" w:cstheme="minorHAnsi"/>
                <w:sz w:val="20"/>
                <w:szCs w:val="20"/>
                <w:lang w:eastAsia="en-AU"/>
              </w:rPr>
            </w:pPr>
          </w:p>
        </w:tc>
      </w:tr>
      <w:bookmarkEnd w:id="1"/>
    </w:tbl>
    <w:p w14:paraId="35F767A2" w14:textId="77777777" w:rsidR="001C49DD" w:rsidRPr="00660D7B" w:rsidRDefault="001C49DD" w:rsidP="005D7BE4">
      <w:pPr>
        <w:rPr>
          <w:rFonts w:asciiTheme="minorHAnsi" w:hAnsiTheme="minorHAnsi" w:cstheme="minorHAnsi"/>
        </w:rPr>
      </w:pPr>
    </w:p>
    <w:sectPr w:rsidR="001C49DD" w:rsidRPr="0066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C59"/>
    <w:multiLevelType w:val="hybridMultilevel"/>
    <w:tmpl w:val="A4C00C9A"/>
    <w:lvl w:ilvl="0" w:tplc="DA2C7F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156DC"/>
    <w:multiLevelType w:val="hybridMultilevel"/>
    <w:tmpl w:val="01D6B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653C3C"/>
    <w:multiLevelType w:val="multilevel"/>
    <w:tmpl w:val="1CB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767C3"/>
    <w:multiLevelType w:val="hybridMultilevel"/>
    <w:tmpl w:val="60203A48"/>
    <w:lvl w:ilvl="0" w:tplc="07EA14C2">
      <w:start w:val="1"/>
      <w:numFmt w:val="bullet"/>
      <w:lvlText w:val="­"/>
      <w:lvlJc w:val="left"/>
      <w:pPr>
        <w:ind w:left="1485" w:hanging="360"/>
      </w:pPr>
      <w:rPr>
        <w:rFonts w:ascii="Courier New" w:hAnsi="Courier New" w:cs="Times New Roman" w:hint="default"/>
      </w:rPr>
    </w:lvl>
    <w:lvl w:ilvl="1" w:tplc="0C090003">
      <w:start w:val="1"/>
      <w:numFmt w:val="bullet"/>
      <w:lvlText w:val="o"/>
      <w:lvlJc w:val="left"/>
      <w:pPr>
        <w:ind w:left="2205" w:hanging="360"/>
      </w:pPr>
      <w:rPr>
        <w:rFonts w:ascii="Courier New" w:hAnsi="Courier New" w:cs="Courier New" w:hint="default"/>
      </w:rPr>
    </w:lvl>
    <w:lvl w:ilvl="2" w:tplc="0C090005">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start w:val="1"/>
      <w:numFmt w:val="bullet"/>
      <w:lvlText w:val="o"/>
      <w:lvlJc w:val="left"/>
      <w:pPr>
        <w:ind w:left="4365" w:hanging="360"/>
      </w:pPr>
      <w:rPr>
        <w:rFonts w:ascii="Courier New" w:hAnsi="Courier New" w:cs="Courier New"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Courier New" w:hint="default"/>
      </w:rPr>
    </w:lvl>
    <w:lvl w:ilvl="8" w:tplc="0C090005">
      <w:start w:val="1"/>
      <w:numFmt w:val="bullet"/>
      <w:lvlText w:val=""/>
      <w:lvlJc w:val="left"/>
      <w:pPr>
        <w:ind w:left="7245" w:hanging="360"/>
      </w:pPr>
      <w:rPr>
        <w:rFonts w:ascii="Wingdings" w:hAnsi="Wingdings" w:hint="default"/>
      </w:rPr>
    </w:lvl>
  </w:abstractNum>
  <w:abstractNum w:abstractNumId="4" w15:restartNumberingAfterBreak="0">
    <w:nsid w:val="26CB6DA5"/>
    <w:multiLevelType w:val="multilevel"/>
    <w:tmpl w:val="3BC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226CB"/>
    <w:multiLevelType w:val="multilevel"/>
    <w:tmpl w:val="EC2E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9D6CA0"/>
    <w:multiLevelType w:val="hybridMultilevel"/>
    <w:tmpl w:val="F560E64C"/>
    <w:lvl w:ilvl="0" w:tplc="DA2C7F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B1805"/>
    <w:multiLevelType w:val="multilevel"/>
    <w:tmpl w:val="5DB8C11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46707165"/>
    <w:multiLevelType w:val="hybridMultilevel"/>
    <w:tmpl w:val="F970F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D502BF"/>
    <w:multiLevelType w:val="hybridMultilevel"/>
    <w:tmpl w:val="333840B2"/>
    <w:lvl w:ilvl="0" w:tplc="DA2C7F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3921D0"/>
    <w:multiLevelType w:val="hybridMultilevel"/>
    <w:tmpl w:val="A69E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10"/>
  </w:num>
  <w:num w:numId="6">
    <w:abstractNumId w:val="6"/>
  </w:num>
  <w:num w:numId="7">
    <w:abstractNumId w:val="9"/>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0D"/>
    <w:rsid w:val="00062843"/>
    <w:rsid w:val="000838D8"/>
    <w:rsid w:val="000B507C"/>
    <w:rsid w:val="000C2532"/>
    <w:rsid w:val="000C3A4D"/>
    <w:rsid w:val="000E2229"/>
    <w:rsid w:val="000F2875"/>
    <w:rsid w:val="0011537A"/>
    <w:rsid w:val="0013007C"/>
    <w:rsid w:val="00133BBB"/>
    <w:rsid w:val="00156D0F"/>
    <w:rsid w:val="00161D01"/>
    <w:rsid w:val="001649BD"/>
    <w:rsid w:val="00165C94"/>
    <w:rsid w:val="00172257"/>
    <w:rsid w:val="001737DB"/>
    <w:rsid w:val="001908AD"/>
    <w:rsid w:val="00192DED"/>
    <w:rsid w:val="001A0FA9"/>
    <w:rsid w:val="001A505D"/>
    <w:rsid w:val="001A7168"/>
    <w:rsid w:val="001A7CDB"/>
    <w:rsid w:val="001B4761"/>
    <w:rsid w:val="001C1EF5"/>
    <w:rsid w:val="001C37F5"/>
    <w:rsid w:val="001C49DD"/>
    <w:rsid w:val="001D7100"/>
    <w:rsid w:val="001E1830"/>
    <w:rsid w:val="001E4B11"/>
    <w:rsid w:val="001E5C08"/>
    <w:rsid w:val="001F4A4B"/>
    <w:rsid w:val="00216422"/>
    <w:rsid w:val="00223ECA"/>
    <w:rsid w:val="00236AAE"/>
    <w:rsid w:val="00236ABC"/>
    <w:rsid w:val="00242F24"/>
    <w:rsid w:val="00271D2D"/>
    <w:rsid w:val="00272047"/>
    <w:rsid w:val="0027396B"/>
    <w:rsid w:val="0029503B"/>
    <w:rsid w:val="002A2591"/>
    <w:rsid w:val="002A25DE"/>
    <w:rsid w:val="002C4A1B"/>
    <w:rsid w:val="002F117A"/>
    <w:rsid w:val="00316589"/>
    <w:rsid w:val="00324258"/>
    <w:rsid w:val="00355E08"/>
    <w:rsid w:val="00360112"/>
    <w:rsid w:val="00380DFB"/>
    <w:rsid w:val="00387257"/>
    <w:rsid w:val="00393DE2"/>
    <w:rsid w:val="003A4AF6"/>
    <w:rsid w:val="003A64FA"/>
    <w:rsid w:val="003B10CC"/>
    <w:rsid w:val="003B4525"/>
    <w:rsid w:val="003E6057"/>
    <w:rsid w:val="003E7E5A"/>
    <w:rsid w:val="003F53BC"/>
    <w:rsid w:val="004113E4"/>
    <w:rsid w:val="004130C0"/>
    <w:rsid w:val="00422FF8"/>
    <w:rsid w:val="00423C11"/>
    <w:rsid w:val="00433FAF"/>
    <w:rsid w:val="00434860"/>
    <w:rsid w:val="00435FA3"/>
    <w:rsid w:val="0045229C"/>
    <w:rsid w:val="00483150"/>
    <w:rsid w:val="004A4F25"/>
    <w:rsid w:val="004C7E0D"/>
    <w:rsid w:val="004D703A"/>
    <w:rsid w:val="004E427B"/>
    <w:rsid w:val="005035B6"/>
    <w:rsid w:val="00506639"/>
    <w:rsid w:val="00535A81"/>
    <w:rsid w:val="0054201F"/>
    <w:rsid w:val="005664D7"/>
    <w:rsid w:val="00573623"/>
    <w:rsid w:val="00585198"/>
    <w:rsid w:val="00586AE6"/>
    <w:rsid w:val="00586C4C"/>
    <w:rsid w:val="00592C4E"/>
    <w:rsid w:val="00597AF1"/>
    <w:rsid w:val="005A2AD7"/>
    <w:rsid w:val="005A7795"/>
    <w:rsid w:val="005B73F5"/>
    <w:rsid w:val="005D7BE4"/>
    <w:rsid w:val="005E7D6B"/>
    <w:rsid w:val="0061749B"/>
    <w:rsid w:val="00627CC8"/>
    <w:rsid w:val="00634372"/>
    <w:rsid w:val="00660D7B"/>
    <w:rsid w:val="006715DC"/>
    <w:rsid w:val="006736AC"/>
    <w:rsid w:val="00694CF8"/>
    <w:rsid w:val="00695A27"/>
    <w:rsid w:val="006A015A"/>
    <w:rsid w:val="006A0CD8"/>
    <w:rsid w:val="006B43B5"/>
    <w:rsid w:val="006F20F2"/>
    <w:rsid w:val="0071604F"/>
    <w:rsid w:val="0073178E"/>
    <w:rsid w:val="00740213"/>
    <w:rsid w:val="00741866"/>
    <w:rsid w:val="00750EDC"/>
    <w:rsid w:val="00776AFD"/>
    <w:rsid w:val="007C0994"/>
    <w:rsid w:val="007C5CAF"/>
    <w:rsid w:val="007D4156"/>
    <w:rsid w:val="007E338F"/>
    <w:rsid w:val="007E693A"/>
    <w:rsid w:val="007F0E7E"/>
    <w:rsid w:val="00805569"/>
    <w:rsid w:val="00851110"/>
    <w:rsid w:val="0089015D"/>
    <w:rsid w:val="008B228E"/>
    <w:rsid w:val="009039BF"/>
    <w:rsid w:val="009111A5"/>
    <w:rsid w:val="00911A20"/>
    <w:rsid w:val="0091405E"/>
    <w:rsid w:val="00916882"/>
    <w:rsid w:val="0092287C"/>
    <w:rsid w:val="00930D0D"/>
    <w:rsid w:val="00980427"/>
    <w:rsid w:val="00983A17"/>
    <w:rsid w:val="009949B8"/>
    <w:rsid w:val="009A0D33"/>
    <w:rsid w:val="009A3943"/>
    <w:rsid w:val="009B0FAB"/>
    <w:rsid w:val="009B1944"/>
    <w:rsid w:val="009D30CC"/>
    <w:rsid w:val="009D3951"/>
    <w:rsid w:val="009D717E"/>
    <w:rsid w:val="009F52DC"/>
    <w:rsid w:val="00A02536"/>
    <w:rsid w:val="00A35CE9"/>
    <w:rsid w:val="00A5783B"/>
    <w:rsid w:val="00A91158"/>
    <w:rsid w:val="00A921F3"/>
    <w:rsid w:val="00A92A6B"/>
    <w:rsid w:val="00A94F34"/>
    <w:rsid w:val="00AB6CB9"/>
    <w:rsid w:val="00AC3D81"/>
    <w:rsid w:val="00AD09D1"/>
    <w:rsid w:val="00AE1E6A"/>
    <w:rsid w:val="00AE4DD5"/>
    <w:rsid w:val="00AE5A40"/>
    <w:rsid w:val="00B059AF"/>
    <w:rsid w:val="00B10FE2"/>
    <w:rsid w:val="00B12417"/>
    <w:rsid w:val="00B212F1"/>
    <w:rsid w:val="00B2617B"/>
    <w:rsid w:val="00B34E43"/>
    <w:rsid w:val="00B557D4"/>
    <w:rsid w:val="00B62BE5"/>
    <w:rsid w:val="00B84F55"/>
    <w:rsid w:val="00B86D41"/>
    <w:rsid w:val="00BA2FF0"/>
    <w:rsid w:val="00BA4F7C"/>
    <w:rsid w:val="00BA7663"/>
    <w:rsid w:val="00BC0351"/>
    <w:rsid w:val="00BC4A33"/>
    <w:rsid w:val="00BD0D39"/>
    <w:rsid w:val="00BD145A"/>
    <w:rsid w:val="00C05F50"/>
    <w:rsid w:val="00C17DC8"/>
    <w:rsid w:val="00C24460"/>
    <w:rsid w:val="00C3530D"/>
    <w:rsid w:val="00C57D14"/>
    <w:rsid w:val="00C85CC1"/>
    <w:rsid w:val="00CB0C95"/>
    <w:rsid w:val="00CC1D71"/>
    <w:rsid w:val="00CC3744"/>
    <w:rsid w:val="00CE0D06"/>
    <w:rsid w:val="00D034A1"/>
    <w:rsid w:val="00D1666B"/>
    <w:rsid w:val="00D31D8D"/>
    <w:rsid w:val="00D37364"/>
    <w:rsid w:val="00D50BD8"/>
    <w:rsid w:val="00D530FD"/>
    <w:rsid w:val="00D63378"/>
    <w:rsid w:val="00D67AFF"/>
    <w:rsid w:val="00D76764"/>
    <w:rsid w:val="00D91067"/>
    <w:rsid w:val="00D9738D"/>
    <w:rsid w:val="00DB414B"/>
    <w:rsid w:val="00DC0FA2"/>
    <w:rsid w:val="00DE1EA1"/>
    <w:rsid w:val="00DF1B27"/>
    <w:rsid w:val="00DF283D"/>
    <w:rsid w:val="00DF3B43"/>
    <w:rsid w:val="00DF5CAB"/>
    <w:rsid w:val="00DF6EE3"/>
    <w:rsid w:val="00E2642C"/>
    <w:rsid w:val="00E26D0F"/>
    <w:rsid w:val="00E670A3"/>
    <w:rsid w:val="00E9519B"/>
    <w:rsid w:val="00EA482A"/>
    <w:rsid w:val="00EB00A6"/>
    <w:rsid w:val="00EF6D05"/>
    <w:rsid w:val="00F03299"/>
    <w:rsid w:val="00F2614D"/>
    <w:rsid w:val="00F411AE"/>
    <w:rsid w:val="00F45BAF"/>
    <w:rsid w:val="00F45C5A"/>
    <w:rsid w:val="00F535C9"/>
    <w:rsid w:val="00F60E8C"/>
    <w:rsid w:val="00F61D64"/>
    <w:rsid w:val="00F7306D"/>
    <w:rsid w:val="00FA0EA7"/>
    <w:rsid w:val="00FC1BB8"/>
    <w:rsid w:val="00FD5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AE27"/>
  <w15:chartTrackingRefBased/>
  <w15:docId w15:val="{1996F95A-01F6-4E19-9786-FCB9FFE4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82"/>
    <w:pPr>
      <w:spacing w:after="0" w:line="240" w:lineRule="auto"/>
    </w:pPr>
    <w:rPr>
      <w:rFonts w:ascii="Calibri" w:hAnsi="Calibri" w:cs="Calibri"/>
    </w:rPr>
  </w:style>
  <w:style w:type="paragraph" w:styleId="Heading1">
    <w:name w:val="heading 1"/>
    <w:basedOn w:val="Normal"/>
    <w:link w:val="Heading1Char"/>
    <w:uiPriority w:val="9"/>
    <w:qFormat/>
    <w:rsid w:val="00930D0D"/>
    <w:pPr>
      <w:spacing w:before="100" w:beforeAutospacing="1" w:after="100" w:afterAutospacing="1"/>
      <w:outlineLvl w:val="0"/>
    </w:pPr>
    <w:rPr>
      <w:b/>
      <w:bCs/>
      <w:kern w:val="36"/>
      <w:sz w:val="48"/>
      <w:szCs w:val="48"/>
      <w:lang w:eastAsia="en-AU"/>
    </w:rPr>
  </w:style>
  <w:style w:type="paragraph" w:styleId="Heading2">
    <w:name w:val="heading 2"/>
    <w:basedOn w:val="Normal"/>
    <w:link w:val="Heading2Char"/>
    <w:uiPriority w:val="9"/>
    <w:semiHidden/>
    <w:unhideWhenUsed/>
    <w:qFormat/>
    <w:rsid w:val="00930D0D"/>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D0D"/>
    <w:rPr>
      <w:rFonts w:ascii="Calibri" w:hAnsi="Calibri" w:cs="Calibri"/>
      <w:b/>
      <w:bCs/>
      <w:kern w:val="36"/>
      <w:sz w:val="48"/>
      <w:szCs w:val="48"/>
      <w:lang w:eastAsia="en-AU"/>
    </w:rPr>
  </w:style>
  <w:style w:type="character" w:customStyle="1" w:styleId="Heading2Char">
    <w:name w:val="Heading 2 Char"/>
    <w:basedOn w:val="DefaultParagraphFont"/>
    <w:link w:val="Heading2"/>
    <w:uiPriority w:val="9"/>
    <w:semiHidden/>
    <w:rsid w:val="00930D0D"/>
    <w:rPr>
      <w:rFonts w:ascii="Calibri" w:hAnsi="Calibri" w:cs="Calibri"/>
      <w:b/>
      <w:bCs/>
      <w:sz w:val="36"/>
      <w:szCs w:val="36"/>
      <w:lang w:eastAsia="en-AU"/>
    </w:rPr>
  </w:style>
  <w:style w:type="character" w:styleId="Hyperlink">
    <w:name w:val="Hyperlink"/>
    <w:basedOn w:val="DefaultParagraphFont"/>
    <w:uiPriority w:val="99"/>
    <w:unhideWhenUsed/>
    <w:rsid w:val="00930D0D"/>
    <w:rPr>
      <w:color w:val="0563C1"/>
      <w:u w:val="single"/>
    </w:rPr>
  </w:style>
  <w:style w:type="paragraph" w:styleId="NormalWeb">
    <w:name w:val="Normal (Web)"/>
    <w:basedOn w:val="Normal"/>
    <w:uiPriority w:val="99"/>
    <w:unhideWhenUsed/>
    <w:rsid w:val="00930D0D"/>
    <w:pPr>
      <w:spacing w:before="100" w:beforeAutospacing="1" w:after="100" w:afterAutospacing="1"/>
    </w:pPr>
    <w:rPr>
      <w:lang w:eastAsia="en-AU"/>
    </w:rPr>
  </w:style>
  <w:style w:type="paragraph" w:styleId="ListParagraph">
    <w:name w:val="List Paragraph"/>
    <w:basedOn w:val="Normal"/>
    <w:uiPriority w:val="34"/>
    <w:qFormat/>
    <w:rsid w:val="00930D0D"/>
    <w:pPr>
      <w:ind w:left="720"/>
    </w:pPr>
  </w:style>
  <w:style w:type="character" w:styleId="UnresolvedMention">
    <w:name w:val="Unresolved Mention"/>
    <w:basedOn w:val="DefaultParagraphFont"/>
    <w:uiPriority w:val="99"/>
    <w:semiHidden/>
    <w:unhideWhenUsed/>
    <w:rsid w:val="00165C94"/>
    <w:rPr>
      <w:color w:val="605E5C"/>
      <w:shd w:val="clear" w:color="auto" w:fill="E1DFDD"/>
    </w:rPr>
  </w:style>
  <w:style w:type="paragraph" w:styleId="BalloonText">
    <w:name w:val="Balloon Text"/>
    <w:basedOn w:val="Normal"/>
    <w:link w:val="BalloonTextChar"/>
    <w:uiPriority w:val="99"/>
    <w:semiHidden/>
    <w:unhideWhenUsed/>
    <w:rsid w:val="00115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37A"/>
    <w:rPr>
      <w:rFonts w:ascii="Segoe UI" w:hAnsi="Segoe UI" w:cs="Segoe UI"/>
      <w:sz w:val="18"/>
      <w:szCs w:val="18"/>
    </w:rPr>
  </w:style>
  <w:style w:type="character" w:styleId="FollowedHyperlink">
    <w:name w:val="FollowedHyperlink"/>
    <w:basedOn w:val="DefaultParagraphFont"/>
    <w:uiPriority w:val="99"/>
    <w:semiHidden/>
    <w:unhideWhenUsed/>
    <w:rsid w:val="00E2642C"/>
    <w:rPr>
      <w:color w:val="800080" w:themeColor="followedHyperlink"/>
      <w:u w:val="single"/>
    </w:rPr>
  </w:style>
  <w:style w:type="character" w:styleId="CommentReference">
    <w:name w:val="annotation reference"/>
    <w:basedOn w:val="DefaultParagraphFont"/>
    <w:uiPriority w:val="99"/>
    <w:semiHidden/>
    <w:unhideWhenUsed/>
    <w:rsid w:val="003A64FA"/>
    <w:rPr>
      <w:sz w:val="16"/>
      <w:szCs w:val="16"/>
    </w:rPr>
  </w:style>
  <w:style w:type="paragraph" w:styleId="CommentText">
    <w:name w:val="annotation text"/>
    <w:basedOn w:val="Normal"/>
    <w:link w:val="CommentTextChar"/>
    <w:uiPriority w:val="99"/>
    <w:semiHidden/>
    <w:unhideWhenUsed/>
    <w:rsid w:val="003A64FA"/>
    <w:rPr>
      <w:sz w:val="20"/>
      <w:szCs w:val="20"/>
    </w:rPr>
  </w:style>
  <w:style w:type="character" w:customStyle="1" w:styleId="CommentTextChar">
    <w:name w:val="Comment Text Char"/>
    <w:basedOn w:val="DefaultParagraphFont"/>
    <w:link w:val="CommentText"/>
    <w:uiPriority w:val="99"/>
    <w:semiHidden/>
    <w:rsid w:val="003A64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64FA"/>
    <w:rPr>
      <w:b/>
      <w:bCs/>
    </w:rPr>
  </w:style>
  <w:style w:type="character" w:customStyle="1" w:styleId="CommentSubjectChar">
    <w:name w:val="Comment Subject Char"/>
    <w:basedOn w:val="CommentTextChar"/>
    <w:link w:val="CommentSubject"/>
    <w:uiPriority w:val="99"/>
    <w:semiHidden/>
    <w:rsid w:val="003A64F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1198">
      <w:bodyDiv w:val="1"/>
      <w:marLeft w:val="0"/>
      <w:marRight w:val="0"/>
      <w:marTop w:val="0"/>
      <w:marBottom w:val="0"/>
      <w:divBdr>
        <w:top w:val="none" w:sz="0" w:space="0" w:color="auto"/>
        <w:left w:val="none" w:sz="0" w:space="0" w:color="auto"/>
        <w:bottom w:val="none" w:sz="0" w:space="0" w:color="auto"/>
        <w:right w:val="none" w:sz="0" w:space="0" w:color="auto"/>
      </w:divBdr>
      <w:divsChild>
        <w:div w:id="2023627835">
          <w:marLeft w:val="340"/>
          <w:marRight w:val="0"/>
          <w:marTop w:val="160"/>
          <w:marBottom w:val="200"/>
          <w:divBdr>
            <w:top w:val="none" w:sz="0" w:space="0" w:color="auto"/>
            <w:left w:val="none" w:sz="0" w:space="0" w:color="auto"/>
            <w:bottom w:val="none" w:sz="0" w:space="0" w:color="auto"/>
            <w:right w:val="none" w:sz="0" w:space="0" w:color="auto"/>
          </w:divBdr>
        </w:div>
        <w:div w:id="17838394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6823712">
              <w:marLeft w:val="0"/>
              <w:marRight w:val="0"/>
              <w:marTop w:val="0"/>
              <w:marBottom w:val="0"/>
              <w:divBdr>
                <w:top w:val="none" w:sz="0" w:space="0" w:color="auto"/>
                <w:left w:val="none" w:sz="0" w:space="0" w:color="auto"/>
                <w:bottom w:val="none" w:sz="0" w:space="0" w:color="auto"/>
                <w:right w:val="none" w:sz="0" w:space="0" w:color="auto"/>
              </w:divBdr>
              <w:divsChild>
                <w:div w:id="6370350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870567">
              <w:marLeft w:val="0"/>
              <w:marRight w:val="0"/>
              <w:marTop w:val="0"/>
              <w:marBottom w:val="0"/>
              <w:divBdr>
                <w:top w:val="none" w:sz="0" w:space="0" w:color="auto"/>
                <w:left w:val="none" w:sz="0" w:space="0" w:color="auto"/>
                <w:bottom w:val="none" w:sz="0" w:space="0" w:color="auto"/>
                <w:right w:val="none" w:sz="0" w:space="0" w:color="auto"/>
              </w:divBdr>
              <w:divsChild>
                <w:div w:id="9660126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49972924">
      <w:bodyDiv w:val="1"/>
      <w:marLeft w:val="0"/>
      <w:marRight w:val="0"/>
      <w:marTop w:val="0"/>
      <w:marBottom w:val="0"/>
      <w:divBdr>
        <w:top w:val="none" w:sz="0" w:space="0" w:color="auto"/>
        <w:left w:val="none" w:sz="0" w:space="0" w:color="auto"/>
        <w:bottom w:val="none" w:sz="0" w:space="0" w:color="auto"/>
        <w:right w:val="none" w:sz="0" w:space="0" w:color="auto"/>
      </w:divBdr>
    </w:div>
    <w:div w:id="795879662">
      <w:bodyDiv w:val="1"/>
      <w:marLeft w:val="0"/>
      <w:marRight w:val="0"/>
      <w:marTop w:val="0"/>
      <w:marBottom w:val="0"/>
      <w:divBdr>
        <w:top w:val="none" w:sz="0" w:space="0" w:color="auto"/>
        <w:left w:val="none" w:sz="0" w:space="0" w:color="auto"/>
        <w:bottom w:val="none" w:sz="0" w:space="0" w:color="auto"/>
        <w:right w:val="none" w:sz="0" w:space="0" w:color="auto"/>
      </w:divBdr>
    </w:div>
    <w:div w:id="829104369">
      <w:bodyDiv w:val="1"/>
      <w:marLeft w:val="0"/>
      <w:marRight w:val="0"/>
      <w:marTop w:val="0"/>
      <w:marBottom w:val="0"/>
      <w:divBdr>
        <w:top w:val="none" w:sz="0" w:space="0" w:color="auto"/>
        <w:left w:val="none" w:sz="0" w:space="0" w:color="auto"/>
        <w:bottom w:val="none" w:sz="0" w:space="0" w:color="auto"/>
        <w:right w:val="none" w:sz="0" w:space="0" w:color="auto"/>
      </w:divBdr>
    </w:div>
    <w:div w:id="1693607196">
      <w:bodyDiv w:val="1"/>
      <w:marLeft w:val="0"/>
      <w:marRight w:val="0"/>
      <w:marTop w:val="0"/>
      <w:marBottom w:val="0"/>
      <w:divBdr>
        <w:top w:val="none" w:sz="0" w:space="0" w:color="auto"/>
        <w:left w:val="none" w:sz="0" w:space="0" w:color="auto"/>
        <w:bottom w:val="none" w:sz="0" w:space="0" w:color="auto"/>
        <w:right w:val="none" w:sz="0" w:space="0" w:color="auto"/>
      </w:divBdr>
    </w:div>
    <w:div w:id="1784226928">
      <w:bodyDiv w:val="1"/>
      <w:marLeft w:val="0"/>
      <w:marRight w:val="0"/>
      <w:marTop w:val="0"/>
      <w:marBottom w:val="0"/>
      <w:divBdr>
        <w:top w:val="none" w:sz="0" w:space="0" w:color="auto"/>
        <w:left w:val="none" w:sz="0" w:space="0" w:color="auto"/>
        <w:bottom w:val="none" w:sz="0" w:space="0" w:color="auto"/>
        <w:right w:val="none" w:sz="0" w:space="0" w:color="auto"/>
      </w:divBdr>
    </w:div>
    <w:div w:id="2044819990">
      <w:bodyDiv w:val="1"/>
      <w:marLeft w:val="0"/>
      <w:marRight w:val="0"/>
      <w:marTop w:val="0"/>
      <w:marBottom w:val="0"/>
      <w:divBdr>
        <w:top w:val="none" w:sz="0" w:space="0" w:color="auto"/>
        <w:left w:val="none" w:sz="0" w:space="0" w:color="auto"/>
        <w:bottom w:val="none" w:sz="0" w:space="0" w:color="auto"/>
        <w:right w:val="none" w:sz="0" w:space="0" w:color="auto"/>
      </w:divBdr>
    </w:div>
    <w:div w:id="2143687682">
      <w:bodyDiv w:val="1"/>
      <w:marLeft w:val="0"/>
      <w:marRight w:val="0"/>
      <w:marTop w:val="0"/>
      <w:marBottom w:val="0"/>
      <w:divBdr>
        <w:top w:val="none" w:sz="0" w:space="0" w:color="auto"/>
        <w:left w:val="none" w:sz="0" w:space="0" w:color="auto"/>
        <w:bottom w:val="none" w:sz="0" w:space="0" w:color="auto"/>
        <w:right w:val="none" w:sz="0" w:space="0" w:color="auto"/>
      </w:divBdr>
    </w:div>
    <w:div w:id="21471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cqa.gov.au/media/31686" TargetMode="External"/><Relationship Id="rId18" Type="http://schemas.openxmlformats.org/officeDocument/2006/relationships/image" Target="media/image3.gif"/><Relationship Id="rId26" Type="http://schemas.openxmlformats.org/officeDocument/2006/relationships/hyperlink" Target="https://www.communityservices.act.gov.au/quality-complaints-and-regulation/office-of-the-senior-practitioner/act-senior-practitioner-fact-sheet" TargetMode="External"/><Relationship Id="rId39" Type="http://schemas.openxmlformats.org/officeDocument/2006/relationships/image" Target="https://gallery.mailchimp.com/9d0a9f53fb0eff55a9a63446c/images/bf4e802a-987f-4fa8-8e79-6f5b597ea4e9.png" TargetMode="External"/><Relationship Id="rId3" Type="http://schemas.openxmlformats.org/officeDocument/2006/relationships/customXml" Target="../customXml/item3.xml"/><Relationship Id="rId21" Type="http://schemas.openxmlformats.org/officeDocument/2006/relationships/hyperlink" Target="https://www.ombudsman.act.gov.au/improving-the-act/reportable-conduct" TargetMode="External"/><Relationship Id="rId34" Type="http://schemas.openxmlformats.org/officeDocument/2006/relationships/hyperlink" Target="https://www.facebook.com/CECAAC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qfreview.com.au/" TargetMode="External"/><Relationship Id="rId17" Type="http://schemas.openxmlformats.org/officeDocument/2006/relationships/hyperlink" Target="https://www.legislation.act.gov.au/a/2008-19" TargetMode="External"/><Relationship Id="rId25" Type="http://schemas.openxmlformats.org/officeDocument/2006/relationships/hyperlink" Target="https://www.legislation.act.gov.au/a/2018-27" TargetMode="External"/><Relationship Id="rId33" Type="http://schemas.openxmlformats.org/officeDocument/2006/relationships/hyperlink" Target="mailto:CECA@act.gov.au" TargetMode="External"/><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legislation.nsw.gov.au/view/html/inforce/current/sl-2011-0653" TargetMode="External"/><Relationship Id="rId20" Type="http://schemas.openxmlformats.org/officeDocument/2006/relationships/hyperlink" Target="https://csdpubliclearning.articulate-online.com/p/1683794862/story_html5.html" TargetMode="External"/><Relationship Id="rId29" Type="http://schemas.openxmlformats.org/officeDocument/2006/relationships/hyperlink" Target="http://www.legislation.act.gov.au/a/2011-44/default.asp" TargetMode="External"/><Relationship Id="rId41" Type="http://schemas.openxmlformats.org/officeDocument/2006/relationships/image" Target="https://gallery.mailchimp.com/9d0a9f53fb0eff55a9a63446c/images/ad846df6-fa12-49f7-ac88-3fb612010033.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ombudsman.act.gov.au/improving-the-act/reportable-conduct" TargetMode="External"/><Relationship Id="rId32" Type="http://schemas.openxmlformats.org/officeDocument/2006/relationships/hyperlink" Target="https://www.acecqa.gov.au/assessment/quality-improvement-plans" TargetMode="External"/><Relationship Id="rId37" Type="http://schemas.openxmlformats.org/officeDocument/2006/relationships/hyperlink" Target="mailto:CECA@act.gov.au" TargetMode="External"/><Relationship Id="rId40"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acecqa.gov.au/media/31696" TargetMode="External"/><Relationship Id="rId23" Type="http://schemas.openxmlformats.org/officeDocument/2006/relationships/hyperlink" Target="https://police.act.gov.au/" TargetMode="External"/><Relationship Id="rId28" Type="http://schemas.openxmlformats.org/officeDocument/2006/relationships/hyperlink" Target="https://www.communityservices.act.gov.au/quality-complaints-and-regulation/office-of-the-senior-practitioner" TargetMode="External"/><Relationship Id="rId36" Type="http://schemas.openxmlformats.org/officeDocument/2006/relationships/hyperlink" Target="https://www.education.act.gov.au/early-childhood/resources-and-contacts" TargetMode="External"/><Relationship Id="rId10" Type="http://schemas.openxmlformats.org/officeDocument/2006/relationships/image" Target="https://gallery.mailchimp.com/9d0a9f53fb0eff55a9a63446c/images/3cbc605f-789e-44aa-8c9b-7a6bfc023fe6.jpg" TargetMode="External"/><Relationship Id="rId19" Type="http://schemas.openxmlformats.org/officeDocument/2006/relationships/hyperlink" Target="https://www.communityservices.act.gov.au/__data/assets/pdf_file/0015/1132080/Keeping-children-and-young-people-safe.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cecqa.gov.au/media/31691" TargetMode="External"/><Relationship Id="rId22" Type="http://schemas.openxmlformats.org/officeDocument/2006/relationships/hyperlink" Target="https://www.ombudsman.act.gov.au/improving-the-act/reportable-conduct/reportable-conduct-resource-kit" TargetMode="External"/><Relationship Id="rId27" Type="http://schemas.openxmlformats.org/officeDocument/2006/relationships/hyperlink" Target="https://csdpubliclearning.articulate-online.com/ContentRegistration.aspx?DocumentID=0b038499-5573-47eb-8729-77c7ce960eb6&amp;Cust=16837&amp;ReturnUrl=/p/1683705575" TargetMode="External"/><Relationship Id="rId30" Type="http://schemas.openxmlformats.org/officeDocument/2006/relationships/hyperlink" Target="https://www.accesscanberra.act.gov.au/app/answers/detail/a_id/1804/~/working-with-vulnerable-people-%28wwvp%29-registration" TargetMode="External"/><Relationship Id="rId35" Type="http://schemas.openxmlformats.org/officeDocument/2006/relationships/hyperlink" Target="https://www.eventbrite.com.au/o/childrens-education-and-care-assurance-ceca-1780769535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86E4D41971409087AC9086949FCE" ma:contentTypeVersion="0" ma:contentTypeDescription="Create a new document." ma:contentTypeScope="" ma:versionID="35de1f246d14cabf46909a2d6d18cde2">
  <xsd:schema xmlns:xsd="http://www.w3.org/2001/XMLSchema" xmlns:xs="http://www.w3.org/2001/XMLSchema" xmlns:p="http://schemas.microsoft.com/office/2006/metadata/properties" targetNamespace="http://schemas.microsoft.com/office/2006/metadata/properties" ma:root="true" ma:fieldsID="635b3e751d03f0f69864a51684cc7d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7E4DE-8905-49C5-AE56-35FB22A6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5ECC66-7854-4DB3-944C-06295C26E79E}">
  <ds:schemaRefs>
    <ds:schemaRef ds:uri="http://schemas.openxmlformats.org/officeDocument/2006/bibliography"/>
  </ds:schemaRefs>
</ds:datastoreItem>
</file>

<file path=customXml/itemProps3.xml><?xml version="1.0" encoding="utf-8"?>
<ds:datastoreItem xmlns:ds="http://schemas.openxmlformats.org/officeDocument/2006/customXml" ds:itemID="{B9EAD89C-1F70-4572-AF35-96023A9DC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7017714-B929-4CD6-A4A8-C3946EE5D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2</cp:revision>
  <dcterms:created xsi:type="dcterms:W3CDTF">2021-03-23T02:10:00Z</dcterms:created>
  <dcterms:modified xsi:type="dcterms:W3CDTF">2021-03-23T02:10:00Z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0x010100C9B786E4D41971409087AC9086949FCE</vt:lpwstr>
  </property>
</Properties>
</file>