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0AFB9" w14:textId="77777777" w:rsidR="009E17ED" w:rsidRDefault="009E17ED" w:rsidP="009E17ED">
      <w:pPr>
        <w:rPr>
          <w:lang w:eastAsia="en-AU"/>
        </w:rPr>
      </w:pPr>
    </w:p>
    <w:tbl>
      <w:tblPr>
        <w:tblW w:w="10501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3287"/>
        <w:gridCol w:w="4085"/>
      </w:tblGrid>
      <w:tr w:rsidR="009E17ED" w14:paraId="6BD2347C" w14:textId="77777777" w:rsidTr="009E17ED">
        <w:trPr>
          <w:tblCellSpacing w:w="0" w:type="dxa"/>
          <w:jc w:val="center"/>
        </w:trPr>
        <w:tc>
          <w:tcPr>
            <w:tcW w:w="3226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14:paraId="47320C6C" w14:textId="77777777" w:rsidR="009E17ED" w:rsidRDefault="009E17ED">
            <w:pPr>
              <w:rPr>
                <w:lang w:eastAsia="en-AU"/>
              </w:rPr>
            </w:pPr>
          </w:p>
        </w:tc>
        <w:tc>
          <w:tcPr>
            <w:tcW w:w="3173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  <w:hideMark/>
          </w:tcPr>
          <w:p w14:paraId="66135842" w14:textId="77777777" w:rsidR="009E17ED" w:rsidRDefault="009E17ED">
            <w:pPr>
              <w:rPr>
                <w:color w:val="333132"/>
              </w:rPr>
            </w:pPr>
            <w:r>
              <w:rPr>
                <w:color w:val="333132"/>
              </w:rPr>
              <w:t> </w:t>
            </w:r>
          </w:p>
        </w:tc>
        <w:tc>
          <w:tcPr>
            <w:tcW w:w="4102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14:paraId="0F2DD1B1" w14:textId="123429A3" w:rsidR="009E17ED" w:rsidRDefault="009E17E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  <w:lang w:eastAsia="en-AU"/>
              </w:rPr>
            </w:pPr>
            <w:r>
              <w:rPr>
                <w:noProof/>
                <w:color w:val="000000"/>
                <w:lang w:eastAsia="en-AU"/>
              </w:rPr>
              <w:drawing>
                <wp:inline distT="0" distB="0" distL="0" distR="0" wp14:anchorId="6660D25A" wp14:editId="3C187B04">
                  <wp:extent cx="209550" cy="209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lang w:eastAsia="en-AU"/>
              </w:rPr>
              <w:drawing>
                <wp:inline distT="0" distB="0" distL="0" distR="0" wp14:anchorId="2B72A3D5" wp14:editId="5BCB8AB0">
                  <wp:extent cx="209550" cy="209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lang w:eastAsia="en-AU"/>
              </w:rPr>
              <w:drawing>
                <wp:inline distT="0" distB="0" distL="0" distR="0" wp14:anchorId="6803F3C0" wp14:editId="3D674465">
                  <wp:extent cx="20955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7ED" w14:paraId="4A449C30" w14:textId="77777777" w:rsidTr="009E17ED">
        <w:trPr>
          <w:tblCellSpacing w:w="0" w:type="dxa"/>
          <w:jc w:val="center"/>
        </w:trPr>
        <w:tc>
          <w:tcPr>
            <w:tcW w:w="10501" w:type="dxa"/>
            <w:gridSpan w:val="3"/>
            <w:shd w:val="clear" w:color="auto" w:fill="342682"/>
            <w:vAlign w:val="center"/>
            <w:hideMark/>
          </w:tcPr>
          <w:p w14:paraId="7A347A4C" w14:textId="4F8080E0" w:rsidR="009E17ED" w:rsidRDefault="009E17ED">
            <w:pPr>
              <w:rPr>
                <w:color w:val="333132"/>
              </w:rPr>
            </w:pPr>
            <w:r>
              <w:rPr>
                <w:noProof/>
                <w:color w:val="333132"/>
              </w:rPr>
              <w:drawing>
                <wp:inline distT="0" distB="0" distL="0" distR="0" wp14:anchorId="7AAAF0A0" wp14:editId="3771D9B7">
                  <wp:extent cx="6677025" cy="1907827"/>
                  <wp:effectExtent l="0" t="0" r="0" b="0"/>
                  <wp:docPr id="3" name="Picture 3" descr="Children's Education and Care Assurance Al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ldren's Education and Care Assurance 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125" cy="191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7ED" w14:paraId="0839BF03" w14:textId="77777777" w:rsidTr="009E17ED">
        <w:trPr>
          <w:tblCellSpacing w:w="0" w:type="dxa"/>
          <w:jc w:val="center"/>
        </w:trPr>
        <w:tc>
          <w:tcPr>
            <w:tcW w:w="10501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4528AA8A" w14:textId="77777777" w:rsidR="009E17ED" w:rsidRDefault="009E17ED">
            <w:pPr>
              <w:spacing w:before="150" w:line="300" w:lineRule="exact"/>
              <w:jc w:val="center"/>
              <w:rPr>
                <w:i/>
                <w:iCs/>
                <w:color w:val="222222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222222"/>
                <w:sz w:val="20"/>
                <w:szCs w:val="20"/>
                <w:lang w:eastAsia="en-AU"/>
              </w:rPr>
              <w:t>The Children’s Education and Care Assurance Update links professionals, providers and educators with news, resources and information that supports quality outcomes for children in ACT education and care services</w:t>
            </w:r>
          </w:p>
          <w:p w14:paraId="36B755B0" w14:textId="77777777" w:rsidR="009647A6" w:rsidRDefault="009E17ED" w:rsidP="009647A6">
            <w:pPr>
              <w:spacing w:before="100" w:beforeAutospacing="1" w:after="100" w:afterAutospacing="1" w:line="400" w:lineRule="atLeast"/>
              <w:rPr>
                <w:rFonts w:ascii="Arial" w:hAnsi="Arial" w:cs="Arial"/>
                <w:b/>
                <w:bCs/>
                <w:color w:val="2A987A"/>
                <w:sz w:val="32"/>
                <w:szCs w:val="32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2A987A"/>
                <w:sz w:val="32"/>
                <w:szCs w:val="32"/>
                <w:lang w:eastAsia="en-AU"/>
              </w:rPr>
              <w:t xml:space="preserve">31 </w:t>
            </w:r>
            <w:r w:rsidR="00AE7100">
              <w:rPr>
                <w:rFonts w:ascii="Arial" w:hAnsi="Arial" w:cs="Arial"/>
                <w:b/>
                <w:bCs/>
                <w:color w:val="2A987A"/>
                <w:sz w:val="32"/>
                <w:szCs w:val="32"/>
                <w:lang w:eastAsia="en-AU"/>
              </w:rPr>
              <w:t>July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A987A"/>
                <w:sz w:val="32"/>
                <w:szCs w:val="32"/>
                <w:lang w:eastAsia="en-AU"/>
              </w:rPr>
              <w:t>2020</w:t>
            </w:r>
          </w:p>
          <w:p w14:paraId="5ED50FA9" w14:textId="14D09B02" w:rsidR="00C71021" w:rsidRDefault="00ED409F" w:rsidP="000D7C7D">
            <w:pPr>
              <w:spacing w:before="100" w:beforeAutospacing="1" w:after="100" w:afterAutospacing="1" w:line="276" w:lineRule="auto"/>
            </w:pPr>
            <w:r w:rsidRPr="009968AB">
              <w:t xml:space="preserve">CECA would like to </w:t>
            </w:r>
            <w:r w:rsidR="00C71021" w:rsidRPr="009968AB">
              <w:t xml:space="preserve">take this opportunity to thank all educators, service leaders and </w:t>
            </w:r>
            <w:r w:rsidRPr="009968AB">
              <w:t xml:space="preserve">providers and services </w:t>
            </w:r>
            <w:r w:rsidR="00190B34" w:rsidRPr="009968AB">
              <w:t xml:space="preserve">for their ongoing </w:t>
            </w:r>
            <w:r w:rsidR="00C71021" w:rsidRPr="009968AB">
              <w:t xml:space="preserve">commitment to their </w:t>
            </w:r>
            <w:r w:rsidR="00FD44EB" w:rsidRPr="009968AB">
              <w:t xml:space="preserve">service and wider </w:t>
            </w:r>
            <w:r w:rsidR="00C71021" w:rsidRPr="009968AB">
              <w:t xml:space="preserve">community throughout the COVID-19 pandemic. </w:t>
            </w:r>
          </w:p>
          <w:p w14:paraId="21D755B9" w14:textId="05D0D106" w:rsidR="00950D91" w:rsidRPr="00950D91" w:rsidRDefault="00950D91" w:rsidP="000D7C7D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</w:rPr>
            </w:pPr>
            <w:r w:rsidRPr="00950D91">
              <w:rPr>
                <w:b/>
                <w:bCs/>
                <w:sz w:val="28"/>
                <w:szCs w:val="28"/>
              </w:rPr>
              <w:t xml:space="preserve">Reflecting and planning for continuous improvement </w:t>
            </w:r>
          </w:p>
          <w:p w14:paraId="5AE3C255" w14:textId="5F955BBB" w:rsidR="00C71021" w:rsidRPr="009968AB" w:rsidRDefault="00C71021" w:rsidP="000D7C7D">
            <w:pPr>
              <w:pStyle w:val="NoSpacing"/>
              <w:spacing w:line="276" w:lineRule="auto"/>
            </w:pPr>
            <w:r w:rsidRPr="009968AB">
              <w:t xml:space="preserve">While 2020 has been very challenging, times of change often </w:t>
            </w:r>
            <w:r w:rsidR="005D6B13" w:rsidRPr="009968AB">
              <w:t xml:space="preserve">provide </w:t>
            </w:r>
            <w:r w:rsidRPr="009968AB">
              <w:t xml:space="preserve">important opportunities to </w:t>
            </w:r>
            <w:r w:rsidR="00FF452C" w:rsidRPr="009968AB">
              <w:t>review</w:t>
            </w:r>
            <w:r w:rsidR="00B175CE" w:rsidRPr="009968AB">
              <w:t xml:space="preserve">, </w:t>
            </w:r>
            <w:r w:rsidR="00FF452C" w:rsidRPr="009968AB">
              <w:t xml:space="preserve">reflect </w:t>
            </w:r>
            <w:r w:rsidR="00B175CE" w:rsidRPr="009968AB">
              <w:t xml:space="preserve">and plan for </w:t>
            </w:r>
            <w:r w:rsidR="00C02AB9" w:rsidRPr="009968AB">
              <w:t>continuous improvement</w:t>
            </w:r>
            <w:r w:rsidR="00672D89" w:rsidRPr="009968AB">
              <w:t xml:space="preserve">. </w:t>
            </w:r>
            <w:hyperlink r:id="rId8" w:anchor="SAT" w:history="1">
              <w:r w:rsidR="00672D89" w:rsidRPr="009968AB">
                <w:rPr>
                  <w:rStyle w:val="Hyperlink"/>
                </w:rPr>
                <w:t>ACECQA’s Self-assessment Tool</w:t>
              </w:r>
            </w:hyperlink>
            <w:r w:rsidR="00672D89" w:rsidRPr="009968AB">
              <w:t xml:space="preserve"> </w:t>
            </w:r>
            <w:r w:rsidR="00560BEC" w:rsidRPr="009968AB">
              <w:t xml:space="preserve">can assist services to </w:t>
            </w:r>
            <w:r w:rsidR="00CA3C07" w:rsidRPr="009968AB">
              <w:t xml:space="preserve">identify </w:t>
            </w:r>
            <w:r w:rsidR="00C02AB9" w:rsidRPr="009968AB">
              <w:t xml:space="preserve">their </w:t>
            </w:r>
            <w:r w:rsidR="00CA3C07" w:rsidRPr="009968AB">
              <w:t xml:space="preserve">strengths, </w:t>
            </w:r>
            <w:proofErr w:type="gramStart"/>
            <w:r w:rsidR="00CA3C07" w:rsidRPr="009968AB">
              <w:t>compliance</w:t>
            </w:r>
            <w:proofErr w:type="gramEnd"/>
            <w:r w:rsidR="00CA3C07" w:rsidRPr="009968AB">
              <w:t xml:space="preserve"> and opportunities for </w:t>
            </w:r>
            <w:r w:rsidR="00C02AB9" w:rsidRPr="009968AB">
              <w:t>continuous</w:t>
            </w:r>
            <w:r w:rsidR="000019CC" w:rsidRPr="009968AB">
              <w:t xml:space="preserve"> improvement</w:t>
            </w:r>
            <w:r w:rsidR="00CA3C07" w:rsidRPr="009968AB">
              <w:t xml:space="preserve">. This tool can </w:t>
            </w:r>
            <w:r w:rsidR="00DF61C7" w:rsidRPr="009968AB">
              <w:t xml:space="preserve">guide </w:t>
            </w:r>
            <w:r w:rsidR="009647A6" w:rsidRPr="009968AB">
              <w:t xml:space="preserve">services </w:t>
            </w:r>
            <w:r w:rsidR="00CA3C07" w:rsidRPr="009968AB">
              <w:t xml:space="preserve">through the process of self-assessment which can, where needed, inform </w:t>
            </w:r>
            <w:r w:rsidR="009647A6" w:rsidRPr="009968AB">
              <w:t xml:space="preserve">their </w:t>
            </w:r>
            <w:r w:rsidR="00CA3C07" w:rsidRPr="009968AB">
              <w:t xml:space="preserve">Quality Improvement Plan. </w:t>
            </w:r>
          </w:p>
          <w:p w14:paraId="6B2B8995" w14:textId="40E5062D" w:rsidR="00535015" w:rsidRPr="00535015" w:rsidRDefault="00C23013" w:rsidP="000D7C7D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</w:rPr>
            </w:pPr>
            <w:r w:rsidRPr="008F0A2F">
              <w:rPr>
                <w:b/>
                <w:bCs/>
                <w:sz w:val="28"/>
                <w:szCs w:val="28"/>
              </w:rPr>
              <w:t xml:space="preserve">Early Learning Matters Week 2020 </w:t>
            </w:r>
          </w:p>
          <w:p w14:paraId="33C95A13" w14:textId="2F1A48B0" w:rsidR="00535015" w:rsidRPr="00535015" w:rsidRDefault="00535015" w:rsidP="000D7C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35015">
              <w:rPr>
                <w:color w:val="000000"/>
              </w:rPr>
              <w:t>From 3 to 7 August 2020</w:t>
            </w:r>
            <w:r w:rsidR="00D03A88" w:rsidRPr="009968AB">
              <w:rPr>
                <w:color w:val="000000"/>
              </w:rPr>
              <w:t xml:space="preserve"> </w:t>
            </w:r>
            <w:r w:rsidRPr="00535015">
              <w:rPr>
                <w:color w:val="000000"/>
              </w:rPr>
              <w:t xml:space="preserve">educators, parents, </w:t>
            </w:r>
            <w:proofErr w:type="gramStart"/>
            <w:r w:rsidRPr="00535015">
              <w:rPr>
                <w:color w:val="000000"/>
              </w:rPr>
              <w:t>carers</w:t>
            </w:r>
            <w:proofErr w:type="gramEnd"/>
            <w:r w:rsidRPr="00535015">
              <w:rPr>
                <w:color w:val="000000"/>
              </w:rPr>
              <w:t xml:space="preserve"> and community leaders around Australia will come together to raise awareness and understanding of the importance of early learning. Early Learning Matters Week is a chance to show how high-quality early learning </w:t>
            </w:r>
            <w:r w:rsidR="00D03A88" w:rsidRPr="009968AB">
              <w:rPr>
                <w:color w:val="000000"/>
              </w:rPr>
              <w:t>supports</w:t>
            </w:r>
            <w:r w:rsidRPr="00535015">
              <w:rPr>
                <w:color w:val="000000"/>
              </w:rPr>
              <w:t xml:space="preserve"> children to be confident</w:t>
            </w:r>
            <w:r w:rsidR="00D03A88" w:rsidRPr="009968AB">
              <w:rPr>
                <w:color w:val="000000"/>
              </w:rPr>
              <w:t xml:space="preserve"> and capable</w:t>
            </w:r>
            <w:r w:rsidRPr="00535015">
              <w:rPr>
                <w:color w:val="000000"/>
              </w:rPr>
              <w:t xml:space="preserve"> learners, building a foundation for wellbeing and achievement throughout their lives. </w:t>
            </w:r>
          </w:p>
          <w:p w14:paraId="4EDDF2D6" w14:textId="77777777" w:rsidR="00F43F73" w:rsidRPr="009968AB" w:rsidRDefault="00535015" w:rsidP="000D7C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968AB">
              <w:rPr>
                <w:color w:val="000000"/>
              </w:rPr>
              <w:t xml:space="preserve">In light of the COVID-19 pandemic, this year’s event will be different. </w:t>
            </w:r>
            <w:r w:rsidR="00B66502" w:rsidRPr="009968AB">
              <w:rPr>
                <w:color w:val="000000"/>
              </w:rPr>
              <w:t>Individuals can participate by</w:t>
            </w:r>
            <w:r w:rsidR="00B3240F" w:rsidRPr="009968AB">
              <w:rPr>
                <w:color w:val="000000"/>
              </w:rPr>
              <w:t xml:space="preserve">: </w:t>
            </w:r>
          </w:p>
          <w:p w14:paraId="775D4EA6" w14:textId="5B890FBF" w:rsidR="00914228" w:rsidRPr="009968AB" w:rsidRDefault="00B3240F" w:rsidP="000D7C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968AB">
              <w:rPr>
                <w:color w:val="000000"/>
              </w:rPr>
              <w:t xml:space="preserve">sharing photos of how </w:t>
            </w:r>
            <w:r w:rsidR="00B66502" w:rsidRPr="009968AB">
              <w:rPr>
                <w:color w:val="000000"/>
              </w:rPr>
              <w:t>they</w:t>
            </w:r>
            <w:r w:rsidRPr="009968AB">
              <w:rPr>
                <w:color w:val="000000"/>
              </w:rPr>
              <w:t xml:space="preserve"> foster children’s learning or support </w:t>
            </w:r>
            <w:r w:rsidR="00914228" w:rsidRPr="009968AB">
              <w:rPr>
                <w:color w:val="000000"/>
              </w:rPr>
              <w:t xml:space="preserve">education and care services. </w:t>
            </w:r>
          </w:p>
          <w:p w14:paraId="40F56C36" w14:textId="77777777" w:rsidR="009968AB" w:rsidRDefault="00B3240F" w:rsidP="000D7C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43F73">
              <w:rPr>
                <w:color w:val="000000"/>
                <w:sz w:val="24"/>
                <w:szCs w:val="24"/>
              </w:rPr>
              <w:t xml:space="preserve">posting a message about why early learning matters </w:t>
            </w:r>
            <w:r w:rsidR="00F43F73" w:rsidRPr="00F43F73">
              <w:rPr>
                <w:color w:val="000000"/>
                <w:sz w:val="24"/>
                <w:szCs w:val="24"/>
              </w:rPr>
              <w:t xml:space="preserve">and </w:t>
            </w:r>
          </w:p>
          <w:p w14:paraId="1DD7A472" w14:textId="22452524" w:rsidR="00AB4B1E" w:rsidRDefault="00B3240F" w:rsidP="000D7C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43F73">
              <w:rPr>
                <w:color w:val="000000"/>
                <w:sz w:val="24"/>
                <w:szCs w:val="24"/>
              </w:rPr>
              <w:t>talk</w:t>
            </w:r>
            <w:r w:rsidR="00F43F73" w:rsidRPr="00F43F73">
              <w:rPr>
                <w:color w:val="000000"/>
                <w:sz w:val="24"/>
                <w:szCs w:val="24"/>
              </w:rPr>
              <w:t>ing</w:t>
            </w:r>
            <w:r w:rsidR="00B66502" w:rsidRPr="00F43F73">
              <w:rPr>
                <w:color w:val="000000"/>
                <w:sz w:val="24"/>
                <w:szCs w:val="24"/>
              </w:rPr>
              <w:t xml:space="preserve"> </w:t>
            </w:r>
            <w:r w:rsidRPr="00F43F73">
              <w:rPr>
                <w:color w:val="000000"/>
                <w:sz w:val="24"/>
                <w:szCs w:val="24"/>
              </w:rPr>
              <w:t xml:space="preserve">to </w:t>
            </w:r>
            <w:r w:rsidR="00914228" w:rsidRPr="00F43F73">
              <w:rPr>
                <w:color w:val="000000"/>
                <w:sz w:val="24"/>
                <w:szCs w:val="24"/>
              </w:rPr>
              <w:t xml:space="preserve">colleagues </w:t>
            </w:r>
            <w:r w:rsidRPr="00F43F73">
              <w:rPr>
                <w:color w:val="000000"/>
                <w:sz w:val="24"/>
                <w:szCs w:val="24"/>
              </w:rPr>
              <w:t xml:space="preserve">about early learning in </w:t>
            </w:r>
            <w:r w:rsidR="00B66502" w:rsidRPr="00F43F73">
              <w:rPr>
                <w:color w:val="000000"/>
                <w:sz w:val="24"/>
                <w:szCs w:val="24"/>
              </w:rPr>
              <w:t xml:space="preserve">the context of the local </w:t>
            </w:r>
            <w:r w:rsidRPr="00F43F73">
              <w:rPr>
                <w:color w:val="000000"/>
                <w:sz w:val="24"/>
                <w:szCs w:val="24"/>
              </w:rPr>
              <w:t xml:space="preserve">community. </w:t>
            </w:r>
          </w:p>
          <w:p w14:paraId="20B692C1" w14:textId="53E728A3" w:rsidR="00AB4B1E" w:rsidRDefault="00F43F73" w:rsidP="000D7C7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AB4B1E">
              <w:rPr>
                <w:color w:val="000000"/>
                <w:sz w:val="24"/>
                <w:szCs w:val="24"/>
              </w:rPr>
              <w:lastRenderedPageBreak/>
              <w:t>For m</w:t>
            </w:r>
            <w:r w:rsidR="00B3240F" w:rsidRPr="00AB4B1E">
              <w:rPr>
                <w:color w:val="000000"/>
                <w:sz w:val="24"/>
                <w:szCs w:val="24"/>
              </w:rPr>
              <w:t xml:space="preserve">ore ideas on how to participate can be found on the new </w:t>
            </w:r>
            <w:hyperlink r:id="rId9" w:history="1">
              <w:r w:rsidR="00B3240F" w:rsidRPr="00AB4B1E">
                <w:rPr>
                  <w:rStyle w:val="Hyperlink"/>
                  <w:sz w:val="24"/>
                  <w:szCs w:val="24"/>
                </w:rPr>
                <w:t>Early Learning Matters 2020 website</w:t>
              </w:r>
            </w:hyperlink>
            <w:r w:rsidRPr="00AB4B1E">
              <w:rPr>
                <w:color w:val="000000"/>
                <w:sz w:val="24"/>
                <w:szCs w:val="24"/>
              </w:rPr>
              <w:t>.</w:t>
            </w:r>
          </w:p>
          <w:p w14:paraId="660EDFD7" w14:textId="77777777" w:rsidR="00A74093" w:rsidRPr="00A74093" w:rsidRDefault="00A74093" w:rsidP="00A74093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</w:p>
          <w:p w14:paraId="4DE70D8F" w14:textId="02783C80" w:rsidR="00F63978" w:rsidRDefault="0025653A">
            <w:pPr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F0A2F">
              <w:rPr>
                <w:b/>
                <w:bCs/>
                <w:color w:val="000000"/>
                <w:sz w:val="28"/>
                <w:szCs w:val="28"/>
                <w:lang w:eastAsia="en-AU"/>
              </w:rPr>
              <w:t xml:space="preserve">Active supervision </w:t>
            </w:r>
          </w:p>
          <w:p w14:paraId="59B5B58B" w14:textId="77777777" w:rsidR="00F63978" w:rsidRDefault="00F63978">
            <w:pPr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</w:p>
          <w:p w14:paraId="37A87157" w14:textId="1E14F60D" w:rsidR="00A52710" w:rsidRPr="008C7EAE" w:rsidRDefault="00DD4457" w:rsidP="000D7C7D">
            <w:pPr>
              <w:spacing w:after="200" w:line="276" w:lineRule="auto"/>
              <w:rPr>
                <w:rFonts w:asciiTheme="minorHAnsi" w:hAnsiTheme="minorHAnsi" w:cstheme="minorBidi"/>
              </w:rPr>
            </w:pPr>
            <w:hyperlink r:id="rId10" w:history="1">
              <w:r w:rsidR="00517212" w:rsidRPr="008C7EAE">
                <w:rPr>
                  <w:rStyle w:val="Hyperlink"/>
                  <w:rFonts w:asciiTheme="minorHAnsi" w:hAnsiTheme="minorHAnsi" w:cstheme="minorBidi"/>
                </w:rPr>
                <w:t>ACECQA’s Active Supervision</w:t>
              </w:r>
            </w:hyperlink>
            <w:r w:rsidR="00517212">
              <w:rPr>
                <w:rFonts w:asciiTheme="minorHAnsi" w:hAnsiTheme="minorHAnsi" w:cstheme="minorBidi"/>
              </w:rPr>
              <w:t xml:space="preserve"> </w:t>
            </w:r>
            <w:r w:rsidR="008C7EAE">
              <w:rPr>
                <w:rFonts w:asciiTheme="minorHAnsi" w:hAnsiTheme="minorHAnsi" w:cstheme="minorBidi"/>
              </w:rPr>
              <w:t>f</w:t>
            </w:r>
            <w:r w:rsidR="00517212">
              <w:rPr>
                <w:rFonts w:asciiTheme="minorHAnsi" w:hAnsiTheme="minorHAnsi" w:cstheme="minorBidi"/>
              </w:rPr>
              <w:t>act</w:t>
            </w:r>
            <w:r w:rsidR="008C7EAE">
              <w:rPr>
                <w:rFonts w:asciiTheme="minorHAnsi" w:hAnsiTheme="minorHAnsi" w:cstheme="minorBidi"/>
              </w:rPr>
              <w:t xml:space="preserve"> </w:t>
            </w:r>
            <w:r w:rsidR="00517212">
              <w:rPr>
                <w:rFonts w:asciiTheme="minorHAnsi" w:hAnsiTheme="minorHAnsi" w:cstheme="minorBidi"/>
              </w:rPr>
              <w:t xml:space="preserve">sheet </w:t>
            </w:r>
            <w:r w:rsidR="00413235">
              <w:rPr>
                <w:rFonts w:asciiTheme="minorHAnsi" w:hAnsiTheme="minorHAnsi" w:cstheme="minorBidi"/>
              </w:rPr>
              <w:t xml:space="preserve">highlights how effective supervision </w:t>
            </w:r>
            <w:r w:rsidR="00413235" w:rsidRPr="00413235">
              <w:rPr>
                <w:rFonts w:asciiTheme="minorHAnsi" w:hAnsiTheme="minorHAnsi" w:cstheme="minorBidi"/>
              </w:rPr>
              <w:t>is integral to creating environments that are safe and responsive to the needs of all children</w:t>
            </w:r>
            <w:r w:rsidR="00413235">
              <w:rPr>
                <w:rFonts w:asciiTheme="minorHAnsi" w:hAnsiTheme="minorHAnsi" w:cstheme="minorBidi"/>
              </w:rPr>
              <w:t xml:space="preserve">, helps </w:t>
            </w:r>
            <w:r w:rsidR="00413235" w:rsidRPr="00413235">
              <w:rPr>
                <w:rFonts w:asciiTheme="minorHAnsi" w:hAnsiTheme="minorHAnsi" w:cstheme="minorBidi"/>
              </w:rPr>
              <w:t>to protect children from hazards or harm that may arise from their play and daily routines</w:t>
            </w:r>
            <w:r w:rsidR="00413235">
              <w:rPr>
                <w:rFonts w:asciiTheme="minorHAnsi" w:hAnsiTheme="minorHAnsi" w:cstheme="minorBidi"/>
              </w:rPr>
              <w:t xml:space="preserve"> and </w:t>
            </w:r>
            <w:r w:rsidR="00413235" w:rsidRPr="00413235">
              <w:rPr>
                <w:rFonts w:asciiTheme="minorHAnsi" w:hAnsiTheme="minorHAnsi" w:cstheme="minorBidi"/>
              </w:rPr>
              <w:t>allows educators to engage in meaningful interactions with children.</w:t>
            </w:r>
            <w:r w:rsidR="00413235">
              <w:rPr>
                <w:rFonts w:asciiTheme="minorHAnsi" w:hAnsiTheme="minorHAnsi" w:cstheme="minorBidi"/>
              </w:rPr>
              <w:t xml:space="preserve"> </w:t>
            </w:r>
            <w:r w:rsidR="00A232D8">
              <w:rPr>
                <w:rFonts w:asciiTheme="minorHAnsi" w:hAnsiTheme="minorHAnsi" w:cstheme="minorBidi"/>
              </w:rPr>
              <w:t xml:space="preserve">Meeting the </w:t>
            </w:r>
            <w:hyperlink r:id="rId11" w:history="1">
              <w:r w:rsidR="00A232D8" w:rsidRPr="00A232D8">
                <w:rPr>
                  <w:rStyle w:val="Hyperlink"/>
                  <w:rFonts w:asciiTheme="minorHAnsi" w:hAnsiTheme="minorHAnsi" w:cstheme="minorBidi"/>
                </w:rPr>
                <w:t>minimum ratio requirements</w:t>
              </w:r>
            </w:hyperlink>
            <w:r w:rsidR="00A232D8">
              <w:rPr>
                <w:rFonts w:asciiTheme="minorHAnsi" w:hAnsiTheme="minorHAnsi" w:cstheme="minorBidi"/>
              </w:rPr>
              <w:t xml:space="preserve"> </w:t>
            </w:r>
            <w:r w:rsidR="00F63978">
              <w:rPr>
                <w:color w:val="000000"/>
                <w:lang w:eastAsia="en-AU"/>
              </w:rPr>
              <w:t xml:space="preserve"> doesn’t not guarantee active supervision for all children. </w:t>
            </w:r>
          </w:p>
          <w:p w14:paraId="5D5BEB74" w14:textId="57595475" w:rsidR="00EB2F3A" w:rsidRPr="00EB2F3A" w:rsidRDefault="00EF1D2D" w:rsidP="000D7C7D">
            <w:pPr>
              <w:spacing w:after="24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AU"/>
              </w:rPr>
              <w:t>Responsive and respectful r</w:t>
            </w:r>
            <w:r w:rsidR="00AE62B8" w:rsidRPr="00EB2F3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elationships </w:t>
            </w:r>
          </w:p>
          <w:p w14:paraId="78E4708E" w14:textId="2FDF268C" w:rsidR="008D7E8A" w:rsidRDefault="00407ECB" w:rsidP="00DD4457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theme="minorHAnsi"/>
                <w:color w:val="1A1A1A"/>
                <w:lang w:eastAsia="en-AU"/>
              </w:rPr>
            </w:pPr>
            <w:r w:rsidRPr="00407ECB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>Responsive</w:t>
            </w:r>
            <w:r w:rsidR="00EF1D2D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, </w:t>
            </w:r>
            <w:proofErr w:type="gramStart"/>
            <w:r w:rsidR="00EF1D2D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>respectful</w:t>
            </w:r>
            <w:proofErr w:type="gramEnd"/>
            <w:r w:rsidRPr="00407ECB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 and meaningful interactions </w:t>
            </w:r>
            <w:r w:rsidR="00EF1D2D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with children </w:t>
            </w:r>
            <w:r w:rsidRPr="00407ECB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build trusting relationships which engage and support </w:t>
            </w:r>
            <w:r w:rsidR="00EF1D2D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them to </w:t>
            </w:r>
            <w:r w:rsidRPr="00407ECB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feel secure, confident and included. </w:t>
            </w:r>
            <w:hyperlink r:id="rId12" w:history="1">
              <w:r w:rsidR="00EF1D2D" w:rsidRPr="00EB2F3A">
                <w:rPr>
                  <w:rStyle w:val="Hyperlink"/>
                  <w:rFonts w:asciiTheme="minorHAnsi" w:eastAsia="Times New Roman" w:hAnsiTheme="minorHAnsi" w:cstheme="minorHAnsi"/>
                  <w:lang w:eastAsia="en-AU"/>
                </w:rPr>
                <w:t>ACECQA’s Relationships with Children</w:t>
              </w:r>
            </w:hyperlink>
            <w:r w:rsidR="00EF1D2D" w:rsidRPr="00EB2F3A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 fact sheet</w:t>
            </w:r>
            <w:r w:rsidR="005803EA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 </w:t>
            </w:r>
            <w:r w:rsidR="00C21E8A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>includes</w:t>
            </w:r>
            <w:r w:rsidR="006B5BAB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 </w:t>
            </w:r>
            <w:r w:rsidR="00270730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helpful </w:t>
            </w:r>
            <w:r w:rsidR="00697841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strategies and </w:t>
            </w:r>
            <w:r w:rsidR="00C21E8A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reflective questions </w:t>
            </w:r>
            <w:r w:rsidR="00270730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for </w:t>
            </w:r>
            <w:r w:rsidR="000D7C7D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>service</w:t>
            </w:r>
            <w:r w:rsidR="00041615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 leaders</w:t>
            </w:r>
            <w:r w:rsidR="000D7C7D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 and educators</w:t>
            </w:r>
            <w:r w:rsidR="00270730">
              <w:rPr>
                <w:rFonts w:asciiTheme="minorHAnsi" w:eastAsia="Times New Roman" w:hAnsiTheme="minorHAnsi" w:cstheme="minorHAnsi"/>
                <w:color w:val="1A1A1A"/>
                <w:lang w:eastAsia="en-AU"/>
              </w:rPr>
              <w:t xml:space="preserve">. </w:t>
            </w:r>
          </w:p>
          <w:p w14:paraId="2CD92D4A" w14:textId="77777777" w:rsidR="008D7E8A" w:rsidRDefault="008D7E8A" w:rsidP="005431A6">
            <w:pPr>
              <w:rPr>
                <w:rFonts w:asciiTheme="minorHAnsi" w:eastAsia="Times New Roman" w:hAnsiTheme="minorHAnsi" w:cstheme="minorHAnsi"/>
                <w:color w:val="1A1A1A"/>
                <w:lang w:eastAsia="en-AU"/>
              </w:rPr>
            </w:pPr>
          </w:p>
          <w:p w14:paraId="7FC82094" w14:textId="017EF782" w:rsidR="00FA61B9" w:rsidRPr="001310B4" w:rsidRDefault="000D7C7D">
            <w:pPr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R</w:t>
            </w:r>
            <w:r w:rsidR="00FA61B9">
              <w:rPr>
                <w:b/>
                <w:bCs/>
                <w:color w:val="000000"/>
                <w:sz w:val="28"/>
                <w:szCs w:val="28"/>
                <w:lang w:eastAsia="en-AU"/>
              </w:rPr>
              <w:t xml:space="preserve">esources </w:t>
            </w:r>
          </w:p>
          <w:p w14:paraId="75A3EA31" w14:textId="77777777" w:rsidR="001D6937" w:rsidRDefault="001D6937">
            <w:pPr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14:paraId="3CC29D97" w14:textId="77777777" w:rsidR="00A4662A" w:rsidRPr="003E3E12" w:rsidRDefault="00A4662A" w:rsidP="001D6937">
            <w:pPr>
              <w:pStyle w:val="NoSpacing"/>
              <w:spacing w:line="276" w:lineRule="auto"/>
              <w:rPr>
                <w:color w:val="000000"/>
              </w:rPr>
            </w:pPr>
            <w:r>
              <w:t>This</w:t>
            </w:r>
            <w:r>
              <w:rPr>
                <w:color w:val="000000"/>
              </w:rPr>
              <w:t xml:space="preserve"> free </w:t>
            </w:r>
            <w:hyperlink r:id="rId13" w:history="1">
              <w:r w:rsidRPr="005B0B54">
                <w:rPr>
                  <w:rStyle w:val="Hyperlink"/>
                  <w:i/>
                  <w:iCs/>
                </w:rPr>
                <w:t>Making difficult decisions – choosing the right thing to do to move forward</w:t>
              </w:r>
            </w:hyperlink>
            <w:r>
              <w:rPr>
                <w:color w:val="000000"/>
              </w:rPr>
              <w:t xml:space="preserve"> professional learning video In this video Catharine Hydon and Dr Kate </w:t>
            </w:r>
            <w:proofErr w:type="spellStart"/>
            <w:r>
              <w:rPr>
                <w:color w:val="000000"/>
              </w:rPr>
              <w:t>Highfield</w:t>
            </w:r>
            <w:proofErr w:type="spellEnd"/>
            <w:r>
              <w:rPr>
                <w:color w:val="000000"/>
              </w:rPr>
              <w:t xml:space="preserve"> share ideas that can assist with ethical decision making during these difficult times. This </w:t>
            </w:r>
          </w:p>
          <w:p w14:paraId="6E23A80A" w14:textId="77777777" w:rsidR="001D6937" w:rsidRPr="00712122" w:rsidRDefault="001D6937">
            <w:pPr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14:paraId="76F2672F" w14:textId="2CEAC8D7" w:rsidR="00607299" w:rsidRPr="00607299" w:rsidRDefault="00880F55" w:rsidP="00607299">
            <w:pPr>
              <w:pStyle w:val="Heading2"/>
              <w:rPr>
                <w:rFonts w:asciiTheme="minorHAnsi" w:eastAsia="Times New Roman" w:hAnsiTheme="minorHAnsi" w:cstheme="minorHAnsi"/>
                <w:b w:val="0"/>
                <w:bCs w:val="0"/>
                <w:color w:val="083A81"/>
                <w:sz w:val="22"/>
                <w:szCs w:val="22"/>
              </w:rPr>
            </w:pPr>
            <w:r w:rsidRPr="008E122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The ACT Early Childhood Branch will be </w:t>
            </w:r>
            <w:r w:rsidRPr="008E122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hosting </w:t>
            </w:r>
            <w:hyperlink r:id="rId14" w:history="1">
              <w:r w:rsidR="00607299" w:rsidRPr="00F561F6">
                <w:rPr>
                  <w:rStyle w:val="Hyperlink"/>
                  <w:rFonts w:asciiTheme="minorHAnsi" w:eastAsia="Times New Roman" w:hAnsiTheme="minorHAnsi" w:cstheme="minorHAnsi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Trauma-sensitive practice and your wellbeing</w:t>
              </w:r>
            </w:hyperlink>
            <w:r w:rsidR="00607299" w:rsidRPr="008E122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 online event </w:t>
            </w:r>
            <w:r w:rsidR="00E61478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for branch members</w:t>
            </w:r>
            <w:r w:rsidR="00F561F6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 on 13 August </w:t>
            </w:r>
            <w:r w:rsidR="00953F9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2020. For more information visit </w:t>
            </w:r>
            <w:r w:rsidR="00953F9F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bdr w:val="none" w:sz="0" w:space="0" w:color="auto" w:frame="1"/>
              </w:rPr>
              <w:t>t</w:t>
            </w:r>
            <w:r w:rsidR="00953F9F" w:rsidRPr="008E122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 ACT Early Childhood Branch</w:t>
            </w:r>
            <w:r w:rsidR="00953F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website. </w:t>
            </w:r>
          </w:p>
          <w:p w14:paraId="15FB2B0C" w14:textId="4C6D63FE" w:rsidR="00891640" w:rsidRDefault="00891640" w:rsidP="00891640"/>
          <w:p w14:paraId="401A6B73" w14:textId="77777777" w:rsidR="0025653A" w:rsidRDefault="0025653A">
            <w:pPr>
              <w:rPr>
                <w:lang w:eastAsia="en-AU"/>
              </w:rPr>
            </w:pPr>
          </w:p>
          <w:p w14:paraId="2C822451" w14:textId="77777777" w:rsidR="009E17ED" w:rsidRDefault="009E17ED">
            <w:pPr>
              <w:jc w:val="center"/>
            </w:pPr>
            <w:r>
              <w:rPr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15" w:history="1">
              <w:r>
                <w:rPr>
                  <w:rStyle w:val="Hyperlink"/>
                  <w:color w:val="2E75B6"/>
                  <w:lang w:val="en-US" w:eastAsia="en-AU"/>
                </w:rPr>
                <w:t>CECA@act.gov.au</w:t>
              </w:r>
            </w:hyperlink>
          </w:p>
          <w:p w14:paraId="17B8067A" w14:textId="77777777" w:rsidR="009E17ED" w:rsidRDefault="009E17ED"/>
          <w:p w14:paraId="09DD4200" w14:textId="77777777" w:rsidR="009E17ED" w:rsidRDefault="009E17ED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767171"/>
                <w:lang w:eastAsia="en-AU"/>
              </w:rPr>
              <w:t>This email has been authorised by the ACT Regulatory Authority (CECA). CECA are responsible for administering the National Quality Framework within the ACT</w:t>
            </w:r>
          </w:p>
        </w:tc>
      </w:tr>
    </w:tbl>
    <w:p w14:paraId="2A6194BB" w14:textId="77777777" w:rsidR="009E17ED" w:rsidRDefault="009E17ED" w:rsidP="009E17ED"/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E17ED" w14:paraId="095486B7" w14:textId="77777777" w:rsidTr="009E17ED">
        <w:trPr>
          <w:tblCellSpacing w:w="0" w:type="dxa"/>
          <w:jc w:val="center"/>
        </w:trPr>
        <w:tc>
          <w:tcPr>
            <w:tcW w:w="0" w:type="auto"/>
            <w:shd w:val="clear" w:color="auto" w:fill="5C5C5C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4"/>
              <w:gridCol w:w="89"/>
              <w:gridCol w:w="6247"/>
            </w:tblGrid>
            <w:tr w:rsidR="009E17ED" w14:paraId="46243E6E" w14:textId="77777777">
              <w:trPr>
                <w:gridAfter w:val="2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C5C5C"/>
                  <w:vAlign w:val="center"/>
                  <w:hideMark/>
                </w:tcPr>
                <w:p w14:paraId="7C939E13" w14:textId="77777777" w:rsidR="009E17ED" w:rsidRDefault="009E17ED"/>
              </w:tc>
            </w:tr>
            <w:tr w:rsidR="009E17ED" w14:paraId="3D267E9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77BE1CB" w14:textId="1435A6E5" w:rsidR="009E17ED" w:rsidRDefault="009E17E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0ADE2F34" wp14:editId="6F61C0FD">
                        <wp:extent cx="1085850" cy="352425"/>
                        <wp:effectExtent l="0" t="0" r="0" b="0"/>
                        <wp:docPr id="2" name="Picture 2" descr="facebook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6920ECC" w14:textId="77777777" w:rsidR="009E17ED" w:rsidRDefault="009E17ED">
                  <w:pPr>
                    <w:jc w:val="center"/>
                    <w:rPr>
                      <w:color w:val="333132"/>
                    </w:rPr>
                  </w:pPr>
                  <w:r>
                    <w:rPr>
                      <w:color w:val="333132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0C4E913D" w14:textId="6D91A501" w:rsidR="009E17ED" w:rsidRDefault="009E17ED">
                  <w:pPr>
                    <w:jc w:val="right"/>
                    <w:rPr>
                      <w:color w:val="333132"/>
                    </w:rPr>
                  </w:pPr>
                  <w:r>
                    <w:rPr>
                      <w:noProof/>
                      <w:color w:val="333132"/>
                    </w:rPr>
                    <w:drawing>
                      <wp:inline distT="0" distB="0" distL="0" distR="0" wp14:anchorId="08C581C9" wp14:editId="4B789FA7">
                        <wp:extent cx="1895475" cy="647700"/>
                        <wp:effectExtent l="0" t="0" r="0" b="0"/>
                        <wp:docPr id="1" name="Picture 1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D25D5E" w14:textId="77777777" w:rsidR="009E17ED" w:rsidRDefault="009E17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605F8C9" w14:textId="77777777"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42AD"/>
    <w:multiLevelType w:val="multilevel"/>
    <w:tmpl w:val="6E7E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F7295"/>
    <w:multiLevelType w:val="hybridMultilevel"/>
    <w:tmpl w:val="0560A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611E"/>
    <w:multiLevelType w:val="hybridMultilevel"/>
    <w:tmpl w:val="03263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55823"/>
    <w:multiLevelType w:val="hybridMultilevel"/>
    <w:tmpl w:val="1A06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ED"/>
    <w:rsid w:val="000019CC"/>
    <w:rsid w:val="00041615"/>
    <w:rsid w:val="00076134"/>
    <w:rsid w:val="000A1B5C"/>
    <w:rsid w:val="000D7C7D"/>
    <w:rsid w:val="0012446A"/>
    <w:rsid w:val="001310B4"/>
    <w:rsid w:val="00146432"/>
    <w:rsid w:val="00190B34"/>
    <w:rsid w:val="001C49DD"/>
    <w:rsid w:val="001D6937"/>
    <w:rsid w:val="001E4B11"/>
    <w:rsid w:val="0025653A"/>
    <w:rsid w:val="00270730"/>
    <w:rsid w:val="002E4649"/>
    <w:rsid w:val="003244E7"/>
    <w:rsid w:val="00380DFB"/>
    <w:rsid w:val="003B227D"/>
    <w:rsid w:val="003B422F"/>
    <w:rsid w:val="003E3E12"/>
    <w:rsid w:val="004031E7"/>
    <w:rsid w:val="00407ECB"/>
    <w:rsid w:val="00413235"/>
    <w:rsid w:val="004B6D67"/>
    <w:rsid w:val="004F5430"/>
    <w:rsid w:val="00517212"/>
    <w:rsid w:val="00535015"/>
    <w:rsid w:val="005431A6"/>
    <w:rsid w:val="00560BEC"/>
    <w:rsid w:val="00562C68"/>
    <w:rsid w:val="005803EA"/>
    <w:rsid w:val="00590AF4"/>
    <w:rsid w:val="005B0B54"/>
    <w:rsid w:val="005D6B13"/>
    <w:rsid w:val="00600CE4"/>
    <w:rsid w:val="00607299"/>
    <w:rsid w:val="00611070"/>
    <w:rsid w:val="006236A5"/>
    <w:rsid w:val="00663776"/>
    <w:rsid w:val="00672D89"/>
    <w:rsid w:val="00694CF8"/>
    <w:rsid w:val="00697841"/>
    <w:rsid w:val="006A6097"/>
    <w:rsid w:val="006B3CFF"/>
    <w:rsid w:val="006B5BAB"/>
    <w:rsid w:val="006D2888"/>
    <w:rsid w:val="00712122"/>
    <w:rsid w:val="007139A0"/>
    <w:rsid w:val="00717BDB"/>
    <w:rsid w:val="007A1030"/>
    <w:rsid w:val="007A5A57"/>
    <w:rsid w:val="007B4A5A"/>
    <w:rsid w:val="007C7820"/>
    <w:rsid w:val="007D2066"/>
    <w:rsid w:val="00837A3C"/>
    <w:rsid w:val="00880F55"/>
    <w:rsid w:val="00891640"/>
    <w:rsid w:val="008C7EAE"/>
    <w:rsid w:val="008D7E8A"/>
    <w:rsid w:val="008E122D"/>
    <w:rsid w:val="008E6EC8"/>
    <w:rsid w:val="008F0A2F"/>
    <w:rsid w:val="00914228"/>
    <w:rsid w:val="00950D91"/>
    <w:rsid w:val="00953F9F"/>
    <w:rsid w:val="00954E16"/>
    <w:rsid w:val="009647A6"/>
    <w:rsid w:val="009704D5"/>
    <w:rsid w:val="0097169B"/>
    <w:rsid w:val="009968AB"/>
    <w:rsid w:val="00997C51"/>
    <w:rsid w:val="009E17ED"/>
    <w:rsid w:val="00A0413E"/>
    <w:rsid w:val="00A232D8"/>
    <w:rsid w:val="00A4662A"/>
    <w:rsid w:val="00A52710"/>
    <w:rsid w:val="00A5783B"/>
    <w:rsid w:val="00A74093"/>
    <w:rsid w:val="00AB4B1E"/>
    <w:rsid w:val="00AC22A4"/>
    <w:rsid w:val="00AE62B8"/>
    <w:rsid w:val="00AE7100"/>
    <w:rsid w:val="00B054A5"/>
    <w:rsid w:val="00B175CE"/>
    <w:rsid w:val="00B3240F"/>
    <w:rsid w:val="00B4382A"/>
    <w:rsid w:val="00B66502"/>
    <w:rsid w:val="00C02AB9"/>
    <w:rsid w:val="00C03A5D"/>
    <w:rsid w:val="00C21E8A"/>
    <w:rsid w:val="00C23013"/>
    <w:rsid w:val="00C649D3"/>
    <w:rsid w:val="00C71021"/>
    <w:rsid w:val="00C8074B"/>
    <w:rsid w:val="00C8601A"/>
    <w:rsid w:val="00CA3C07"/>
    <w:rsid w:val="00CF4B79"/>
    <w:rsid w:val="00D03A88"/>
    <w:rsid w:val="00D26F6A"/>
    <w:rsid w:val="00D71E6C"/>
    <w:rsid w:val="00DD4457"/>
    <w:rsid w:val="00DF61C7"/>
    <w:rsid w:val="00E122F2"/>
    <w:rsid w:val="00E334F3"/>
    <w:rsid w:val="00E61478"/>
    <w:rsid w:val="00EB2F3A"/>
    <w:rsid w:val="00EB5085"/>
    <w:rsid w:val="00ED409F"/>
    <w:rsid w:val="00EF1D2D"/>
    <w:rsid w:val="00F10DBD"/>
    <w:rsid w:val="00F43F73"/>
    <w:rsid w:val="00F44F06"/>
    <w:rsid w:val="00F561F6"/>
    <w:rsid w:val="00F63978"/>
    <w:rsid w:val="00FA61B9"/>
    <w:rsid w:val="00FB6A5A"/>
    <w:rsid w:val="00FC6228"/>
    <w:rsid w:val="00FD44EB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C920"/>
  <w15:chartTrackingRefBased/>
  <w15:docId w15:val="{2B9C9BD6-F857-4AA2-92EC-7F71380C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ED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D71E6C"/>
    <w:pPr>
      <w:spacing w:line="300" w:lineRule="auto"/>
      <w:outlineLvl w:val="1"/>
    </w:pPr>
    <w:rPr>
      <w:rFonts w:ascii="Helvetica" w:hAnsi="Helvetica" w:cs="Times New Roman"/>
      <w:b/>
      <w:bCs/>
      <w:color w:val="202020"/>
      <w:sz w:val="33"/>
      <w:szCs w:val="3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7ED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E17E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7ED"/>
    <w:rPr>
      <w:rFonts w:ascii="Arial" w:hAnsi="Arial" w:cs="Arial"/>
      <w:sz w:val="20"/>
      <w:szCs w:val="20"/>
    </w:rPr>
  </w:style>
  <w:style w:type="character" w:customStyle="1" w:styleId="instructionaltextChar">
    <w:name w:val="instructional text Char"/>
    <w:basedOn w:val="DefaultParagraphFont"/>
    <w:link w:val="instructionaltext"/>
    <w:locked/>
    <w:rsid w:val="009E17ED"/>
    <w:rPr>
      <w:rFonts w:ascii="Calibri" w:hAnsi="Calibri" w:cs="Calibri"/>
      <w:i/>
      <w:iCs/>
    </w:rPr>
  </w:style>
  <w:style w:type="paragraph" w:customStyle="1" w:styleId="instructionaltext">
    <w:name w:val="instructional text"/>
    <w:basedOn w:val="Normal"/>
    <w:link w:val="instructionaltextChar"/>
    <w:rsid w:val="009E17ED"/>
    <w:rPr>
      <w:i/>
      <w:iCs/>
    </w:rPr>
  </w:style>
  <w:style w:type="paragraph" w:customStyle="1" w:styleId="Default">
    <w:name w:val="Default"/>
    <w:rsid w:val="00C71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54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4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5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1E6C"/>
    <w:rPr>
      <w:rFonts w:ascii="Helvetica" w:hAnsi="Helvetica" w:cs="Times New Roman"/>
      <w:b/>
      <w:bCs/>
      <w:color w:val="202020"/>
      <w:sz w:val="33"/>
      <w:szCs w:val="33"/>
      <w:lang w:eastAsia="en-AU"/>
    </w:rPr>
  </w:style>
  <w:style w:type="paragraph" w:styleId="NoSpacing">
    <w:name w:val="No Spacing"/>
    <w:basedOn w:val="Normal"/>
    <w:uiPriority w:val="1"/>
    <w:qFormat/>
    <w:rsid w:val="003E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cqa.gov.au/assessment/quality-improvement-plans" TargetMode="External"/><Relationship Id="rId13" Type="http://schemas.openxmlformats.org/officeDocument/2006/relationships/hyperlink" Target="https://vimeo.com/420908202/6d74c558e6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acecqa.gov.au/sites/default/files/2018-07/QA5_RelationshipsWithChildren.pd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facebook.com/CECAA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60DBE.301F8E10" TargetMode="External"/><Relationship Id="rId11" Type="http://schemas.openxmlformats.org/officeDocument/2006/relationships/hyperlink" Target="https://www.acecqa.gov.au/nqf/educator-to-child-ratios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CECA@act.gov.au" TargetMode="External"/><Relationship Id="rId10" Type="http://schemas.openxmlformats.org/officeDocument/2006/relationships/hyperlink" Target="https://www.acecqa.gov.au/sites/default/files/2018-04/QA2-ActiveSupervisionEnsuringSafetyAndPromotingLearning_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arlylearningmatters.org.au/" TargetMode="External"/><Relationship Id="rId14" Type="http://schemas.openxmlformats.org/officeDocument/2006/relationships/hyperlink" Target="https://www.surveymonkey.com/r/YY8MMJQ?fbclid=IwAR3U2jxzfSESBT6jSG_PlBZ68TTQ60mwWPCL2Sy507_V3WiT1ilDZzWP-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Williams, Jo</cp:lastModifiedBy>
  <cp:revision>3</cp:revision>
  <dcterms:created xsi:type="dcterms:W3CDTF">2020-07-30T12:36:00Z</dcterms:created>
  <dcterms:modified xsi:type="dcterms:W3CDTF">2020-11-26T03:26:00Z</dcterms:modified>
</cp:coreProperties>
</file>