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2A776" w14:textId="0D4F29F8"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  <w:bookmarkStart w:id="0" w:name="_Hlk61013244"/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14:paraId="1BEE7641" w14:textId="77777777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40A7660" w14:textId="2842ED97" w:rsidR="00A36E4C" w:rsidRPr="00897C0A" w:rsidRDefault="004A1FA0" w:rsidP="00A36E4C">
            <w:pPr>
              <w:spacing w:before="100" w:beforeAutospacing="1" w:after="100" w:afterAutospacing="1" w:line="400" w:lineRule="atLeas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154EC9">
              <w:rPr>
                <w:lang w:eastAsia="en-AU"/>
              </w:rPr>
              <w:t>3</w:t>
            </w:r>
            <w:r w:rsidR="0033509B">
              <w:rPr>
                <w:lang w:eastAsia="en-AU"/>
              </w:rPr>
              <w:t xml:space="preserve"> January 2021</w:t>
            </w:r>
          </w:p>
          <w:p w14:paraId="0DB279E6" w14:textId="0AED28FF" w:rsidR="00A36E4C" w:rsidRDefault="00A05C71" w:rsidP="00A36E4C">
            <w:pPr>
              <w:spacing w:before="100" w:beforeAutospacing="1" w:after="100" w:afterAutospacing="1" w:line="400" w:lineRule="atLeast"/>
              <w:rPr>
                <w:b/>
                <w:bCs/>
                <w:color w:val="60C0AB"/>
                <w:sz w:val="40"/>
                <w:szCs w:val="40"/>
                <w:lang w:eastAsia="en-AU"/>
              </w:rPr>
            </w:pPr>
            <w:r>
              <w:rPr>
                <w:b/>
                <w:bCs/>
                <w:color w:val="60C0AB"/>
                <w:sz w:val="40"/>
                <w:szCs w:val="40"/>
                <w:lang w:eastAsia="en-AU"/>
              </w:rPr>
              <w:t>COVID-19</w:t>
            </w:r>
            <w:r w:rsidR="0033509B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A36E4C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Information for ACT education and care services </w:t>
            </w:r>
          </w:p>
          <w:p w14:paraId="40E725D9" w14:textId="6108CDC6" w:rsidR="00686190" w:rsidRDefault="002D67B9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bookmarkStart w:id="1" w:name="_Hlk61012487"/>
            <w:r>
              <w:rPr>
                <w:color w:val="000000"/>
              </w:rPr>
              <w:t>Yesterday</w:t>
            </w:r>
            <w:r w:rsidR="00D268C2">
              <w:rPr>
                <w:color w:val="000000"/>
              </w:rPr>
              <w:t>,</w:t>
            </w:r>
            <w:r w:rsidR="00686190">
              <w:rPr>
                <w:color w:val="000000"/>
              </w:rPr>
              <w:t xml:space="preserve"> </w:t>
            </w:r>
            <w:r w:rsidR="00D268C2">
              <w:rPr>
                <w:color w:val="000000"/>
              </w:rPr>
              <w:t>Dr Coleman,</w:t>
            </w:r>
            <w:r w:rsidR="00E54651">
              <w:rPr>
                <w:color w:val="000000"/>
              </w:rPr>
              <w:t xml:space="preserve"> ACT </w:t>
            </w:r>
            <w:r w:rsidR="00543DBF">
              <w:rPr>
                <w:color w:val="000000"/>
              </w:rPr>
              <w:t>C</w:t>
            </w:r>
            <w:r w:rsidR="00686190">
              <w:rPr>
                <w:color w:val="000000"/>
              </w:rPr>
              <w:t xml:space="preserve">hief </w:t>
            </w:r>
            <w:r w:rsidR="00543DBF">
              <w:rPr>
                <w:color w:val="000000"/>
              </w:rPr>
              <w:t>H</w:t>
            </w:r>
            <w:r w:rsidR="00686190">
              <w:rPr>
                <w:color w:val="000000"/>
              </w:rPr>
              <w:t xml:space="preserve">ealth </w:t>
            </w:r>
            <w:r w:rsidR="00543DBF">
              <w:rPr>
                <w:color w:val="000000"/>
              </w:rPr>
              <w:t>O</w:t>
            </w:r>
            <w:r w:rsidR="00686190">
              <w:rPr>
                <w:color w:val="000000"/>
              </w:rPr>
              <w:t xml:space="preserve">fficer </w:t>
            </w:r>
            <w:r w:rsidR="000872F1">
              <w:rPr>
                <w:color w:val="000000"/>
              </w:rPr>
              <w:t xml:space="preserve">update the </w:t>
            </w:r>
            <w:r w:rsidR="006634A3">
              <w:rPr>
                <w:color w:val="000000"/>
              </w:rPr>
              <w:t>ACT P</w:t>
            </w:r>
            <w:r w:rsidR="000872F1">
              <w:rPr>
                <w:color w:val="000000"/>
              </w:rPr>
              <w:t xml:space="preserve">ublic </w:t>
            </w:r>
            <w:r w:rsidR="006634A3">
              <w:rPr>
                <w:color w:val="000000"/>
              </w:rPr>
              <w:t>H</w:t>
            </w:r>
            <w:r w:rsidR="000872F1">
              <w:rPr>
                <w:color w:val="000000"/>
              </w:rPr>
              <w:t xml:space="preserve">ealth </w:t>
            </w:r>
            <w:r w:rsidR="006634A3">
              <w:rPr>
                <w:color w:val="000000"/>
              </w:rPr>
              <w:t>D</w:t>
            </w:r>
            <w:r w:rsidR="000872F1">
              <w:rPr>
                <w:color w:val="000000"/>
              </w:rPr>
              <w:t xml:space="preserve">irection </w:t>
            </w:r>
            <w:r w:rsidR="00847B65" w:rsidRPr="006565F6">
              <w:rPr>
                <w:color w:val="000000"/>
              </w:rPr>
              <w:t xml:space="preserve">and </w:t>
            </w:r>
            <w:r w:rsidR="00016F15" w:rsidRPr="006565F6">
              <w:rPr>
                <w:color w:val="000000"/>
              </w:rPr>
              <w:t xml:space="preserve">advised that </w:t>
            </w:r>
            <w:r w:rsidR="00CE27BA" w:rsidRPr="006565F6">
              <w:rPr>
                <w:color w:val="000000"/>
              </w:rPr>
              <w:t>f</w:t>
            </w:r>
            <w:r w:rsidR="00847B65" w:rsidRPr="006565F6">
              <w:rPr>
                <w:color w:val="000000"/>
              </w:rPr>
              <w:t>rom 3:00pm on Tuesday 12 January 2021</w:t>
            </w:r>
            <w:r w:rsidR="00CE27BA" w:rsidRPr="006565F6">
              <w:rPr>
                <w:color w:val="000000"/>
              </w:rPr>
              <w:t xml:space="preserve">, </w:t>
            </w:r>
            <w:r w:rsidR="00847B65" w:rsidRPr="006565F6">
              <w:rPr>
                <w:color w:val="000000"/>
              </w:rPr>
              <w:t>Central Coast, Wollongong, Blue Mountain, and some area</w:t>
            </w:r>
            <w:r w:rsidR="00383732">
              <w:rPr>
                <w:color w:val="000000"/>
              </w:rPr>
              <w:t>s</w:t>
            </w:r>
            <w:r w:rsidR="00847B65" w:rsidRPr="006565F6">
              <w:rPr>
                <w:color w:val="000000"/>
              </w:rPr>
              <w:t xml:space="preserve"> of Greater Sydney are </w:t>
            </w:r>
            <w:r w:rsidR="00016F15" w:rsidRPr="006565F6">
              <w:rPr>
                <w:color w:val="000000"/>
              </w:rPr>
              <w:t>no longer considered a hotspot by the ACT.</w:t>
            </w:r>
            <w:r w:rsidR="00016F15">
              <w:rPr>
                <w:color w:val="000000"/>
              </w:rPr>
              <w:t xml:space="preserve"> </w:t>
            </w:r>
          </w:p>
          <w:bookmarkEnd w:id="1"/>
          <w:p w14:paraId="34D03325" w14:textId="77777777" w:rsidR="00CE27BA" w:rsidRDefault="00CE27BA" w:rsidP="00CE27BA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67B64C6E" w14:textId="7C741FF7" w:rsidR="00CE27BA" w:rsidRPr="00CE27BA" w:rsidRDefault="00CE27BA" w:rsidP="00CE27BA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CE27BA">
              <w:rPr>
                <w:color w:val="000000"/>
              </w:rPr>
              <w:t xml:space="preserve">There are currently </w:t>
            </w:r>
            <w:r w:rsidR="00CD12F9">
              <w:rPr>
                <w:color w:val="000000"/>
              </w:rPr>
              <w:t xml:space="preserve">still </w:t>
            </w:r>
            <w:r w:rsidRPr="00CE27BA">
              <w:rPr>
                <w:color w:val="000000"/>
              </w:rPr>
              <w:t>11 Local Government Areas (LGA) in Sydney that are still considered COVID-19 hotspot. The</w:t>
            </w:r>
            <w:r w:rsidR="00CD12F9">
              <w:rPr>
                <w:color w:val="000000"/>
              </w:rPr>
              <w:t xml:space="preserve">se </w:t>
            </w:r>
            <w:r w:rsidRPr="00CE27BA">
              <w:rPr>
                <w:color w:val="000000"/>
              </w:rPr>
              <w:t>COVID-19 affected areas are:</w:t>
            </w:r>
          </w:p>
          <w:p w14:paraId="579EFBB0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Blacktown City</w:t>
            </w:r>
          </w:p>
          <w:p w14:paraId="092A8614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Burwood</w:t>
            </w:r>
          </w:p>
          <w:p w14:paraId="3F665966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Canada Bay City</w:t>
            </w:r>
          </w:p>
          <w:p w14:paraId="5480775E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Canterbury-Bankstown</w:t>
            </w:r>
          </w:p>
          <w:p w14:paraId="5F703EC4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Cumberland</w:t>
            </w:r>
          </w:p>
          <w:p w14:paraId="7024DB70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Fairfield City</w:t>
            </w:r>
          </w:p>
          <w:p w14:paraId="510349A7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Inner West</w:t>
            </w:r>
          </w:p>
          <w:p w14:paraId="062D7027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Liverpool City</w:t>
            </w:r>
          </w:p>
          <w:p w14:paraId="18342B89" w14:textId="77777777" w:rsidR="00CE27BA" w:rsidRP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Northern Beaches</w:t>
            </w:r>
          </w:p>
          <w:p w14:paraId="78A2DBEF" w14:textId="77777777" w:rsidR="00CE27BA" w:rsidRDefault="00CE27BA" w:rsidP="00CE27BA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Parramatta City</w:t>
            </w:r>
          </w:p>
          <w:p w14:paraId="650845B4" w14:textId="6C925B64" w:rsidR="006634A3" w:rsidRPr="00CD12F9" w:rsidRDefault="00CE27BA" w:rsidP="00CD12F9">
            <w:pPr>
              <w:pStyle w:val="xp2"/>
              <w:numPr>
                <w:ilvl w:val="0"/>
                <w:numId w:val="8"/>
              </w:numPr>
              <w:rPr>
                <w:color w:val="000000"/>
              </w:rPr>
            </w:pPr>
            <w:r w:rsidRPr="00CE27BA">
              <w:rPr>
                <w:color w:val="000000"/>
              </w:rPr>
              <w:t>Strathfield Municipality</w:t>
            </w:r>
          </w:p>
          <w:p w14:paraId="0816BBB5" w14:textId="4518056E" w:rsidR="00966B78" w:rsidRDefault="00E85C6C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E85C6C">
              <w:rPr>
                <w:color w:val="000000"/>
              </w:rPr>
              <w:t>If you are currently in quarantine in the ACT from the Central Coast, Wollongong</w:t>
            </w:r>
            <w:r w:rsidR="008B34FF">
              <w:rPr>
                <w:color w:val="000000"/>
              </w:rPr>
              <w:t>, Blue Mountain</w:t>
            </w:r>
            <w:r w:rsidR="00EF19D8">
              <w:rPr>
                <w:color w:val="000000"/>
              </w:rPr>
              <w:t xml:space="preserve"> </w:t>
            </w:r>
            <w:r w:rsidRPr="00E85C6C">
              <w:rPr>
                <w:color w:val="000000"/>
              </w:rPr>
              <w:t>and areas of Greater Sydney that have been removed from the Public Health Direction, you no longer need to quarantine, provided you have not been in any COVID-19 affected areas in the past 14 days.</w:t>
            </w:r>
            <w:r w:rsidR="00CD12F9">
              <w:rPr>
                <w:color w:val="000000"/>
              </w:rPr>
              <w:t xml:space="preserve"> If you have been in a</w:t>
            </w:r>
            <w:r w:rsidR="006565F6">
              <w:rPr>
                <w:color w:val="000000"/>
              </w:rPr>
              <w:t>ny of the</w:t>
            </w:r>
            <w:r w:rsidR="00970A52">
              <w:rPr>
                <w:color w:val="000000"/>
              </w:rPr>
              <w:t xml:space="preserve"> COVID-19 affected</w:t>
            </w:r>
            <w:r w:rsidR="006565F6">
              <w:rPr>
                <w:color w:val="000000"/>
              </w:rPr>
              <w:t xml:space="preserve"> LGA’s in the past 14 days, you are required to complete your </w:t>
            </w:r>
            <w:r w:rsidR="00827B4A">
              <w:rPr>
                <w:color w:val="000000"/>
              </w:rPr>
              <w:t>quarantine</w:t>
            </w:r>
            <w:r w:rsidR="006565F6">
              <w:rPr>
                <w:color w:val="000000"/>
              </w:rPr>
              <w:t xml:space="preserve"> period. </w:t>
            </w:r>
          </w:p>
          <w:p w14:paraId="4DE811F2" w14:textId="77777777" w:rsidR="00C76833" w:rsidRDefault="00C76833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A0379B2" w14:textId="77777777" w:rsidR="002E4C27" w:rsidRDefault="00386784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 w:rsidRPr="00386784">
              <w:rPr>
                <w:color w:val="000000"/>
              </w:rPr>
              <w:lastRenderedPageBreak/>
              <w:t>ACT residents currently in the</w:t>
            </w:r>
            <w:r w:rsidR="002A4A4E">
              <w:rPr>
                <w:color w:val="000000"/>
              </w:rPr>
              <w:t xml:space="preserve"> COVID-19 affected areas of </w:t>
            </w:r>
            <w:r w:rsidRPr="00386784">
              <w:rPr>
                <w:color w:val="000000"/>
              </w:rPr>
              <w:t xml:space="preserve">Greater </w:t>
            </w:r>
            <w:r w:rsidR="002A4A4E">
              <w:rPr>
                <w:color w:val="000000"/>
              </w:rPr>
              <w:t>Sydney</w:t>
            </w:r>
            <w:r w:rsidRPr="00386784">
              <w:rPr>
                <w:color w:val="000000"/>
              </w:rPr>
              <w:t xml:space="preserve"> will need to continue to follow the </w:t>
            </w:r>
            <w:r w:rsidR="002A4A4E">
              <w:rPr>
                <w:color w:val="000000"/>
              </w:rPr>
              <w:t xml:space="preserve">NSW </w:t>
            </w:r>
            <w:r w:rsidRPr="00386784">
              <w:rPr>
                <w:color w:val="000000"/>
              </w:rPr>
              <w:t xml:space="preserve">Health advice. </w:t>
            </w:r>
          </w:p>
          <w:p w14:paraId="767440B8" w14:textId="77777777" w:rsidR="002E4C27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15939980" w14:textId="48A21316" w:rsidR="00386784" w:rsidRDefault="008F143D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ACT resident</w:t>
            </w:r>
            <w:r w:rsidR="00383732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travelling from a COVID-19 affected area in </w:t>
            </w:r>
            <w:r w:rsidR="006634A3">
              <w:rPr>
                <w:color w:val="000000"/>
              </w:rPr>
              <w:t xml:space="preserve">Greater </w:t>
            </w:r>
            <w:r>
              <w:rPr>
                <w:color w:val="000000"/>
              </w:rPr>
              <w:t xml:space="preserve">Sydney are still required to declare their travel from </w:t>
            </w:r>
            <w:r w:rsidR="002E4C27">
              <w:rPr>
                <w:color w:val="000000"/>
              </w:rPr>
              <w:t xml:space="preserve">the area and quarantine for 14 days upon their return. </w:t>
            </w:r>
            <w:r>
              <w:rPr>
                <w:color w:val="000000"/>
              </w:rPr>
              <w:t xml:space="preserve"> </w:t>
            </w:r>
          </w:p>
          <w:p w14:paraId="3ECBF3E6" w14:textId="51EB3B03" w:rsidR="002E4C27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4843B21D" w14:textId="4129AF3C" w:rsidR="002E4C27" w:rsidRPr="00386784" w:rsidRDefault="002E4C27" w:rsidP="00386784">
            <w:pPr>
              <w:pStyle w:val="xp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Non-</w:t>
            </w:r>
            <w:r w:rsidRPr="002E4C27">
              <w:rPr>
                <w:color w:val="000000"/>
              </w:rPr>
              <w:t xml:space="preserve">ACT resident travelling from a COVID-19 affected area in </w:t>
            </w:r>
            <w:r w:rsidR="006634A3">
              <w:rPr>
                <w:color w:val="000000"/>
              </w:rPr>
              <w:t xml:space="preserve">Greater </w:t>
            </w:r>
            <w:r w:rsidRPr="002E4C27">
              <w:rPr>
                <w:color w:val="000000"/>
              </w:rPr>
              <w:t xml:space="preserve">Sydney are still required to </w:t>
            </w:r>
            <w:r>
              <w:rPr>
                <w:color w:val="000000"/>
              </w:rPr>
              <w:t xml:space="preserve">apply for an exemption. More information </w:t>
            </w:r>
            <w:r w:rsidR="005F794A">
              <w:rPr>
                <w:color w:val="000000"/>
              </w:rPr>
              <w:t xml:space="preserve">is available </w:t>
            </w:r>
            <w:r>
              <w:rPr>
                <w:color w:val="000000"/>
              </w:rPr>
              <w:t xml:space="preserve">for </w:t>
            </w:r>
            <w:hyperlink r:id="rId8" w:anchor="Non-ACT-residents-who-want-to-visit-the-ACT" w:history="1">
              <w:r w:rsidRPr="005F794A">
                <w:rPr>
                  <w:rStyle w:val="Hyperlink"/>
                </w:rPr>
                <w:t>non-ACT</w:t>
              </w:r>
              <w:r w:rsidR="005F794A" w:rsidRPr="005F794A">
                <w:rPr>
                  <w:rStyle w:val="Hyperlink"/>
                </w:rPr>
                <w:t xml:space="preserve"> residents</w:t>
              </w:r>
            </w:hyperlink>
            <w:r w:rsidR="005F794A" w:rsidRPr="005F794A">
              <w:rPr>
                <w:color w:val="000000"/>
              </w:rPr>
              <w:t xml:space="preserve"> who want to visit the ACT </w:t>
            </w:r>
            <w:r w:rsidRPr="002E4C27">
              <w:rPr>
                <w:color w:val="000000"/>
              </w:rPr>
              <w:t xml:space="preserve"> </w:t>
            </w:r>
          </w:p>
          <w:p w14:paraId="3D53F320" w14:textId="5A74929F" w:rsidR="00386784" w:rsidRDefault="00386784" w:rsidP="00412BEF">
            <w:pPr>
              <w:pStyle w:val="xp2"/>
              <w:spacing w:before="0" w:beforeAutospacing="0" w:after="0" w:afterAutospacing="0"/>
              <w:rPr>
                <w:color w:val="000000"/>
              </w:rPr>
            </w:pPr>
          </w:p>
          <w:p w14:paraId="4305FAAD" w14:textId="747342A5" w:rsidR="00A36E4C" w:rsidRDefault="00A36E4C" w:rsidP="00A36E4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 enquires in relation to this notification please email </w:t>
            </w:r>
            <w:hyperlink r:id="rId9" w:history="1">
              <w:r>
                <w:rPr>
                  <w:rStyle w:val="Hyperlink"/>
                </w:rPr>
                <w:t>CECA@ACT.gov.au</w:t>
              </w:r>
            </w:hyperlink>
            <w:r>
              <w:rPr>
                <w:color w:val="000000"/>
              </w:rPr>
              <w:t xml:space="preserve">. We will respond to your questions as soon as we can and update our frequently asked questions on our </w:t>
            </w:r>
            <w:hyperlink r:id="rId10" w:history="1">
              <w:r>
                <w:rPr>
                  <w:rStyle w:val="Hyperlink"/>
                </w:rPr>
                <w:t>webpage</w:t>
              </w:r>
            </w:hyperlink>
            <w:r>
              <w:rPr>
                <w:color w:val="000000"/>
              </w:rPr>
              <w:t xml:space="preserve">.  </w:t>
            </w:r>
          </w:p>
          <w:p w14:paraId="04D0A04B" w14:textId="77777777" w:rsidR="00A36E4C" w:rsidRPr="00A36E4C" w:rsidRDefault="00A36E4C" w:rsidP="00A36E4C">
            <w:pPr>
              <w:spacing w:line="276" w:lineRule="auto"/>
            </w:pPr>
          </w:p>
          <w:p w14:paraId="4AC717E0" w14:textId="29BC7B5A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1" w:history="1">
              <w:r w:rsidRPr="00A922E8">
                <w:rPr>
                  <w:rStyle w:val="Hyperlink"/>
                  <w:rFonts w:asciiTheme="minorHAnsi" w:hAnsiTheme="minorHAnsi" w:cstheme="minorHAnsi"/>
                  <w:color w:val="000000"/>
                </w:rPr>
                <w:t>CECA@ACT.gov.au</w:t>
              </w:r>
            </w:hyperlink>
            <w:r w:rsidRPr="00A922E8">
              <w:rPr>
                <w:rFonts w:asciiTheme="minorHAnsi" w:hAnsiTheme="minorHAnsi" w:cstheme="minorHAnsi"/>
                <w:color w:val="000000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114C0"/>
    <w:multiLevelType w:val="hybridMultilevel"/>
    <w:tmpl w:val="7694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016F15"/>
    <w:rsid w:val="000872F1"/>
    <w:rsid w:val="0009656C"/>
    <w:rsid w:val="000C13E6"/>
    <w:rsid w:val="000E4437"/>
    <w:rsid w:val="00107E18"/>
    <w:rsid w:val="001163C0"/>
    <w:rsid w:val="00143B54"/>
    <w:rsid w:val="00154EC9"/>
    <w:rsid w:val="001A0615"/>
    <w:rsid w:val="001C49DD"/>
    <w:rsid w:val="001E4B11"/>
    <w:rsid w:val="002303D3"/>
    <w:rsid w:val="0026355F"/>
    <w:rsid w:val="00285BCC"/>
    <w:rsid w:val="0029018D"/>
    <w:rsid w:val="00294F50"/>
    <w:rsid w:val="002A4A4E"/>
    <w:rsid w:val="002D67B9"/>
    <w:rsid w:val="002E17A8"/>
    <w:rsid w:val="002E4C27"/>
    <w:rsid w:val="002E6895"/>
    <w:rsid w:val="0033509B"/>
    <w:rsid w:val="00345518"/>
    <w:rsid w:val="00352C06"/>
    <w:rsid w:val="00360CBC"/>
    <w:rsid w:val="00380DFB"/>
    <w:rsid w:val="00383732"/>
    <w:rsid w:val="00386784"/>
    <w:rsid w:val="003E4A46"/>
    <w:rsid w:val="00412BEF"/>
    <w:rsid w:val="004A1FA0"/>
    <w:rsid w:val="004F0991"/>
    <w:rsid w:val="00515884"/>
    <w:rsid w:val="005205FA"/>
    <w:rsid w:val="00537386"/>
    <w:rsid w:val="00543DBF"/>
    <w:rsid w:val="005A09CD"/>
    <w:rsid w:val="005A44C3"/>
    <w:rsid w:val="005F794A"/>
    <w:rsid w:val="0064568A"/>
    <w:rsid w:val="006565F6"/>
    <w:rsid w:val="00663490"/>
    <w:rsid w:val="006634A3"/>
    <w:rsid w:val="00666039"/>
    <w:rsid w:val="00686190"/>
    <w:rsid w:val="00694CF8"/>
    <w:rsid w:val="006965D7"/>
    <w:rsid w:val="006B370F"/>
    <w:rsid w:val="006C5C76"/>
    <w:rsid w:val="00787B74"/>
    <w:rsid w:val="007B30B3"/>
    <w:rsid w:val="007E4607"/>
    <w:rsid w:val="007E5F6C"/>
    <w:rsid w:val="0081367C"/>
    <w:rsid w:val="00827B4A"/>
    <w:rsid w:val="00847B65"/>
    <w:rsid w:val="0087059E"/>
    <w:rsid w:val="00892478"/>
    <w:rsid w:val="00897C0A"/>
    <w:rsid w:val="008B34FF"/>
    <w:rsid w:val="008B3506"/>
    <w:rsid w:val="008E7E78"/>
    <w:rsid w:val="008F143D"/>
    <w:rsid w:val="00962A44"/>
    <w:rsid w:val="00966B78"/>
    <w:rsid w:val="00970A52"/>
    <w:rsid w:val="009C72CE"/>
    <w:rsid w:val="00A05C71"/>
    <w:rsid w:val="00A36E4C"/>
    <w:rsid w:val="00A5783B"/>
    <w:rsid w:val="00A9438F"/>
    <w:rsid w:val="00AB0F70"/>
    <w:rsid w:val="00AD6972"/>
    <w:rsid w:val="00B01694"/>
    <w:rsid w:val="00B20FB1"/>
    <w:rsid w:val="00B42272"/>
    <w:rsid w:val="00B61050"/>
    <w:rsid w:val="00B61C44"/>
    <w:rsid w:val="00B94EFA"/>
    <w:rsid w:val="00B9709F"/>
    <w:rsid w:val="00BA76F4"/>
    <w:rsid w:val="00BD4F20"/>
    <w:rsid w:val="00BF15AE"/>
    <w:rsid w:val="00C07B5C"/>
    <w:rsid w:val="00C27A75"/>
    <w:rsid w:val="00C65F2C"/>
    <w:rsid w:val="00C662CB"/>
    <w:rsid w:val="00C76833"/>
    <w:rsid w:val="00CC531F"/>
    <w:rsid w:val="00CD12F9"/>
    <w:rsid w:val="00CE27BA"/>
    <w:rsid w:val="00D268C2"/>
    <w:rsid w:val="00D27167"/>
    <w:rsid w:val="00D4128B"/>
    <w:rsid w:val="00DC4F6D"/>
    <w:rsid w:val="00DD7585"/>
    <w:rsid w:val="00DE266A"/>
    <w:rsid w:val="00DE4506"/>
    <w:rsid w:val="00DF19BA"/>
    <w:rsid w:val="00E00881"/>
    <w:rsid w:val="00E20C32"/>
    <w:rsid w:val="00E54651"/>
    <w:rsid w:val="00E804A7"/>
    <w:rsid w:val="00E85C6C"/>
    <w:rsid w:val="00EA0D71"/>
    <w:rsid w:val="00EA7360"/>
    <w:rsid w:val="00EF19D8"/>
    <w:rsid w:val="00F0418A"/>
    <w:rsid w:val="00F2274F"/>
    <w:rsid w:val="00F41050"/>
    <w:rsid w:val="00F8517A"/>
    <w:rsid w:val="00FA152D"/>
    <w:rsid w:val="00FD1D50"/>
    <w:rsid w:val="00FF106A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community/travel/nsw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CECAAC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mailto:CECA@ACT.gov.au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education.act.gov.au/early-childhood/information-on-novel-coronavirus-covid-19-for-early-childh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CA@ACT.gov.a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6</cp:revision>
  <dcterms:created xsi:type="dcterms:W3CDTF">2021-01-12T21:51:00Z</dcterms:created>
  <dcterms:modified xsi:type="dcterms:W3CDTF">2021-01-12T23:17:00Z</dcterms:modified>
</cp:coreProperties>
</file>