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E4A46" w:rsidRDefault="003E4A46" w:rsidP="003E4A46">
      <w:pPr>
        <w:rPr>
          <w:rFonts w:asciiTheme="minorHAnsi" w:eastAsia="Times New Roman" w:hAnsiTheme="minorHAnsi" w:cstheme="minorHAnsi"/>
          <w:lang w:eastAsia="en-AU"/>
        </w:rPr>
      </w:pPr>
    </w:p>
    <w:tbl>
      <w:tblPr>
        <w:tblW w:w="10533" w:type="dxa"/>
        <w:jc w:val="center"/>
        <w:tblCellSpacing w:w="0" w:type="dxa"/>
        <w:shd w:val="clear" w:color="auto" w:fill="F2F2F2"/>
        <w:tblCellMar>
          <w:left w:w="0" w:type="dxa"/>
          <w:right w:w="0" w:type="dxa"/>
        </w:tblCellMar>
        <w:tblLook w:val="04A0" w:firstRow="1" w:lastRow="0" w:firstColumn="1" w:lastColumn="0" w:noHBand="0" w:noVBand="1"/>
      </w:tblPr>
      <w:tblGrid>
        <w:gridCol w:w="485"/>
        <w:gridCol w:w="3889"/>
        <w:gridCol w:w="6159"/>
      </w:tblGrid>
      <w:tr w:rsidR="003E4A46" w:rsidRPr="003E4A46" w:rsidTr="00B20FB1">
        <w:trPr>
          <w:tblCellSpacing w:w="0" w:type="dxa"/>
          <w:jc w:val="center"/>
        </w:trPr>
        <w:tc>
          <w:tcPr>
            <w:tcW w:w="485" w:type="dxa"/>
            <w:shd w:val="clear" w:color="auto" w:fill="5C5C5C"/>
            <w:tcMar>
              <w:top w:w="225" w:type="dxa"/>
              <w:left w:w="465" w:type="dxa"/>
              <w:bottom w:w="225" w:type="dxa"/>
              <w:right w:w="0" w:type="dxa"/>
            </w:tcMar>
            <w:vAlign w:val="center"/>
            <w:hideMark/>
          </w:tcPr>
          <w:p w:rsidR="003E4A46" w:rsidRPr="003E4A46" w:rsidRDefault="003E4A46" w:rsidP="0081367C">
            <w:pPr>
              <w:ind w:left="-566"/>
              <w:rPr>
                <w:rFonts w:asciiTheme="minorHAnsi" w:hAnsiTheme="minorHAnsi" w:cstheme="minorHAnsi"/>
              </w:rPr>
            </w:pPr>
          </w:p>
        </w:tc>
        <w:tc>
          <w:tcPr>
            <w:tcW w:w="3889" w:type="dxa"/>
            <w:shd w:val="clear" w:color="auto" w:fill="5C5C5C"/>
            <w:tcMar>
              <w:top w:w="225" w:type="dxa"/>
              <w:left w:w="645" w:type="dxa"/>
              <w:bottom w:w="225" w:type="dxa"/>
              <w:right w:w="0" w:type="dxa"/>
            </w:tcMar>
            <w:vAlign w:val="center"/>
          </w:tcPr>
          <w:p w:rsidR="003E4A46" w:rsidRPr="003E4A46" w:rsidRDefault="003E4A46" w:rsidP="003E4A46">
            <w:pPr>
              <w:rPr>
                <w:rFonts w:asciiTheme="minorHAnsi" w:hAnsiTheme="minorHAnsi" w:cstheme="minorHAnsi"/>
                <w:color w:val="333132"/>
              </w:rPr>
            </w:pPr>
          </w:p>
        </w:tc>
        <w:tc>
          <w:tcPr>
            <w:tcW w:w="6159" w:type="dxa"/>
            <w:shd w:val="clear" w:color="auto" w:fill="5C5C5C"/>
            <w:tcMar>
              <w:top w:w="225" w:type="dxa"/>
              <w:left w:w="0" w:type="dxa"/>
              <w:bottom w:w="225" w:type="dxa"/>
              <w:right w:w="375" w:type="dxa"/>
            </w:tcMar>
            <w:vAlign w:val="center"/>
            <w:hideMark/>
          </w:tcPr>
          <w:p w:rsidR="003E4A46" w:rsidRPr="003E4A46" w:rsidRDefault="003E4A46" w:rsidP="003E4A46">
            <w:pPr>
              <w:spacing w:before="100" w:beforeAutospacing="1" w:after="100" w:afterAutospacing="1"/>
              <w:jc w:val="right"/>
              <w:rPr>
                <w:rFonts w:asciiTheme="minorHAnsi" w:hAnsiTheme="minorHAnsi" w:cstheme="minorHAnsi"/>
                <w:color w:val="FFFFFF"/>
                <w:sz w:val="20"/>
                <w:szCs w:val="20"/>
                <w:lang w:eastAsia="en-AU"/>
              </w:rPr>
            </w:pPr>
            <w:r w:rsidRPr="003E4A46">
              <w:rPr>
                <w:rFonts w:asciiTheme="minorHAnsi" w:hAnsiTheme="minorHAnsi" w:cstheme="minorHAnsi"/>
                <w:noProof/>
                <w:color w:val="000000"/>
                <w:sz w:val="20"/>
                <w:szCs w:val="20"/>
                <w:lang w:eastAsia="en-AU"/>
              </w:rPr>
              <w:drawing>
                <wp:inline distT="0" distB="0" distL="0" distR="0" wp14:anchorId="7C5ECB65" wp14:editId="5BADE6EA">
                  <wp:extent cx="209550" cy="2000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1"/>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39807759" wp14:editId="106F7118">
                  <wp:extent cx="209550" cy="200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2"/>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r w:rsidRPr="003E4A46">
              <w:rPr>
                <w:rFonts w:asciiTheme="minorHAnsi" w:hAnsiTheme="minorHAnsi" w:cstheme="minorHAnsi"/>
                <w:noProof/>
                <w:color w:val="000000"/>
                <w:sz w:val="20"/>
                <w:szCs w:val="20"/>
                <w:lang w:eastAsia="en-AU"/>
              </w:rPr>
              <w:drawing>
                <wp:inline distT="0" distB="0" distL="0" distR="0" wp14:anchorId="1E525E71" wp14:editId="58FDDBC8">
                  <wp:extent cx="209550" cy="200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oShap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209550" cy="200025"/>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342682"/>
            <w:vAlign w:val="center"/>
            <w:hideMark/>
          </w:tcPr>
          <w:p w:rsidR="003E4A46" w:rsidRPr="003E4A46" w:rsidRDefault="003E4A46" w:rsidP="003E4A46">
            <w:pPr>
              <w:rPr>
                <w:rFonts w:asciiTheme="minorHAnsi" w:hAnsiTheme="minorHAnsi" w:cstheme="minorHAnsi"/>
                <w:color w:val="333132"/>
              </w:rPr>
            </w:pPr>
            <w:r w:rsidRPr="003E4A46">
              <w:rPr>
                <w:rFonts w:asciiTheme="minorHAnsi" w:hAnsiTheme="minorHAnsi" w:cstheme="minorHAnsi"/>
                <w:noProof/>
                <w:color w:val="333132"/>
              </w:rPr>
              <w:drawing>
                <wp:inline distT="0" distB="0" distL="0" distR="0" wp14:anchorId="1DE5737B" wp14:editId="068BF7C6">
                  <wp:extent cx="6686550" cy="1918335"/>
                  <wp:effectExtent l="0" t="0" r="0" b="0"/>
                  <wp:docPr id="3" name="Picture 3" descr="Children's Education and Care Assura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ildren's Education and Care Assuranc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01071" cy="1922501"/>
                          </a:xfrm>
                          <a:prstGeom prst="rect">
                            <a:avLst/>
                          </a:prstGeom>
                          <a:noFill/>
                          <a:ln>
                            <a:noFill/>
                          </a:ln>
                        </pic:spPr>
                      </pic:pic>
                    </a:graphicData>
                  </a:graphic>
                </wp:inline>
              </w:drawing>
            </w:r>
          </w:p>
        </w:tc>
      </w:tr>
      <w:tr w:rsidR="003E4A46" w:rsidRPr="003E4A46" w:rsidTr="0081367C">
        <w:trPr>
          <w:tblCellSpacing w:w="0" w:type="dxa"/>
          <w:jc w:val="center"/>
        </w:trPr>
        <w:tc>
          <w:tcPr>
            <w:tcW w:w="10533" w:type="dxa"/>
            <w:gridSpan w:val="3"/>
            <w:shd w:val="clear" w:color="auto" w:fill="F2F2F2"/>
            <w:tcMar>
              <w:top w:w="300" w:type="dxa"/>
              <w:left w:w="750" w:type="dxa"/>
              <w:bottom w:w="375" w:type="dxa"/>
              <w:right w:w="630" w:type="dxa"/>
            </w:tcMar>
            <w:vAlign w:val="center"/>
          </w:tcPr>
          <w:p w:rsidR="00962F32" w:rsidRPr="00962F32" w:rsidRDefault="00962F32" w:rsidP="00962F32">
            <w:pPr>
              <w:spacing w:before="100" w:beforeAutospacing="1" w:after="100" w:afterAutospacing="1" w:line="400" w:lineRule="atLeast"/>
              <w:rPr>
                <w:lang w:eastAsia="en-AU"/>
              </w:rPr>
            </w:pPr>
            <w:r w:rsidRPr="00962F32">
              <w:rPr>
                <w:lang w:eastAsia="en-AU"/>
              </w:rPr>
              <w:t>23 June 2020</w:t>
            </w:r>
          </w:p>
          <w:tbl>
            <w:tblPr>
              <w:tblW w:w="5000" w:type="pct"/>
              <w:tblCellMar>
                <w:left w:w="0" w:type="dxa"/>
                <w:right w:w="0" w:type="dxa"/>
              </w:tblCellMar>
              <w:tblLook w:val="04A0" w:firstRow="1" w:lastRow="0" w:firstColumn="1" w:lastColumn="0" w:noHBand="0" w:noVBand="1"/>
            </w:tblPr>
            <w:tblGrid>
              <w:gridCol w:w="9153"/>
            </w:tblGrid>
            <w:tr w:rsidR="00962F32" w:rsidTr="00C600AD">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53"/>
                  </w:tblGrid>
                  <w:tr w:rsidR="00962F32" w:rsidTr="00C600AD">
                    <w:tc>
                      <w:tcPr>
                        <w:tcW w:w="9106" w:type="dxa"/>
                        <w:hideMark/>
                      </w:tcPr>
                      <w:tbl>
                        <w:tblPr>
                          <w:tblpPr w:leftFromText="45" w:rightFromText="45" w:vertAnchor="text"/>
                          <w:tblW w:w="9072" w:type="dxa"/>
                          <w:tblCellMar>
                            <w:left w:w="0" w:type="dxa"/>
                            <w:right w:w="0" w:type="dxa"/>
                          </w:tblCellMar>
                          <w:tblLook w:val="04A0" w:firstRow="1" w:lastRow="0" w:firstColumn="1" w:lastColumn="0" w:noHBand="0" w:noVBand="1"/>
                        </w:tblPr>
                        <w:tblGrid>
                          <w:gridCol w:w="9072"/>
                        </w:tblGrid>
                        <w:tr w:rsidR="00962F32" w:rsidTr="00C600AD">
                          <w:trPr>
                            <w:trHeight w:val="568"/>
                          </w:trPr>
                          <w:tc>
                            <w:tcPr>
                              <w:tcW w:w="5000" w:type="pct"/>
                              <w:tcMar>
                                <w:top w:w="0" w:type="dxa"/>
                                <w:left w:w="270" w:type="dxa"/>
                                <w:bottom w:w="135" w:type="dxa"/>
                                <w:right w:w="270" w:type="dxa"/>
                              </w:tcMar>
                              <w:hideMark/>
                            </w:tcPr>
                            <w:p w:rsidR="00962F32" w:rsidRDefault="00962F32" w:rsidP="00962F32">
                              <w:pPr>
                                <w:spacing w:before="100" w:beforeAutospacing="1"/>
                                <w:ind w:right="-456"/>
                                <w:jc w:val="center"/>
                                <w:rPr>
                                  <w:b/>
                                  <w:bCs/>
                                  <w:color w:val="60C0AB"/>
                                  <w:sz w:val="36"/>
                                  <w:szCs w:val="36"/>
                                  <w:lang w:eastAsia="en-AU"/>
                                </w:rPr>
                              </w:pPr>
                              <w:r>
                                <w:rPr>
                                  <w:b/>
                                  <w:bCs/>
                                  <w:color w:val="60C0AB"/>
                                  <w:sz w:val="36"/>
                                  <w:szCs w:val="36"/>
                                  <w:lang w:eastAsia="en-AU"/>
                                </w:rPr>
                                <w:t>CECA’s functions in response to COVID-19</w:t>
                              </w:r>
                            </w:p>
                          </w:tc>
                        </w:tr>
                      </w:tbl>
                      <w:p w:rsidR="00962F32" w:rsidRDefault="00962F32" w:rsidP="00962F32">
                        <w:pPr>
                          <w:rPr>
                            <w:rFonts w:ascii="Times New Roman" w:eastAsia="Times New Roman" w:hAnsi="Times New Roman" w:cs="Times New Roman"/>
                            <w:sz w:val="20"/>
                            <w:szCs w:val="20"/>
                            <w:lang w:eastAsia="en-AU"/>
                          </w:rPr>
                        </w:pPr>
                      </w:p>
                    </w:tc>
                  </w:tr>
                </w:tbl>
                <w:p w:rsidR="00962F32" w:rsidRDefault="00962F32" w:rsidP="00962F32">
                  <w:pPr>
                    <w:rPr>
                      <w:rFonts w:ascii="Times New Roman" w:eastAsia="Times New Roman" w:hAnsi="Times New Roman" w:cs="Times New Roman"/>
                      <w:sz w:val="20"/>
                      <w:szCs w:val="20"/>
                      <w:lang w:eastAsia="en-AU"/>
                    </w:rPr>
                  </w:pPr>
                </w:p>
              </w:tc>
            </w:tr>
          </w:tbl>
          <w:p w:rsidR="00962F32" w:rsidRDefault="00962F32" w:rsidP="00962F32"/>
          <w:p w:rsidR="00962F32" w:rsidRDefault="00962F32" w:rsidP="00962F32">
            <w:r>
              <w:rPr>
                <w:color w:val="000000"/>
              </w:rPr>
              <w:t>Dear education and care providers and service leaders,</w:t>
            </w:r>
          </w:p>
          <w:p w:rsidR="00962F32" w:rsidRDefault="00962F32" w:rsidP="00962F32">
            <w:pPr>
              <w:rPr>
                <w:lang w:val="en"/>
              </w:rPr>
            </w:pPr>
          </w:p>
          <w:p w:rsidR="00962F32" w:rsidRDefault="00962F32" w:rsidP="00962F32">
            <w:pPr>
              <w:rPr>
                <w:lang w:val="en"/>
              </w:rPr>
            </w:pPr>
            <w:r>
              <w:rPr>
                <w:color w:val="000000"/>
                <w:lang w:val="en"/>
              </w:rPr>
              <w:t>CECA will continue to adapt its functions in response to COVID-19 and the changing needs of the education and care sector.</w:t>
            </w:r>
          </w:p>
          <w:p w:rsidR="00962F32" w:rsidRDefault="00962F32" w:rsidP="00962F32">
            <w:pPr>
              <w:rPr>
                <w:lang w:val="en"/>
              </w:rPr>
            </w:pPr>
          </w:p>
          <w:p w:rsidR="00962F32" w:rsidRDefault="00962F32" w:rsidP="00962F32">
            <w:pPr>
              <w:rPr>
                <w:lang w:val="en"/>
              </w:rPr>
            </w:pPr>
            <w:r>
              <w:rPr>
                <w:color w:val="000000"/>
                <w:lang w:val="en"/>
              </w:rPr>
              <w:t>From 29 June 2020, CECA is adapting its functions to support recovery of the sector and to transition back to CECA’s usual regulatory functions.</w:t>
            </w:r>
          </w:p>
          <w:p w:rsidR="00962F32" w:rsidRDefault="00962F32" w:rsidP="00962F32">
            <w:pPr>
              <w:rPr>
                <w:lang w:val="en"/>
              </w:rPr>
            </w:pPr>
          </w:p>
          <w:p w:rsidR="00962F32" w:rsidRDefault="00962F32" w:rsidP="00962F32">
            <w:pPr>
              <w:rPr>
                <w:b/>
                <w:bCs/>
                <w:lang w:val="en"/>
              </w:rPr>
            </w:pPr>
            <w:r>
              <w:rPr>
                <w:b/>
                <w:bCs/>
                <w:color w:val="000000"/>
                <w:lang w:val="en"/>
              </w:rPr>
              <w:t xml:space="preserve">Wellbeing Support Visits </w:t>
            </w:r>
          </w:p>
          <w:p w:rsidR="00962F32" w:rsidRDefault="00962F32" w:rsidP="00962F32">
            <w:r>
              <w:rPr>
                <w:color w:val="000000"/>
                <w:lang w:val="en"/>
              </w:rPr>
              <w:t>This week CECA will start to schedule wellbeing support visits to services, which will take place over the coming weeks.  These visits are designed to provide support to services and to understand services’ current challenges.  Visits will also inform the preparedness of providers and services for recommencing assessment and rating.</w:t>
            </w:r>
          </w:p>
          <w:p w:rsidR="00962F32" w:rsidRDefault="00962F32" w:rsidP="00962F32">
            <w:pPr>
              <w:rPr>
                <w:lang w:val="en"/>
              </w:rPr>
            </w:pPr>
          </w:p>
          <w:p w:rsidR="00962F32" w:rsidRDefault="00962F32" w:rsidP="00962F32">
            <w:r>
              <w:rPr>
                <w:b/>
                <w:bCs/>
                <w:color w:val="000000"/>
              </w:rPr>
              <w:t>Compliance Audits</w:t>
            </w:r>
            <w:r>
              <w:rPr>
                <w:color w:val="000000"/>
              </w:rPr>
              <w:t xml:space="preserve"> </w:t>
            </w:r>
          </w:p>
          <w:p w:rsidR="00962F32" w:rsidRDefault="00962F32" w:rsidP="00962F32">
            <w:r>
              <w:rPr>
                <w:color w:val="000000"/>
              </w:rPr>
              <w:t>CECA will also recommence compliance audits within the next couple of weeks.  Authorised Officers will contact providers and service leaders before a compliance audit to discuss the arrangements, and to ensure that the approach used is responsive to the current preparedness and circumstances of each service.</w:t>
            </w:r>
          </w:p>
          <w:p w:rsidR="00962F32" w:rsidRDefault="00962F32" w:rsidP="00962F32"/>
          <w:p w:rsidR="00962F32" w:rsidRDefault="00962F32" w:rsidP="00962F32">
            <w:pPr>
              <w:rPr>
                <w:b/>
                <w:bCs/>
              </w:rPr>
            </w:pPr>
            <w:r>
              <w:rPr>
                <w:b/>
                <w:bCs/>
                <w:color w:val="000000"/>
              </w:rPr>
              <w:t xml:space="preserve">Physical Audits and Approvals </w:t>
            </w:r>
          </w:p>
          <w:p w:rsidR="00962F32" w:rsidRDefault="00962F32" w:rsidP="00962F32">
            <w:r>
              <w:rPr>
                <w:color w:val="000000"/>
              </w:rPr>
              <w:t>Physical audits and any on-site visits to assess approvals will be conducted by Authorised Officers in a way that reduces unnecessary face-to-face contact time. Email and teleconference options will be used where appropriate.</w:t>
            </w:r>
          </w:p>
          <w:p w:rsidR="00962F32" w:rsidRDefault="00962F32" w:rsidP="00962F32"/>
          <w:p w:rsidR="00962F32" w:rsidRDefault="00962F32" w:rsidP="00962F32">
            <w:pPr>
              <w:rPr>
                <w:b/>
                <w:bCs/>
              </w:rPr>
            </w:pPr>
            <w:r>
              <w:rPr>
                <w:b/>
                <w:bCs/>
                <w:color w:val="000000"/>
              </w:rPr>
              <w:t>Investigations, Emergency Audits and Risk Audits</w:t>
            </w:r>
          </w:p>
          <w:p w:rsidR="00962F32" w:rsidRDefault="00962F32" w:rsidP="00962F32">
            <w:r>
              <w:rPr>
                <w:color w:val="000000"/>
              </w:rPr>
              <w:t>Investigations, Emergency Audits, and Risk Audits will continue to function as usual.  The choice of socially distanced methods or face-to-face methods will be determined on a case by case basis.</w:t>
            </w:r>
          </w:p>
          <w:p w:rsidR="00962F32" w:rsidRDefault="00962F32" w:rsidP="00962F32">
            <w:pPr>
              <w:rPr>
                <w:b/>
                <w:bCs/>
              </w:rPr>
            </w:pPr>
          </w:p>
          <w:p w:rsidR="00962F32" w:rsidRDefault="00962F32" w:rsidP="00962F32">
            <w:pPr>
              <w:rPr>
                <w:b/>
                <w:bCs/>
              </w:rPr>
            </w:pPr>
            <w:r>
              <w:rPr>
                <w:b/>
                <w:bCs/>
                <w:color w:val="000000"/>
              </w:rPr>
              <w:t>Assessment and Rating</w:t>
            </w:r>
          </w:p>
          <w:p w:rsidR="00962F32" w:rsidRDefault="00962F32" w:rsidP="00962F32">
            <w:r>
              <w:rPr>
                <w:color w:val="000000"/>
              </w:rPr>
              <w:t>Consideration will be given to the current circumstances and preparedness of each service prior to scheduling any assessment and rating process.  Scheduled assessment and rating visits will recommence from approximately 29 July. This may include services who commenced an assessment and rating process prior to the impact of COVID-19 if those services are ready to continue.</w:t>
            </w:r>
          </w:p>
          <w:p w:rsidR="00962F32" w:rsidRDefault="00962F32" w:rsidP="00962F32"/>
          <w:p w:rsidR="00962F32" w:rsidRDefault="00962F32" w:rsidP="00962F32">
            <w:r>
              <w:rPr>
                <w:color w:val="000000"/>
              </w:rPr>
              <w:t>Authorised Officers may use strategies to ensure appropriate physical distancing occurs between adults during educator and governance discussions. For example, in some circumstances, discussions may take place in open spaces rather than staff rooms or office spaces. As always, Authorised Officers will call providers and service leaders to discuss the arrangements prior to the assessment and rating visit.</w:t>
            </w:r>
          </w:p>
          <w:p w:rsidR="00962F32" w:rsidRDefault="00962F32" w:rsidP="00962F32">
            <w:pPr>
              <w:rPr>
                <w:b/>
                <w:bCs/>
              </w:rPr>
            </w:pPr>
          </w:p>
          <w:p w:rsidR="00962F32" w:rsidRDefault="00962F32" w:rsidP="00962F32">
            <w:pPr>
              <w:rPr>
                <w:b/>
                <w:bCs/>
              </w:rPr>
            </w:pPr>
            <w:r>
              <w:rPr>
                <w:b/>
                <w:bCs/>
                <w:color w:val="000000"/>
              </w:rPr>
              <w:t xml:space="preserve">Authorised Officer Protocols  </w:t>
            </w:r>
          </w:p>
          <w:p w:rsidR="00962F32" w:rsidRDefault="00962F32" w:rsidP="00962F32">
            <w:r>
              <w:rPr>
                <w:color w:val="000000"/>
              </w:rPr>
              <w:t xml:space="preserve">Authorised Officers are required to adhere to service COVID-19 protocols, including physical distancing and hygiene measures during sector visits. CECA has developed COVID-19 Health and Safety Procedures to reduce the risk to Authorised Officers and the sector as regulator and support functions resume. </w:t>
            </w:r>
          </w:p>
          <w:p w:rsidR="00962F32" w:rsidRDefault="00962F32" w:rsidP="00962F32"/>
          <w:p w:rsidR="00962F32" w:rsidRDefault="00962F32" w:rsidP="00962F32">
            <w:r>
              <w:rPr>
                <w:color w:val="000000"/>
              </w:rPr>
              <w:t xml:space="preserve">Thank you for your ongoing professionalism and commitment to children and their families during this time. </w:t>
            </w:r>
          </w:p>
          <w:p w:rsidR="00962F32" w:rsidRDefault="00962F32" w:rsidP="00962F32"/>
          <w:p w:rsidR="00C662CB" w:rsidRPr="00C662CB" w:rsidRDefault="00C662CB" w:rsidP="00C662CB">
            <w:pPr>
              <w:jc w:val="center"/>
              <w:rPr>
                <w:rFonts w:asciiTheme="minorHAnsi" w:hAnsiTheme="minorHAnsi" w:cstheme="minorHAnsi"/>
                <w:color w:val="000000"/>
                <w:sz w:val="20"/>
                <w:szCs w:val="20"/>
                <w:lang w:eastAsia="en-AU"/>
              </w:rPr>
            </w:pPr>
          </w:p>
          <w:p w:rsidR="003E4A46" w:rsidRPr="00352C06" w:rsidRDefault="005A09CD" w:rsidP="00352C06">
            <w:pPr>
              <w:jc w:val="center"/>
              <w:rPr>
                <w:rFonts w:asciiTheme="minorHAnsi" w:hAnsiTheme="minorHAnsi" w:cstheme="minorHAnsi"/>
              </w:rPr>
            </w:pPr>
            <w:r w:rsidRPr="00A922E8">
              <w:rPr>
                <w:rFonts w:asciiTheme="minorHAnsi" w:hAnsiTheme="minorHAnsi" w:cstheme="minorHAnsi"/>
                <w:color w:val="000000"/>
                <w:lang w:eastAsia="en-AU"/>
              </w:rPr>
              <w:t xml:space="preserve">For enquires in relation to this notification please call CECA on (02) 6207 1114 or email </w:t>
            </w:r>
            <w:hyperlink r:id="rId8" w:history="1">
              <w:r w:rsidRPr="00A922E8">
                <w:rPr>
                  <w:rStyle w:val="Hyperlink"/>
                  <w:rFonts w:asciiTheme="minorHAnsi" w:hAnsiTheme="minorHAnsi" w:cstheme="minorHAnsi"/>
                  <w:color w:val="000000"/>
                </w:rPr>
                <w:t>CECA@ACT.gov.au</w:t>
              </w:r>
            </w:hyperlink>
            <w:r w:rsidRPr="00A922E8">
              <w:rPr>
                <w:rFonts w:asciiTheme="minorHAnsi" w:hAnsiTheme="minorHAnsi" w:cstheme="minorHAnsi"/>
                <w:color w:val="000000"/>
                <w:u w:val="single"/>
              </w:rPr>
              <w:t>.</w:t>
            </w:r>
          </w:p>
          <w:p w:rsidR="003E4A46" w:rsidRPr="003E4A46" w:rsidRDefault="003E4A46" w:rsidP="003E4A46">
            <w:pPr>
              <w:spacing w:before="100" w:beforeAutospacing="1" w:after="100" w:afterAutospacing="1"/>
              <w:jc w:val="center"/>
              <w:rPr>
                <w:rFonts w:asciiTheme="minorHAnsi" w:hAnsiTheme="minorHAnsi" w:cstheme="minorHAnsi"/>
                <w:color w:val="333132"/>
                <w:sz w:val="20"/>
                <w:szCs w:val="20"/>
                <w:lang w:eastAsia="en-AU"/>
              </w:rPr>
            </w:pPr>
            <w:r w:rsidRPr="003E4A46">
              <w:rPr>
                <w:rFonts w:asciiTheme="minorHAnsi" w:hAnsiTheme="minorHAnsi" w:cstheme="minorHAnsi"/>
                <w:color w:val="767171"/>
                <w:sz w:val="20"/>
                <w:szCs w:val="20"/>
                <w:lang w:eastAsia="en-AU"/>
              </w:rPr>
              <w:t>This email has been authorised by the ACT Regulatory Authority (CECA). CECA are responsible for administering the National Quality Framework within the ACT.</w:t>
            </w:r>
          </w:p>
        </w:tc>
      </w:tr>
    </w:tbl>
    <w:p w:rsidR="003E4A46" w:rsidRPr="00A922E8" w:rsidRDefault="003E4A46" w:rsidP="003E4A46">
      <w:pPr>
        <w:rPr>
          <w:rFonts w:asciiTheme="minorHAnsi" w:hAnsiTheme="minorHAnsi" w:cstheme="minorHAnsi"/>
          <w:vanish/>
          <w:color w:val="333132"/>
        </w:rPr>
      </w:pPr>
    </w:p>
    <w:tbl>
      <w:tblPr>
        <w:tblW w:w="10387"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10387"/>
      </w:tblGrid>
      <w:tr w:rsidR="003E4A46" w:rsidRPr="00A922E8" w:rsidTr="002E17A8">
        <w:trPr>
          <w:tblCellSpacing w:w="0" w:type="dxa"/>
          <w:jc w:val="center"/>
          <w:hidden/>
        </w:trPr>
        <w:tc>
          <w:tcPr>
            <w:tcW w:w="10387" w:type="dxa"/>
            <w:shd w:val="clear" w:color="auto" w:fill="5C5C5C"/>
            <w:vAlign w:val="center"/>
            <w:hideMark/>
          </w:tcPr>
          <w:p w:rsidR="003E4A46" w:rsidRPr="00A922E8" w:rsidRDefault="003E4A46" w:rsidP="00F81A6A">
            <w:pPr>
              <w:rPr>
                <w:rFonts w:asciiTheme="minorHAnsi" w:hAnsiTheme="minorHAnsi" w:cstheme="minorHAnsi"/>
                <w:vanish/>
                <w:color w:val="333132"/>
              </w:rPr>
            </w:pPr>
          </w:p>
        </w:tc>
      </w:tr>
      <w:tr w:rsidR="003E4A46" w:rsidRPr="00A922E8" w:rsidTr="002E17A8">
        <w:trPr>
          <w:tblCellSpacing w:w="0" w:type="dxa"/>
          <w:jc w:val="center"/>
        </w:trPr>
        <w:tc>
          <w:tcPr>
            <w:tcW w:w="10387" w:type="dxa"/>
            <w:shd w:val="clear" w:color="auto" w:fill="5C5C5C"/>
            <w:vAlign w:val="center"/>
            <w:hideMark/>
          </w:tcPr>
          <w:tbl>
            <w:tblPr>
              <w:tblW w:w="10364" w:type="dxa"/>
              <w:jc w:val="center"/>
              <w:tblCellSpacing w:w="0" w:type="dxa"/>
              <w:shd w:val="clear" w:color="auto" w:fill="FFFFFF"/>
              <w:tblLayout w:type="fixed"/>
              <w:tblCellMar>
                <w:left w:w="0" w:type="dxa"/>
                <w:right w:w="0" w:type="dxa"/>
              </w:tblCellMar>
              <w:tblLook w:val="04A0" w:firstRow="1" w:lastRow="0" w:firstColumn="1" w:lastColumn="0" w:noHBand="0" w:noVBand="1"/>
            </w:tblPr>
            <w:tblGrid>
              <w:gridCol w:w="29"/>
              <w:gridCol w:w="2760"/>
              <w:gridCol w:w="23"/>
              <w:gridCol w:w="7552"/>
            </w:tblGrid>
            <w:tr w:rsidR="003E4A46" w:rsidRPr="00A922E8" w:rsidTr="00B42272">
              <w:trPr>
                <w:gridAfter w:val="3"/>
                <w:wAfter w:w="10335" w:type="dxa"/>
                <w:trHeight w:val="193"/>
                <w:tblCellSpacing w:w="0" w:type="dxa"/>
                <w:jc w:val="center"/>
              </w:trPr>
              <w:tc>
                <w:tcPr>
                  <w:tcW w:w="29" w:type="dxa"/>
                  <w:shd w:val="clear" w:color="auto" w:fill="5C5C5C"/>
                  <w:vAlign w:val="center"/>
                  <w:hideMark/>
                </w:tcPr>
                <w:p w:rsidR="003E4A46" w:rsidRPr="00A922E8" w:rsidRDefault="003E4A46" w:rsidP="00F81A6A">
                  <w:pPr>
                    <w:rPr>
                      <w:rFonts w:asciiTheme="minorHAnsi" w:eastAsia="Times New Roman" w:hAnsiTheme="minorHAnsi" w:cstheme="minorHAnsi"/>
                      <w:sz w:val="20"/>
                      <w:szCs w:val="20"/>
                      <w:lang w:eastAsia="en-AU"/>
                    </w:rPr>
                  </w:pPr>
                </w:p>
              </w:tc>
            </w:tr>
            <w:tr w:rsidR="00F41050" w:rsidRPr="00A922E8" w:rsidTr="00285BCC">
              <w:trPr>
                <w:tblCellSpacing w:w="0" w:type="dxa"/>
                <w:jc w:val="center"/>
              </w:trPr>
              <w:tc>
                <w:tcPr>
                  <w:tcW w:w="2789" w:type="dxa"/>
                  <w:gridSpan w:val="2"/>
                  <w:shd w:val="clear" w:color="auto" w:fill="5C5C5C"/>
                  <w:tcMar>
                    <w:top w:w="120" w:type="dxa"/>
                    <w:left w:w="630" w:type="dxa"/>
                    <w:bottom w:w="120" w:type="dxa"/>
                    <w:right w:w="0" w:type="dxa"/>
                  </w:tcMar>
                  <w:vAlign w:val="center"/>
                  <w:hideMark/>
                </w:tcPr>
                <w:p w:rsidR="003E4A46" w:rsidRPr="00A922E8" w:rsidRDefault="003E4A46" w:rsidP="00F81A6A">
                  <w:pPr>
                    <w:spacing w:before="100" w:beforeAutospacing="1" w:after="100" w:afterAutospacing="1"/>
                    <w:rPr>
                      <w:rFonts w:asciiTheme="minorHAnsi" w:hAnsiTheme="minorHAnsi" w:cstheme="minorHAnsi"/>
                      <w:color w:val="FFFFFF"/>
                      <w:sz w:val="20"/>
                      <w:szCs w:val="20"/>
                      <w:lang w:eastAsia="en-AU"/>
                    </w:rPr>
                  </w:pPr>
                  <w:r w:rsidRPr="00A922E8">
                    <w:rPr>
                      <w:rFonts w:asciiTheme="minorHAnsi" w:hAnsiTheme="minorHAnsi" w:cstheme="minorHAnsi"/>
                      <w:noProof/>
                      <w:color w:val="0000FF"/>
                      <w:sz w:val="20"/>
                      <w:szCs w:val="20"/>
                      <w:lang w:eastAsia="en-AU"/>
                    </w:rPr>
                    <w:drawing>
                      <wp:inline distT="0" distB="0" distL="0" distR="0" wp14:anchorId="6EE46C3E" wp14:editId="74D43306">
                        <wp:extent cx="1226240" cy="400050"/>
                        <wp:effectExtent l="0" t="0" r="0" b="0"/>
                        <wp:docPr id="244" name="Picture 244" descr="facebook">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faceboo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26295" cy="400068"/>
                                </a:xfrm>
                                <a:prstGeom prst="rect">
                                  <a:avLst/>
                                </a:prstGeom>
                                <a:noFill/>
                                <a:ln>
                                  <a:noFill/>
                                </a:ln>
                              </pic:spPr>
                            </pic:pic>
                          </a:graphicData>
                        </a:graphic>
                      </wp:inline>
                    </w:drawing>
                  </w:r>
                </w:p>
              </w:tc>
              <w:tc>
                <w:tcPr>
                  <w:tcW w:w="23" w:type="dxa"/>
                  <w:shd w:val="clear" w:color="auto" w:fill="5C5C5C"/>
                  <w:tcMar>
                    <w:top w:w="120" w:type="dxa"/>
                    <w:left w:w="0" w:type="dxa"/>
                    <w:bottom w:w="120" w:type="dxa"/>
                    <w:right w:w="0" w:type="dxa"/>
                  </w:tcMar>
                  <w:vAlign w:val="center"/>
                  <w:hideMark/>
                </w:tcPr>
                <w:p w:rsidR="003E4A46" w:rsidRPr="00A922E8" w:rsidRDefault="003E4A46" w:rsidP="00F81A6A">
                  <w:pPr>
                    <w:rPr>
                      <w:rFonts w:asciiTheme="minorHAnsi" w:hAnsiTheme="minorHAnsi" w:cstheme="minorHAnsi"/>
                      <w:color w:val="FFFFFF"/>
                      <w:sz w:val="20"/>
                      <w:szCs w:val="20"/>
                      <w:lang w:eastAsia="en-AU"/>
                    </w:rPr>
                  </w:pPr>
                </w:p>
              </w:tc>
              <w:tc>
                <w:tcPr>
                  <w:tcW w:w="7552" w:type="dxa"/>
                  <w:shd w:val="clear" w:color="auto" w:fill="5C5C5C"/>
                  <w:tcMar>
                    <w:top w:w="120" w:type="dxa"/>
                    <w:left w:w="0" w:type="dxa"/>
                    <w:bottom w:w="120" w:type="dxa"/>
                    <w:right w:w="525" w:type="dxa"/>
                  </w:tcMar>
                  <w:vAlign w:val="center"/>
                  <w:hideMark/>
                </w:tcPr>
                <w:p w:rsidR="003E4A46" w:rsidRPr="00A922E8" w:rsidRDefault="003E4A46" w:rsidP="00F81A6A">
                  <w:pPr>
                    <w:jc w:val="right"/>
                    <w:rPr>
                      <w:rFonts w:asciiTheme="minorHAnsi" w:hAnsiTheme="minorHAnsi" w:cstheme="minorHAnsi"/>
                      <w:color w:val="333132"/>
                    </w:rPr>
                  </w:pPr>
                  <w:r w:rsidRPr="00A922E8">
                    <w:rPr>
                      <w:rFonts w:asciiTheme="minorHAnsi" w:hAnsiTheme="minorHAnsi" w:cstheme="minorHAnsi"/>
                      <w:noProof/>
                      <w:color w:val="333132"/>
                    </w:rPr>
                    <w:drawing>
                      <wp:inline distT="0" distB="0" distL="0" distR="0" wp14:anchorId="0B12F6BB" wp14:editId="71901D53">
                        <wp:extent cx="1889760" cy="662940"/>
                        <wp:effectExtent l="0" t="0" r="0" b="0"/>
                        <wp:docPr id="245" name="Picture 245" descr="Respect, Integrity, Collaboration and Innovation, the ACTPS Values and Signature Behaiv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espect, Integrity, Collaboration and Innovation, the ACTPS Values and Signature Behaivour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760" cy="662940"/>
                                </a:xfrm>
                                <a:prstGeom prst="rect">
                                  <a:avLst/>
                                </a:prstGeom>
                                <a:noFill/>
                                <a:ln>
                                  <a:noFill/>
                                </a:ln>
                              </pic:spPr>
                            </pic:pic>
                          </a:graphicData>
                        </a:graphic>
                      </wp:inline>
                    </w:drawing>
                  </w:r>
                </w:p>
              </w:tc>
            </w:tr>
          </w:tbl>
          <w:p w:rsidR="003E4A46" w:rsidRPr="00A922E8" w:rsidRDefault="003E4A46" w:rsidP="00F81A6A">
            <w:pPr>
              <w:jc w:val="center"/>
              <w:rPr>
                <w:rFonts w:asciiTheme="minorHAnsi" w:eastAsia="Times New Roman" w:hAnsiTheme="minorHAnsi" w:cstheme="minorHAnsi"/>
                <w:sz w:val="20"/>
                <w:szCs w:val="20"/>
                <w:lang w:eastAsia="en-AU"/>
              </w:rPr>
            </w:pPr>
          </w:p>
        </w:tc>
      </w:tr>
    </w:tbl>
    <w:p w:rsidR="001C49DD" w:rsidRDefault="001C49DD"/>
    <w:sectPr w:rsidR="001C4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92"/>
    <w:multiLevelType w:val="hybridMultilevel"/>
    <w:tmpl w:val="0A20EB8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15CC6F60"/>
    <w:multiLevelType w:val="hybridMultilevel"/>
    <w:tmpl w:val="02C0C2E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 w15:restartNumberingAfterBreak="0">
    <w:nsid w:val="15F22C5C"/>
    <w:multiLevelType w:val="hybridMultilevel"/>
    <w:tmpl w:val="08E44D5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69D72954"/>
    <w:multiLevelType w:val="hybridMultilevel"/>
    <w:tmpl w:val="7146F0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707B7D61"/>
    <w:multiLevelType w:val="hybridMultilevel"/>
    <w:tmpl w:val="8000DE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4A46"/>
    <w:rsid w:val="00107E18"/>
    <w:rsid w:val="001C49DD"/>
    <w:rsid w:val="001E4B11"/>
    <w:rsid w:val="00285BCC"/>
    <w:rsid w:val="0029018D"/>
    <w:rsid w:val="002E17A8"/>
    <w:rsid w:val="002E6895"/>
    <w:rsid w:val="00352C06"/>
    <w:rsid w:val="00360CBC"/>
    <w:rsid w:val="00380DFB"/>
    <w:rsid w:val="003E4A46"/>
    <w:rsid w:val="005A09CD"/>
    <w:rsid w:val="005A44C3"/>
    <w:rsid w:val="00694CF8"/>
    <w:rsid w:val="0081367C"/>
    <w:rsid w:val="008E7E78"/>
    <w:rsid w:val="00962F32"/>
    <w:rsid w:val="00A5783B"/>
    <w:rsid w:val="00B01694"/>
    <w:rsid w:val="00B20FB1"/>
    <w:rsid w:val="00B42272"/>
    <w:rsid w:val="00B94EFA"/>
    <w:rsid w:val="00C662CB"/>
    <w:rsid w:val="00E804A7"/>
    <w:rsid w:val="00EA7360"/>
    <w:rsid w:val="00EE1546"/>
    <w:rsid w:val="00F41050"/>
    <w:rsid w:val="00FF5A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1DDAB"/>
  <w15:chartTrackingRefBased/>
  <w15:docId w15:val="{9E88D636-CF5F-460C-BE81-1810B5DDF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4A4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4A46"/>
    <w:rPr>
      <w:color w:val="0563C1"/>
      <w:u w:val="single"/>
    </w:rPr>
  </w:style>
  <w:style w:type="paragraph" w:styleId="ListParagraph">
    <w:name w:val="List Paragraph"/>
    <w:aliases w:val="List Paragraph1,Recommendation,List Paragraph11,List Paragraph111,L,F5 List Paragraph,Dot pt,CV text,Table text,Medium Grid 1 - Accent 21,Numbered Paragraph,List Paragraph2,NFP GP Bulleted List,FooterText,numbered,Paragraphe de liste1,列出段"/>
    <w:basedOn w:val="Normal"/>
    <w:link w:val="ListParagraphChar"/>
    <w:uiPriority w:val="34"/>
    <w:qFormat/>
    <w:rsid w:val="003E4A46"/>
    <w:pPr>
      <w:spacing w:after="160" w:line="252" w:lineRule="auto"/>
      <w:ind w:left="720"/>
      <w:contextualSpacing/>
    </w:pPr>
  </w:style>
  <w:style w:type="character" w:customStyle="1" w:styleId="ListParagraphChar">
    <w:name w:val="List Paragraph Char"/>
    <w:aliases w:val="List Paragraph1 Char,Recommendation Char,List Paragraph11 Char,List Paragraph111 Char,L Char,F5 List Paragraph Char,Dot pt Char,CV text Char,Table text Char,Medium Grid 1 - Accent 21 Char,Numbered Paragraph Char,List Paragraph2 Char"/>
    <w:basedOn w:val="DefaultParagraphFont"/>
    <w:link w:val="ListParagraph"/>
    <w:uiPriority w:val="34"/>
    <w:locked/>
    <w:rsid w:val="003E4A46"/>
    <w:rPr>
      <w:rFonts w:ascii="Calibri" w:hAnsi="Calibri" w:cs="Calibri"/>
    </w:rPr>
  </w:style>
  <w:style w:type="character" w:styleId="UnresolvedMention">
    <w:name w:val="Unresolved Mention"/>
    <w:basedOn w:val="DefaultParagraphFont"/>
    <w:uiPriority w:val="99"/>
    <w:semiHidden/>
    <w:unhideWhenUsed/>
    <w:rsid w:val="00352C06"/>
    <w:rPr>
      <w:color w:val="605E5C"/>
      <w:shd w:val="clear" w:color="auto" w:fill="E1DFDD"/>
    </w:rPr>
  </w:style>
  <w:style w:type="paragraph" w:styleId="BalloonText">
    <w:name w:val="Balloon Text"/>
    <w:basedOn w:val="Normal"/>
    <w:link w:val="BalloonTextChar"/>
    <w:uiPriority w:val="99"/>
    <w:semiHidden/>
    <w:unhideWhenUsed/>
    <w:rsid w:val="00EE15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5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CA@ACT.gov.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D613CB.6811E3A0" TargetMode="External"/><Relationship Id="rId11" Type="http://schemas.openxmlformats.org/officeDocument/2006/relationships/image" Target="media/image4.png"/><Relationship Id="rId5" Type="http://schemas.openxmlformats.org/officeDocument/2006/relationships/image" Target="media/image1.gif"/><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www.facebook.com/CECA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Berry, Kylie</dc:creator>
  <cp:keywords/>
  <dc:description/>
  <cp:lastModifiedBy>Luke, Janette</cp:lastModifiedBy>
  <cp:revision>1</cp:revision>
  <dcterms:created xsi:type="dcterms:W3CDTF">2020-11-17T03:53:00Z</dcterms:created>
  <dcterms:modified xsi:type="dcterms:W3CDTF">2020-11-17T03:53:00Z</dcterms:modified>
</cp:coreProperties>
</file>