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1" w:type="dxa"/>
        <w:jc w:val="center"/>
        <w:tblCellSpacing w:w="0" w:type="dxa"/>
        <w:shd w:val="clear" w:color="auto" w:fill="F2F2F2"/>
        <w:tblCellMar>
          <w:left w:w="0" w:type="dxa"/>
          <w:right w:w="0" w:type="dxa"/>
        </w:tblCellMar>
        <w:tblLook w:val="04A0" w:firstRow="1" w:lastRow="0" w:firstColumn="1" w:lastColumn="0" w:noHBand="0" w:noVBand="1"/>
      </w:tblPr>
      <w:tblGrid>
        <w:gridCol w:w="3158"/>
        <w:gridCol w:w="3266"/>
        <w:gridCol w:w="4100"/>
      </w:tblGrid>
      <w:tr w:rsidR="00EA3984" w:rsidRPr="00EA3984" w:rsidTr="00C600AD">
        <w:trPr>
          <w:tblCellSpacing w:w="0" w:type="dxa"/>
          <w:jc w:val="center"/>
        </w:trPr>
        <w:tc>
          <w:tcPr>
            <w:tcW w:w="3226" w:type="dxa"/>
            <w:shd w:val="clear" w:color="auto" w:fill="5C5C5C"/>
            <w:tcMar>
              <w:top w:w="225" w:type="dxa"/>
              <w:left w:w="465" w:type="dxa"/>
              <w:bottom w:w="225" w:type="dxa"/>
              <w:right w:w="0" w:type="dxa"/>
            </w:tcMar>
            <w:vAlign w:val="center"/>
            <w:hideMark/>
          </w:tcPr>
          <w:p w:rsidR="00EA3984" w:rsidRPr="00EA3984" w:rsidRDefault="00EA3984" w:rsidP="00EA3984">
            <w:pPr>
              <w:spacing w:after="0" w:line="240" w:lineRule="auto"/>
              <w:rPr>
                <w:rFonts w:cstheme="minorHAnsi"/>
              </w:rPr>
            </w:pPr>
          </w:p>
        </w:tc>
        <w:tc>
          <w:tcPr>
            <w:tcW w:w="3173" w:type="dxa"/>
            <w:shd w:val="clear" w:color="auto" w:fill="5C5C5C"/>
            <w:tcMar>
              <w:top w:w="225" w:type="dxa"/>
              <w:left w:w="645" w:type="dxa"/>
              <w:bottom w:w="225" w:type="dxa"/>
              <w:right w:w="0" w:type="dxa"/>
            </w:tcMar>
            <w:vAlign w:val="center"/>
            <w:hideMark/>
          </w:tcPr>
          <w:p w:rsidR="00EA3984" w:rsidRPr="00EA3984" w:rsidRDefault="00EA3984" w:rsidP="00EA3984">
            <w:pPr>
              <w:spacing w:after="0" w:line="240" w:lineRule="auto"/>
              <w:rPr>
                <w:rFonts w:eastAsia="Times New Roman" w:cstheme="minorHAnsi"/>
                <w:sz w:val="20"/>
                <w:szCs w:val="20"/>
                <w:lang w:eastAsia="en-AU"/>
              </w:rPr>
            </w:pPr>
          </w:p>
        </w:tc>
        <w:tc>
          <w:tcPr>
            <w:tcW w:w="4102" w:type="dxa"/>
            <w:shd w:val="clear" w:color="auto" w:fill="5C5C5C"/>
            <w:tcMar>
              <w:top w:w="225" w:type="dxa"/>
              <w:left w:w="0" w:type="dxa"/>
              <w:bottom w:w="225" w:type="dxa"/>
              <w:right w:w="375" w:type="dxa"/>
            </w:tcMar>
            <w:vAlign w:val="center"/>
            <w:hideMark/>
          </w:tcPr>
          <w:p w:rsidR="00EA3984" w:rsidRPr="00EA3984" w:rsidRDefault="00EA3984" w:rsidP="00EA3984">
            <w:pPr>
              <w:spacing w:before="100" w:beforeAutospacing="1" w:after="100" w:afterAutospacing="1" w:line="240" w:lineRule="auto"/>
              <w:jc w:val="right"/>
              <w:rPr>
                <w:rFonts w:cstheme="minorHAnsi"/>
                <w:color w:val="FFFFFF"/>
                <w:sz w:val="20"/>
                <w:szCs w:val="20"/>
                <w:lang w:eastAsia="en-AU"/>
              </w:rPr>
            </w:pPr>
            <w:r w:rsidRPr="00EA3984">
              <w:rPr>
                <w:rFonts w:cstheme="minorHAnsi"/>
                <w:noProof/>
                <w:color w:val="000000"/>
                <w:lang w:eastAsia="en-AU"/>
              </w:rPr>
              <w:drawing>
                <wp:inline distT="0" distB="0" distL="0" distR="0" wp14:anchorId="45CB1F19" wp14:editId="1C74EAFC">
                  <wp:extent cx="205740" cy="2057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EA3984">
              <w:rPr>
                <w:rFonts w:cstheme="minorHAnsi"/>
                <w:noProof/>
                <w:color w:val="000000"/>
                <w:lang w:eastAsia="en-AU"/>
              </w:rPr>
              <w:drawing>
                <wp:inline distT="0" distB="0" distL="0" distR="0" wp14:anchorId="4C678469" wp14:editId="3A4F9932">
                  <wp:extent cx="205740" cy="2057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EA3984">
              <w:rPr>
                <w:rFonts w:cstheme="minorHAnsi"/>
                <w:noProof/>
                <w:color w:val="000000"/>
                <w:lang w:eastAsia="en-AU"/>
              </w:rPr>
              <w:drawing>
                <wp:inline distT="0" distB="0" distL="0" distR="0" wp14:anchorId="1AB4DFF8" wp14:editId="2800E78A">
                  <wp:extent cx="205740" cy="2057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EA3984" w:rsidRPr="00EA3984" w:rsidTr="00C600AD">
        <w:trPr>
          <w:tblCellSpacing w:w="0" w:type="dxa"/>
          <w:jc w:val="center"/>
        </w:trPr>
        <w:tc>
          <w:tcPr>
            <w:tcW w:w="10501" w:type="dxa"/>
            <w:gridSpan w:val="3"/>
            <w:shd w:val="clear" w:color="auto" w:fill="342682"/>
            <w:vAlign w:val="center"/>
            <w:hideMark/>
          </w:tcPr>
          <w:p w:rsidR="00EA3984" w:rsidRPr="00EA3984" w:rsidRDefault="00EA3984" w:rsidP="00EA3984">
            <w:pPr>
              <w:spacing w:after="0" w:line="240" w:lineRule="auto"/>
              <w:rPr>
                <w:rFonts w:cstheme="minorHAnsi"/>
                <w:color w:val="333132"/>
              </w:rPr>
            </w:pPr>
            <w:r w:rsidRPr="00EA3984">
              <w:rPr>
                <w:rFonts w:cstheme="minorHAnsi"/>
                <w:noProof/>
                <w:color w:val="333132"/>
              </w:rPr>
              <w:drawing>
                <wp:inline distT="0" distB="0" distL="0" distR="0" wp14:anchorId="45BF66AF" wp14:editId="5AD32156">
                  <wp:extent cx="6682740" cy="1909460"/>
                  <wp:effectExtent l="0" t="0" r="0" b="0"/>
                  <wp:docPr id="45" name="Picture 45"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ildren's Education and Care Assurance Al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552" cy="1917121"/>
                          </a:xfrm>
                          <a:prstGeom prst="rect">
                            <a:avLst/>
                          </a:prstGeom>
                          <a:noFill/>
                          <a:ln>
                            <a:noFill/>
                          </a:ln>
                        </pic:spPr>
                      </pic:pic>
                    </a:graphicData>
                  </a:graphic>
                </wp:inline>
              </w:drawing>
            </w:r>
          </w:p>
        </w:tc>
      </w:tr>
      <w:tr w:rsidR="00EA3984" w:rsidRPr="00EA3984" w:rsidTr="00C600AD">
        <w:trPr>
          <w:tblCellSpacing w:w="0" w:type="dxa"/>
          <w:jc w:val="center"/>
        </w:trPr>
        <w:tc>
          <w:tcPr>
            <w:tcW w:w="10501" w:type="dxa"/>
            <w:gridSpan w:val="3"/>
            <w:shd w:val="clear" w:color="auto" w:fill="F2F2F2"/>
            <w:tcMar>
              <w:top w:w="300" w:type="dxa"/>
              <w:left w:w="750" w:type="dxa"/>
              <w:bottom w:w="375" w:type="dxa"/>
              <w:right w:w="630" w:type="dxa"/>
            </w:tcMar>
            <w:vAlign w:val="center"/>
          </w:tcPr>
          <w:p w:rsidR="00A83458" w:rsidRPr="00FA0A64" w:rsidRDefault="00A83458" w:rsidP="00A83458">
            <w:pPr>
              <w:spacing w:before="100" w:beforeAutospacing="1" w:after="100" w:afterAutospacing="1" w:line="400" w:lineRule="atLeast"/>
              <w:outlineLvl w:val="0"/>
              <w:rPr>
                <w:rFonts w:eastAsia="Times New Roman" w:cstheme="minorHAnsi"/>
                <w:kern w:val="36"/>
                <w:lang w:eastAsia="en-AU"/>
              </w:rPr>
            </w:pPr>
            <w:r w:rsidRPr="00FA0A64">
              <w:rPr>
                <w:rFonts w:eastAsia="Times New Roman" w:cstheme="minorHAnsi"/>
                <w:kern w:val="36"/>
                <w:lang w:eastAsia="en-AU"/>
              </w:rPr>
              <w:t xml:space="preserve">February 2020 </w:t>
            </w:r>
          </w:p>
          <w:p w:rsidR="00A83458" w:rsidRPr="00A83458" w:rsidRDefault="00A83458" w:rsidP="00A83458">
            <w:pPr>
              <w:spacing w:before="150" w:after="0" w:line="300" w:lineRule="exact"/>
              <w:jc w:val="center"/>
              <w:rPr>
                <w:rFonts w:ascii="Calibri" w:hAnsi="Calibri" w:cs="Calibri"/>
                <w:i/>
                <w:iCs/>
                <w:color w:val="222222"/>
                <w:sz w:val="20"/>
                <w:szCs w:val="20"/>
                <w:lang w:eastAsia="en-AU"/>
              </w:rPr>
            </w:pPr>
            <w:r w:rsidRPr="00A83458">
              <w:rPr>
                <w:rFonts w:ascii="Calibri" w:eastAsia="Times New Roman" w:hAnsi="Calibri" w:cs="Calibri"/>
                <w:color w:val="333132"/>
              </w:rPr>
              <w:t xml:space="preserve"> </w:t>
            </w:r>
            <w:r w:rsidRPr="00A83458">
              <w:rPr>
                <w:rFonts w:ascii="Calibri" w:hAnsi="Calibri" w:cs="Calibr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A83458" w:rsidRPr="00A83458" w:rsidRDefault="00A83458" w:rsidP="00A83458">
            <w:pPr>
              <w:spacing w:before="100" w:beforeAutospacing="1" w:after="100" w:afterAutospacing="1" w:line="240" w:lineRule="auto"/>
              <w:outlineLvl w:val="1"/>
              <w:rPr>
                <w:rFonts w:ascii="Calibri" w:eastAsia="Times New Roman" w:hAnsi="Calibri" w:cs="Calibri"/>
                <w:b/>
                <w:bCs/>
                <w:sz w:val="36"/>
                <w:szCs w:val="36"/>
                <w:lang w:eastAsia="en-AU"/>
              </w:rPr>
            </w:pPr>
            <w:r w:rsidRPr="00A83458">
              <w:rPr>
                <w:rFonts w:ascii="Calibri" w:eastAsia="Times New Roman" w:hAnsi="Calibri" w:cs="Calibri"/>
                <w:b/>
                <w:bCs/>
                <w:sz w:val="36"/>
                <w:szCs w:val="36"/>
                <w:lang w:eastAsia="en-AU"/>
              </w:rPr>
              <w:t xml:space="preserve">Children’s health and wellbeing </w:t>
            </w:r>
          </w:p>
          <w:p w:rsidR="00A83458" w:rsidRPr="00A83458" w:rsidRDefault="00A83458" w:rsidP="00A83458">
            <w:pPr>
              <w:spacing w:after="0" w:line="240" w:lineRule="auto"/>
              <w:rPr>
                <w:rFonts w:ascii="Calibri" w:hAnsi="Calibri" w:cs="Calibri"/>
              </w:rPr>
            </w:pPr>
            <w:r w:rsidRPr="00A83458">
              <w:rPr>
                <w:rFonts w:ascii="Calibri" w:hAnsi="Calibri" w:cs="Calibri"/>
              </w:rPr>
              <w:t xml:space="preserve">The National Quality Framework reinforces children’s right to experience quality education and care in an environment that provides for their safety, </w:t>
            </w:r>
            <w:proofErr w:type="gramStart"/>
            <w:r w:rsidRPr="00A83458">
              <w:rPr>
                <w:rFonts w:ascii="Calibri" w:hAnsi="Calibri" w:cs="Calibri"/>
              </w:rPr>
              <w:t>health</w:t>
            </w:r>
            <w:proofErr w:type="gramEnd"/>
            <w:r w:rsidRPr="00A83458">
              <w:rPr>
                <w:rFonts w:ascii="Calibri" w:hAnsi="Calibri" w:cs="Calibri"/>
              </w:rPr>
              <w:t xml:space="preserve"> and wellbeing. The approved provider, nominated supervisors, co-ordinators and educators all have responsibility for supporting the health, protection, </w:t>
            </w:r>
            <w:proofErr w:type="gramStart"/>
            <w:r w:rsidRPr="00A83458">
              <w:rPr>
                <w:rFonts w:ascii="Calibri" w:hAnsi="Calibri" w:cs="Calibri"/>
              </w:rPr>
              <w:t>safety</w:t>
            </w:r>
            <w:proofErr w:type="gramEnd"/>
            <w:r w:rsidRPr="00A83458">
              <w:rPr>
                <w:rFonts w:ascii="Calibri" w:hAnsi="Calibri" w:cs="Calibri"/>
              </w:rPr>
              <w:t xml:space="preserve"> and wellbeing of all children. In exercising their responsibilities, they must take reasonable care to protect children from foreseeable risk of harm, </w:t>
            </w:r>
            <w:proofErr w:type="gramStart"/>
            <w:r w:rsidRPr="00A83458">
              <w:rPr>
                <w:rFonts w:ascii="Calibri" w:hAnsi="Calibri" w:cs="Calibri"/>
              </w:rPr>
              <w:t>injury</w:t>
            </w:r>
            <w:proofErr w:type="gramEnd"/>
            <w:r w:rsidRPr="00A83458">
              <w:rPr>
                <w:rFonts w:ascii="Calibri" w:hAnsi="Calibri" w:cs="Calibri"/>
              </w:rPr>
              <w:t xml:space="preserve"> and infection. (Guide to the National Quality Standard, 2020).</w:t>
            </w:r>
          </w:p>
          <w:p w:rsidR="00A83458" w:rsidRPr="00A83458" w:rsidRDefault="00A83458" w:rsidP="00A83458">
            <w:pPr>
              <w:spacing w:after="0" w:line="240" w:lineRule="auto"/>
              <w:rPr>
                <w:rFonts w:ascii="Calibri" w:hAnsi="Calibri" w:cs="Calibri"/>
                <w:b/>
                <w:bCs/>
              </w:rPr>
            </w:pPr>
          </w:p>
          <w:p w:rsidR="00A83458" w:rsidRPr="00A83458" w:rsidRDefault="00A83458" w:rsidP="00A83458">
            <w:pPr>
              <w:spacing w:after="0" w:line="240" w:lineRule="auto"/>
              <w:rPr>
                <w:rFonts w:ascii="Calibri" w:hAnsi="Calibri" w:cs="Calibri"/>
                <w:b/>
                <w:bCs/>
                <w:sz w:val="28"/>
                <w:szCs w:val="28"/>
              </w:rPr>
            </w:pPr>
            <w:r w:rsidRPr="00A83458">
              <w:rPr>
                <w:rFonts w:ascii="Calibri" w:hAnsi="Calibri" w:cs="Calibri"/>
                <w:b/>
                <w:bCs/>
                <w:sz w:val="28"/>
                <w:szCs w:val="28"/>
              </w:rPr>
              <w:t xml:space="preserve">Health, </w:t>
            </w:r>
            <w:proofErr w:type="gramStart"/>
            <w:r w:rsidRPr="00A83458">
              <w:rPr>
                <w:rFonts w:ascii="Calibri" w:hAnsi="Calibri" w:cs="Calibri"/>
                <w:b/>
                <w:bCs/>
                <w:sz w:val="28"/>
                <w:szCs w:val="28"/>
              </w:rPr>
              <w:t>hygiene</w:t>
            </w:r>
            <w:proofErr w:type="gramEnd"/>
            <w:r w:rsidRPr="00A83458">
              <w:rPr>
                <w:rFonts w:ascii="Calibri" w:hAnsi="Calibri" w:cs="Calibri"/>
                <w:b/>
                <w:bCs/>
                <w:sz w:val="28"/>
                <w:szCs w:val="28"/>
              </w:rPr>
              <w:t xml:space="preserve"> and safe food practices </w:t>
            </w:r>
          </w:p>
          <w:p w:rsidR="00A83458" w:rsidRPr="00A83458" w:rsidRDefault="00A83458" w:rsidP="00A83458">
            <w:pPr>
              <w:spacing w:after="0" w:line="240" w:lineRule="auto"/>
              <w:rPr>
                <w:rFonts w:ascii="Calibri" w:hAnsi="Calibri" w:cs="Calibri"/>
              </w:rPr>
            </w:pPr>
            <w:r w:rsidRPr="00A83458">
              <w:rPr>
                <w:rFonts w:ascii="Calibri" w:hAnsi="Calibri" w:cs="Calibri"/>
              </w:rPr>
              <w:t xml:space="preserve">To minimise risks to children, services need to implement adequate health and hygiene practices and safe practices for handling, </w:t>
            </w:r>
            <w:proofErr w:type="gramStart"/>
            <w:r w:rsidRPr="00A83458">
              <w:rPr>
                <w:rFonts w:ascii="Calibri" w:hAnsi="Calibri" w:cs="Calibri"/>
              </w:rPr>
              <w:t>preparing</w:t>
            </w:r>
            <w:proofErr w:type="gramEnd"/>
            <w:r w:rsidRPr="00A83458">
              <w:rPr>
                <w:rFonts w:ascii="Calibri" w:hAnsi="Calibri" w:cs="Calibri"/>
              </w:rPr>
              <w:t xml:space="preserve"> and storing food. See regulations </w:t>
            </w:r>
            <w:hyperlink r:id="rId8" w:anchor="/view/regulation/2011/653/chap4/part4.2/div1/reg77" w:history="1">
              <w:r w:rsidRPr="00A83458">
                <w:rPr>
                  <w:rFonts w:ascii="Calibri" w:hAnsi="Calibri" w:cs="Calibri"/>
                  <w:color w:val="0563C1"/>
                  <w:u w:val="single"/>
                </w:rPr>
                <w:t>77</w:t>
              </w:r>
            </w:hyperlink>
            <w:r w:rsidRPr="00A83458">
              <w:rPr>
                <w:rFonts w:ascii="Calibri" w:hAnsi="Calibri" w:cs="Calibri"/>
              </w:rPr>
              <w:t xml:space="preserve"> and </w:t>
            </w:r>
            <w:hyperlink r:id="rId9" w:anchor="/view/regulation/2011/653/chap4/part4.7/div2/reg168" w:history="1">
              <w:r w:rsidRPr="00A83458">
                <w:rPr>
                  <w:rFonts w:ascii="Calibri" w:hAnsi="Calibri" w:cs="Calibri"/>
                  <w:color w:val="0563C1"/>
                  <w:u w:val="single"/>
                </w:rPr>
                <w:t>168</w:t>
              </w:r>
            </w:hyperlink>
            <w:r w:rsidRPr="00A83458">
              <w:rPr>
                <w:rFonts w:ascii="Calibri" w:hAnsi="Calibri" w:cs="Calibri"/>
              </w:rPr>
              <w:t xml:space="preserve">.  Approved providers nominated supervisors and educators should regularly reflect on how they use information from recognised authorities about current health, hygiene and safety guidelines are accessed and used to inform policies, </w:t>
            </w:r>
            <w:proofErr w:type="gramStart"/>
            <w:r w:rsidRPr="00A83458">
              <w:rPr>
                <w:rFonts w:ascii="Calibri" w:hAnsi="Calibri" w:cs="Calibri"/>
              </w:rPr>
              <w:t>procedures</w:t>
            </w:r>
            <w:proofErr w:type="gramEnd"/>
            <w:r w:rsidRPr="00A83458">
              <w:rPr>
                <w:rFonts w:ascii="Calibri" w:hAnsi="Calibri" w:cs="Calibri"/>
              </w:rPr>
              <w:t xml:space="preserve"> and practices.</w:t>
            </w:r>
          </w:p>
          <w:p w:rsidR="00A83458" w:rsidRPr="00A83458" w:rsidRDefault="00A83458" w:rsidP="00A83458">
            <w:pPr>
              <w:spacing w:after="0" w:line="240" w:lineRule="auto"/>
              <w:rPr>
                <w:rFonts w:ascii="Calibri" w:hAnsi="Calibri" w:cs="Calibri"/>
              </w:rPr>
            </w:pPr>
          </w:p>
          <w:p w:rsidR="00A83458" w:rsidRPr="00A83458" w:rsidRDefault="009D1955" w:rsidP="00A83458">
            <w:pPr>
              <w:spacing w:after="0" w:line="240" w:lineRule="auto"/>
              <w:rPr>
                <w:rFonts w:ascii="Calibri" w:hAnsi="Calibri" w:cs="Calibri"/>
              </w:rPr>
            </w:pPr>
            <w:hyperlink r:id="rId10" w:history="1">
              <w:r w:rsidR="00A83458" w:rsidRPr="00A83458">
                <w:rPr>
                  <w:rFonts w:ascii="Calibri" w:hAnsi="Calibri" w:cs="Calibri"/>
                  <w:color w:val="0563C1"/>
                  <w:u w:val="single"/>
                </w:rPr>
                <w:t>Food Standards Australia New Zealand</w:t>
              </w:r>
            </w:hyperlink>
            <w:r w:rsidR="00A83458" w:rsidRPr="00A83458">
              <w:rPr>
                <w:rFonts w:ascii="Calibri" w:hAnsi="Calibri" w:cs="Calibri"/>
              </w:rPr>
              <w:t xml:space="preserve"> (FSANZ) can provide information and guidance materials on </w:t>
            </w:r>
            <w:hyperlink r:id="rId11" w:history="1">
              <w:r w:rsidR="00A83458" w:rsidRPr="00A83458">
                <w:rPr>
                  <w:rFonts w:ascii="Calibri" w:eastAsia="Times New Roman" w:hAnsi="Calibri" w:cs="Calibri"/>
                  <w:color w:val="0563C1"/>
                  <w:u w:val="single"/>
                </w:rPr>
                <w:t>food Labelling</w:t>
              </w:r>
            </w:hyperlink>
            <w:r w:rsidR="00A83458" w:rsidRPr="00A83458">
              <w:rPr>
                <w:rFonts w:ascii="Calibri" w:hAnsi="Calibri" w:cs="Calibri"/>
              </w:rPr>
              <w:t xml:space="preserve">, </w:t>
            </w:r>
            <w:hyperlink r:id="rId12" w:history="1">
              <w:r w:rsidR="00A83458" w:rsidRPr="00A83458">
                <w:rPr>
                  <w:rFonts w:ascii="Calibri" w:eastAsia="Times New Roman" w:hAnsi="Calibri" w:cs="Calibri"/>
                  <w:color w:val="0563C1"/>
                  <w:u w:val="single"/>
                </w:rPr>
                <w:t>food storage</w:t>
              </w:r>
            </w:hyperlink>
            <w:r w:rsidR="00A83458" w:rsidRPr="00A83458">
              <w:rPr>
                <w:rFonts w:ascii="Calibri" w:hAnsi="Calibri" w:cs="Calibri"/>
              </w:rPr>
              <w:t xml:space="preserve">, </w:t>
            </w:r>
            <w:hyperlink r:id="rId13" w:history="1">
              <w:r w:rsidR="00A83458" w:rsidRPr="00A83458">
                <w:rPr>
                  <w:rFonts w:ascii="Calibri" w:eastAsia="Times New Roman" w:hAnsi="Calibri" w:cs="Calibri"/>
                  <w:color w:val="0563C1"/>
                  <w:u w:val="single"/>
                </w:rPr>
                <w:t>food recalls</w:t>
              </w:r>
            </w:hyperlink>
            <w:r w:rsidR="00A83458" w:rsidRPr="00A83458">
              <w:rPr>
                <w:rFonts w:ascii="Calibri" w:hAnsi="Calibri" w:cs="Calibri"/>
              </w:rPr>
              <w:t xml:space="preserve">, </w:t>
            </w:r>
            <w:hyperlink r:id="rId14" w:history="1">
              <w:r w:rsidR="00A83458" w:rsidRPr="00A83458">
                <w:rPr>
                  <w:rFonts w:ascii="Calibri" w:eastAsia="Times New Roman" w:hAnsi="Calibri" w:cs="Calibri"/>
                  <w:color w:val="0563C1"/>
                  <w:u w:val="single"/>
                </w:rPr>
                <w:t>food safety standards</w:t>
              </w:r>
            </w:hyperlink>
            <w:r w:rsidR="00A83458" w:rsidRPr="00A83458">
              <w:rPr>
                <w:rFonts w:ascii="Calibri" w:hAnsi="Calibri" w:cs="Calibri"/>
              </w:rPr>
              <w:t xml:space="preserve">, </w:t>
            </w:r>
            <w:hyperlink r:id="rId15" w:history="1">
              <w:r w:rsidR="00A83458" w:rsidRPr="00A83458">
                <w:rPr>
                  <w:rFonts w:ascii="Calibri" w:eastAsia="Times New Roman" w:hAnsi="Calibri" w:cs="Calibri"/>
                  <w:color w:val="0563C1"/>
                  <w:u w:val="single"/>
                </w:rPr>
                <w:t>imported foods</w:t>
              </w:r>
            </w:hyperlink>
            <w:r w:rsidR="00A83458" w:rsidRPr="00A83458">
              <w:rPr>
                <w:rFonts w:ascii="Calibri" w:hAnsi="Calibri" w:cs="Calibri"/>
              </w:rPr>
              <w:t xml:space="preserve">, </w:t>
            </w:r>
            <w:hyperlink r:id="rId16" w:history="1">
              <w:r w:rsidR="00A83458" w:rsidRPr="00A83458">
                <w:rPr>
                  <w:rFonts w:ascii="Calibri" w:hAnsi="Calibri" w:cs="Calibri"/>
                  <w:color w:val="0563C1"/>
                  <w:u w:val="single"/>
                </w:rPr>
                <w:t>nutrition</w:t>
              </w:r>
            </w:hyperlink>
            <w:r w:rsidR="00A83458" w:rsidRPr="00A83458">
              <w:rPr>
                <w:rFonts w:ascii="Calibri" w:hAnsi="Calibri" w:cs="Calibri"/>
              </w:rPr>
              <w:t xml:space="preserve"> and </w:t>
            </w:r>
            <w:hyperlink r:id="rId17" w:history="1">
              <w:r w:rsidR="00A83458" w:rsidRPr="00A83458">
                <w:rPr>
                  <w:rFonts w:ascii="Calibri" w:eastAsia="Times New Roman" w:hAnsi="Calibri" w:cs="Calibri"/>
                  <w:color w:val="0563C1"/>
                  <w:u w:val="single"/>
                </w:rPr>
                <w:t>food safety programs</w:t>
              </w:r>
            </w:hyperlink>
            <w:r w:rsidR="00A83458" w:rsidRPr="00A83458">
              <w:rPr>
                <w:rFonts w:ascii="Calibri" w:eastAsia="Times New Roman" w:hAnsi="Calibri" w:cs="Calibri"/>
              </w:rPr>
              <w:t xml:space="preserve"> to organisations.  </w:t>
            </w:r>
            <w:r w:rsidR="00A83458" w:rsidRPr="00A83458">
              <w:rPr>
                <w:rFonts w:ascii="Calibri" w:hAnsi="Calibri" w:cs="Calibri"/>
              </w:rPr>
              <w:t xml:space="preserve">Services may choose to contact </w:t>
            </w:r>
            <w:hyperlink r:id="rId18" w:history="1">
              <w:r w:rsidR="00A83458" w:rsidRPr="00A83458">
                <w:rPr>
                  <w:rFonts w:ascii="Calibri" w:hAnsi="Calibri" w:cs="Calibri"/>
                  <w:color w:val="0563C1"/>
                  <w:u w:val="single"/>
                </w:rPr>
                <w:t>ACT Health Protection Services</w:t>
              </w:r>
            </w:hyperlink>
            <w:r w:rsidR="00A83458" w:rsidRPr="00A83458">
              <w:rPr>
                <w:rFonts w:ascii="Calibri" w:hAnsi="Calibri" w:cs="Calibri"/>
              </w:rPr>
              <w:t xml:space="preserve"> who are responsible for food safety in the Australian Capital Territory (ACT). They promote food safety, regulate food </w:t>
            </w:r>
            <w:proofErr w:type="gramStart"/>
            <w:r w:rsidR="00A83458" w:rsidRPr="00A83458">
              <w:rPr>
                <w:rFonts w:ascii="Calibri" w:hAnsi="Calibri" w:cs="Calibri"/>
              </w:rPr>
              <w:t>businesses</w:t>
            </w:r>
            <w:proofErr w:type="gramEnd"/>
            <w:r w:rsidR="00A83458" w:rsidRPr="00A83458">
              <w:rPr>
                <w:rFonts w:ascii="Calibri" w:hAnsi="Calibri" w:cs="Calibri"/>
              </w:rPr>
              <w:t xml:space="preserve"> and provide advice and information to the ACT community. </w:t>
            </w:r>
          </w:p>
          <w:p w:rsidR="00A83458" w:rsidRPr="00A83458" w:rsidRDefault="00A83458" w:rsidP="00A83458">
            <w:pPr>
              <w:spacing w:after="0" w:line="240" w:lineRule="auto"/>
              <w:rPr>
                <w:rFonts w:ascii="Calibri" w:hAnsi="Calibri" w:cs="Calibri"/>
                <w:b/>
                <w:bCs/>
                <w:sz w:val="24"/>
                <w:szCs w:val="24"/>
              </w:rPr>
            </w:pPr>
          </w:p>
          <w:p w:rsidR="00A83458" w:rsidRPr="00A83458" w:rsidRDefault="00A83458" w:rsidP="00A83458">
            <w:pPr>
              <w:spacing w:after="0" w:line="240" w:lineRule="auto"/>
              <w:rPr>
                <w:rFonts w:ascii="Calibri" w:hAnsi="Calibri" w:cs="Calibri"/>
                <w:b/>
                <w:bCs/>
                <w:sz w:val="28"/>
                <w:szCs w:val="28"/>
              </w:rPr>
            </w:pPr>
            <w:r w:rsidRPr="00A83458">
              <w:rPr>
                <w:rFonts w:ascii="Calibri" w:hAnsi="Calibri" w:cs="Calibri"/>
                <w:b/>
                <w:bCs/>
                <w:sz w:val="28"/>
                <w:szCs w:val="28"/>
              </w:rPr>
              <w:t xml:space="preserve">Maintaining the physical environment </w:t>
            </w:r>
          </w:p>
          <w:p w:rsidR="00A83458" w:rsidRPr="00A83458" w:rsidRDefault="00A83458" w:rsidP="00A83458">
            <w:pPr>
              <w:spacing w:after="0" w:line="240" w:lineRule="auto"/>
              <w:rPr>
                <w:rFonts w:ascii="Calibri" w:hAnsi="Calibri" w:cs="Calibri"/>
              </w:rPr>
            </w:pPr>
            <w:r w:rsidRPr="00A83458">
              <w:rPr>
                <w:rFonts w:ascii="Calibri" w:hAnsi="Calibri" w:cs="Calibri"/>
              </w:rPr>
              <w:t xml:space="preserve">The physical environment plays a critical role in promoting children’s learning, development, </w:t>
            </w:r>
            <w:proofErr w:type="gramStart"/>
            <w:r w:rsidRPr="00A83458">
              <w:rPr>
                <w:rFonts w:ascii="Calibri" w:hAnsi="Calibri" w:cs="Calibri"/>
              </w:rPr>
              <w:t>safety</w:t>
            </w:r>
            <w:proofErr w:type="gramEnd"/>
            <w:r w:rsidRPr="00A83458">
              <w:rPr>
                <w:rFonts w:ascii="Calibri" w:hAnsi="Calibri" w:cs="Calibri"/>
              </w:rPr>
              <w:t xml:space="preserve"> and health. Section of </w:t>
            </w:r>
            <w:hyperlink r:id="rId19" w:history="1">
              <w:r w:rsidRPr="00A83458">
                <w:rPr>
                  <w:rFonts w:ascii="Calibri" w:hAnsi="Calibri" w:cs="Calibri"/>
                  <w:color w:val="0563C1"/>
                  <w:u w:val="single"/>
                </w:rPr>
                <w:t>167</w:t>
              </w:r>
            </w:hyperlink>
            <w:r w:rsidRPr="00A83458">
              <w:rPr>
                <w:rFonts w:ascii="Calibri" w:hAnsi="Calibri" w:cs="Calibri"/>
              </w:rPr>
              <w:t xml:space="preserve"> of the National Law identifies that approved providers, nominated supervisors and  family day care educators must ensure that every reasonable precaution is taken to protect children from harm and from any hazard likely to cause injury. </w:t>
            </w:r>
          </w:p>
          <w:p w:rsidR="00A83458" w:rsidRPr="00A83458" w:rsidRDefault="00A83458" w:rsidP="00A83458">
            <w:pPr>
              <w:spacing w:after="0" w:line="240" w:lineRule="auto"/>
              <w:rPr>
                <w:rFonts w:ascii="Calibri" w:hAnsi="Calibri" w:cs="Calibri"/>
              </w:rPr>
            </w:pPr>
          </w:p>
          <w:p w:rsidR="00A83458" w:rsidRPr="00A83458" w:rsidRDefault="00A83458" w:rsidP="00A83458">
            <w:pPr>
              <w:spacing w:after="0" w:line="240" w:lineRule="auto"/>
              <w:rPr>
                <w:rFonts w:ascii="Calibri" w:hAnsi="Calibri" w:cs="Calibri"/>
              </w:rPr>
            </w:pPr>
            <w:r w:rsidRPr="00A83458">
              <w:rPr>
                <w:rFonts w:ascii="Calibri" w:hAnsi="Calibri" w:cs="Calibri"/>
              </w:rPr>
              <w:t>Reasonable precautions might include:</w:t>
            </w:r>
          </w:p>
          <w:p w:rsidR="00A83458" w:rsidRPr="00A83458" w:rsidRDefault="00A83458" w:rsidP="00A83458">
            <w:pPr>
              <w:spacing w:after="0" w:line="240" w:lineRule="auto"/>
              <w:rPr>
                <w:rFonts w:ascii="Calibri" w:hAnsi="Calibri" w:cs="Calibri"/>
              </w:rPr>
            </w:pPr>
          </w:p>
          <w:p w:rsidR="00A83458" w:rsidRPr="00A83458" w:rsidRDefault="00A83458" w:rsidP="00A83458">
            <w:pPr>
              <w:numPr>
                <w:ilvl w:val="0"/>
                <w:numId w:val="2"/>
              </w:numPr>
              <w:spacing w:after="0" w:line="240" w:lineRule="auto"/>
              <w:rPr>
                <w:rFonts w:ascii="Calibri" w:hAnsi="Calibri" w:cs="Calibri"/>
              </w:rPr>
            </w:pPr>
            <w:r w:rsidRPr="00A83458">
              <w:rPr>
                <w:rFonts w:ascii="Calibri" w:hAnsi="Calibri" w:cs="Calibri"/>
              </w:rPr>
              <w:t xml:space="preserve">regular safety checks of the environment and equipment </w:t>
            </w:r>
          </w:p>
          <w:p w:rsidR="00A83458" w:rsidRPr="00A83458" w:rsidRDefault="00A83458" w:rsidP="00A83458">
            <w:pPr>
              <w:numPr>
                <w:ilvl w:val="0"/>
                <w:numId w:val="2"/>
              </w:numPr>
              <w:spacing w:after="0" w:line="240" w:lineRule="auto"/>
              <w:rPr>
                <w:rFonts w:ascii="Calibri" w:hAnsi="Calibri" w:cs="Calibri"/>
              </w:rPr>
            </w:pPr>
            <w:r w:rsidRPr="00A83458">
              <w:rPr>
                <w:rFonts w:ascii="Calibri" w:hAnsi="Calibri" w:cs="Calibri"/>
              </w:rPr>
              <w:t xml:space="preserve">secure storage of hazardous products including chemicals </w:t>
            </w:r>
          </w:p>
          <w:p w:rsidR="00A83458" w:rsidRPr="00A83458" w:rsidRDefault="00A83458" w:rsidP="00A83458">
            <w:pPr>
              <w:numPr>
                <w:ilvl w:val="0"/>
                <w:numId w:val="2"/>
              </w:numPr>
              <w:spacing w:after="0" w:line="240" w:lineRule="auto"/>
              <w:rPr>
                <w:rFonts w:ascii="Calibri" w:hAnsi="Calibri" w:cs="Calibri"/>
              </w:rPr>
            </w:pPr>
            <w:r w:rsidRPr="00A83458">
              <w:rPr>
                <w:rFonts w:ascii="Calibri" w:hAnsi="Calibri" w:cs="Calibri"/>
              </w:rPr>
              <w:t>maintenance and cleaning schedules</w:t>
            </w:r>
          </w:p>
          <w:p w:rsidR="00A83458" w:rsidRPr="00A83458" w:rsidRDefault="00A83458" w:rsidP="00A83458">
            <w:pPr>
              <w:numPr>
                <w:ilvl w:val="0"/>
                <w:numId w:val="2"/>
              </w:numPr>
              <w:spacing w:after="0" w:line="240" w:lineRule="auto"/>
              <w:rPr>
                <w:rFonts w:ascii="Calibri" w:hAnsi="Calibri" w:cs="Calibri"/>
              </w:rPr>
            </w:pPr>
            <w:r w:rsidRPr="00A83458">
              <w:rPr>
                <w:rFonts w:ascii="Calibri" w:hAnsi="Calibri" w:cs="Calibri"/>
              </w:rPr>
              <w:t xml:space="preserve">risk assessments, including for excursions and </w:t>
            </w:r>
          </w:p>
          <w:p w:rsidR="00A83458" w:rsidRPr="00A83458" w:rsidRDefault="00A83458" w:rsidP="00A83458">
            <w:pPr>
              <w:numPr>
                <w:ilvl w:val="0"/>
                <w:numId w:val="2"/>
              </w:numPr>
              <w:spacing w:after="0" w:line="240" w:lineRule="auto"/>
              <w:rPr>
                <w:rFonts w:ascii="Calibri" w:hAnsi="Calibri" w:cs="Calibri"/>
              </w:rPr>
            </w:pPr>
            <w:r w:rsidRPr="00A83458">
              <w:rPr>
                <w:rFonts w:ascii="Calibri" w:hAnsi="Calibri" w:cs="Calibri"/>
              </w:rPr>
              <w:t xml:space="preserve">purchasing products that meet Australian Standards— for example, cots, playground equipment and furniture. </w:t>
            </w:r>
          </w:p>
          <w:p w:rsidR="00A83458" w:rsidRPr="00A83458" w:rsidRDefault="00A83458" w:rsidP="00A83458">
            <w:pPr>
              <w:spacing w:after="0" w:line="240" w:lineRule="auto"/>
              <w:rPr>
                <w:rFonts w:ascii="Calibri" w:hAnsi="Calibri" w:cs="Calibri"/>
              </w:rPr>
            </w:pPr>
          </w:p>
          <w:p w:rsidR="00A83458" w:rsidRPr="00A83458" w:rsidRDefault="00A83458" w:rsidP="00A83458">
            <w:pPr>
              <w:spacing w:after="0" w:line="240" w:lineRule="auto"/>
              <w:jc w:val="center"/>
              <w:rPr>
                <w:rFonts w:ascii="Calibri" w:hAnsi="Calibri" w:cs="Calibri"/>
              </w:rPr>
            </w:pPr>
            <w:r w:rsidRPr="00A83458">
              <w:rPr>
                <w:rFonts w:ascii="Calibri" w:hAnsi="Calibri" w:cs="Calibri"/>
                <w:noProof/>
              </w:rPr>
              <w:drawing>
                <wp:inline distT="0" distB="0" distL="0" distR="0" wp14:anchorId="02F5A6D6" wp14:editId="250E171E">
                  <wp:extent cx="3757274" cy="25038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0736" cy="2512849"/>
                          </a:xfrm>
                          <a:prstGeom prst="rect">
                            <a:avLst/>
                          </a:prstGeom>
                          <a:noFill/>
                          <a:ln>
                            <a:noFill/>
                          </a:ln>
                        </pic:spPr>
                      </pic:pic>
                    </a:graphicData>
                  </a:graphic>
                </wp:inline>
              </w:drawing>
            </w:r>
          </w:p>
          <w:p w:rsidR="00A83458" w:rsidRPr="00A83458" w:rsidRDefault="00A83458" w:rsidP="00A83458">
            <w:pPr>
              <w:spacing w:after="0" w:line="240" w:lineRule="auto"/>
              <w:rPr>
                <w:rFonts w:ascii="Calibri" w:hAnsi="Calibri" w:cs="Calibri"/>
              </w:rPr>
            </w:pPr>
          </w:p>
          <w:p w:rsidR="00A83458" w:rsidRPr="00A83458" w:rsidRDefault="00A83458" w:rsidP="00A83458">
            <w:pPr>
              <w:spacing w:after="0" w:line="240" w:lineRule="auto"/>
              <w:rPr>
                <w:rFonts w:ascii="Calibri" w:hAnsi="Calibri" w:cs="Calibri"/>
              </w:rPr>
            </w:pPr>
            <w:r w:rsidRPr="00A83458">
              <w:rPr>
                <w:rFonts w:ascii="Calibri" w:hAnsi="Calibri" w:cs="Calibri"/>
              </w:rPr>
              <w:t xml:space="preserve">This list is not exhaustive, and services should conduct regular risk assessments to identify potential hazards relevant to their own service, and strategies to protect children from harm. The </w:t>
            </w:r>
            <w:hyperlink r:id="rId21" w:anchor="/quality-area/discussion/risk-and-hazard/explore" w:history="1">
              <w:r w:rsidRPr="00A83458">
                <w:rPr>
                  <w:rFonts w:ascii="Calibri" w:hAnsi="Calibri" w:cs="Calibri"/>
                  <w:color w:val="0563C1"/>
                  <w:u w:val="single"/>
                </w:rPr>
                <w:t>Early Childhood Resource Hub</w:t>
              </w:r>
            </w:hyperlink>
            <w:r w:rsidRPr="00A83458">
              <w:rPr>
                <w:rFonts w:ascii="Calibri" w:hAnsi="Calibri" w:cs="Calibri"/>
              </w:rPr>
              <w:t xml:space="preserve"> and </w:t>
            </w:r>
            <w:hyperlink r:id="rId22" w:history="1">
              <w:r w:rsidRPr="00A83458">
                <w:rPr>
                  <w:rFonts w:ascii="Calibri" w:hAnsi="Calibri" w:cs="Calibri"/>
                  <w:color w:val="0563C1"/>
                  <w:u w:val="single"/>
                </w:rPr>
                <w:t>Kids Safe</w:t>
              </w:r>
            </w:hyperlink>
            <w:r w:rsidRPr="00A83458">
              <w:rPr>
                <w:rFonts w:ascii="Calibri" w:hAnsi="Calibri" w:cs="Calibri"/>
              </w:rPr>
              <w:t xml:space="preserve"> have extensive resources and information to assist services in promoting children’s safety, health and wellbeing.  </w:t>
            </w:r>
          </w:p>
          <w:p w:rsidR="00A83458" w:rsidRPr="00A83458" w:rsidRDefault="00A83458" w:rsidP="00A83458">
            <w:pPr>
              <w:spacing w:after="0" w:line="240" w:lineRule="auto"/>
              <w:rPr>
                <w:rFonts w:ascii="Calibri" w:hAnsi="Calibri" w:cs="Calibri"/>
              </w:rPr>
            </w:pPr>
          </w:p>
          <w:p w:rsidR="00A83458" w:rsidRPr="00A83458" w:rsidRDefault="00A83458" w:rsidP="00A83458">
            <w:pPr>
              <w:spacing w:after="150" w:line="240" w:lineRule="auto"/>
              <w:rPr>
                <w:rFonts w:eastAsia="Times New Roman" w:cstheme="minorHAnsi"/>
                <w:lang w:eastAsia="en-AU"/>
              </w:rPr>
            </w:pPr>
            <w:r w:rsidRPr="00A83458">
              <w:rPr>
                <w:rFonts w:cstheme="minorHAnsi"/>
                <w:lang w:eastAsia="en-AU"/>
              </w:rPr>
              <w:t xml:space="preserve">The National Law does not require services to eliminate all risk and challenge from children’s play or environments. Children benefit from </w:t>
            </w:r>
            <w:r w:rsidRPr="00A83458">
              <w:rPr>
                <w:rFonts w:eastAsia="Times New Roman" w:cstheme="minorHAnsi"/>
                <w:lang w:eastAsia="en-AU"/>
              </w:rPr>
              <w:t xml:space="preserve">opportunities to extend themselves in a safe environment. Educators need to consider children's health and safety as well as giving them genuine opportunities to explore, experiment, predict consequences and take managed risks. </w:t>
            </w:r>
          </w:p>
          <w:p w:rsidR="00A83458" w:rsidRPr="00A83458" w:rsidRDefault="00A83458" w:rsidP="00A83458">
            <w:pPr>
              <w:spacing w:after="0" w:line="240" w:lineRule="auto"/>
              <w:rPr>
                <w:rFonts w:ascii="Calibri" w:hAnsi="Calibri" w:cs="Calibri"/>
                <w:b/>
                <w:bCs/>
                <w:sz w:val="28"/>
                <w:szCs w:val="28"/>
              </w:rPr>
            </w:pPr>
            <w:r w:rsidRPr="00A83458">
              <w:rPr>
                <w:rFonts w:ascii="Calibri" w:hAnsi="Calibri" w:cs="Calibri"/>
                <w:b/>
                <w:bCs/>
                <w:sz w:val="28"/>
                <w:szCs w:val="28"/>
              </w:rPr>
              <w:t xml:space="preserve">Safe sleep and rest </w:t>
            </w:r>
          </w:p>
          <w:p w:rsidR="00A83458" w:rsidRPr="00A83458" w:rsidRDefault="00A83458" w:rsidP="00A83458">
            <w:pPr>
              <w:spacing w:after="0" w:line="240" w:lineRule="auto"/>
              <w:rPr>
                <w:rFonts w:ascii="Calibri" w:hAnsi="Calibri" w:cs="Calibri"/>
              </w:rPr>
            </w:pPr>
            <w:r w:rsidRPr="00A83458">
              <w:rPr>
                <w:rFonts w:ascii="Calibri" w:hAnsi="Calibri" w:cs="Calibri"/>
              </w:rPr>
              <w:t xml:space="preserve">Approved providers nominated supervisors and family day care educators must take reasonable steps to ensure children’s needs for sleep and rest are met. </w:t>
            </w:r>
            <w:r w:rsidRPr="00A83458">
              <w:rPr>
                <w:rFonts w:cstheme="minorHAnsi"/>
              </w:rPr>
              <w:t xml:space="preserve">See regulations </w:t>
            </w:r>
            <w:hyperlink r:id="rId23" w:anchor="/view/regulation/2011/653/chap4/part4.2/div1/reg81" w:history="1">
              <w:r w:rsidRPr="00A83458">
                <w:rPr>
                  <w:rFonts w:cstheme="minorHAnsi"/>
                  <w:color w:val="0563C1"/>
                  <w:u w:val="single"/>
                </w:rPr>
                <w:t>81</w:t>
              </w:r>
            </w:hyperlink>
            <w:r w:rsidRPr="00A83458">
              <w:rPr>
                <w:rFonts w:cstheme="minorHAnsi"/>
                <w:b/>
                <w:bCs/>
              </w:rPr>
              <w:t xml:space="preserve"> </w:t>
            </w:r>
            <w:r w:rsidRPr="00A83458">
              <w:rPr>
                <w:rFonts w:cstheme="minorHAnsi"/>
              </w:rPr>
              <w:t xml:space="preserve">and </w:t>
            </w:r>
            <w:hyperlink r:id="rId24" w:anchor="/view/regulation/2011/653/chap4/part4.7/div2/reg168" w:history="1">
              <w:r w:rsidRPr="00A83458">
                <w:rPr>
                  <w:rFonts w:cstheme="minorHAnsi"/>
                  <w:color w:val="0563C1"/>
                  <w:u w:val="single"/>
                </w:rPr>
                <w:t>168</w:t>
              </w:r>
            </w:hyperlink>
            <w:r w:rsidRPr="00A83458">
              <w:rPr>
                <w:rFonts w:cstheme="minorHAnsi"/>
              </w:rPr>
              <w:t xml:space="preserve">. </w:t>
            </w:r>
            <w:r w:rsidRPr="00A83458">
              <w:rPr>
                <w:rFonts w:ascii="Calibri" w:hAnsi="Calibri" w:cs="Calibri"/>
              </w:rPr>
              <w:t xml:space="preserve">Services must have policies and procedures in place in relation to sleep and rest practices for children and infants, based on current recommended evidence-based guidelines. </w:t>
            </w:r>
            <w:hyperlink r:id="rId25" w:history="1">
              <w:r w:rsidRPr="00A83458">
                <w:rPr>
                  <w:rFonts w:ascii="Calibri" w:hAnsi="Calibri" w:cs="Calibri"/>
                  <w:color w:val="0563C1"/>
                  <w:u w:val="single"/>
                </w:rPr>
                <w:t>Rednose</w:t>
              </w:r>
            </w:hyperlink>
            <w:r w:rsidRPr="00A83458">
              <w:rPr>
                <w:rFonts w:ascii="Calibri" w:hAnsi="Calibri" w:cs="Calibri"/>
              </w:rPr>
              <w:t xml:space="preserve"> provides free safe sleeping resources, low cost training and assessment packages for education and care services, </w:t>
            </w:r>
            <w:r w:rsidRPr="00A83458">
              <w:rPr>
                <w:rFonts w:ascii="Calibri" w:hAnsi="Calibri" w:cs="Calibri"/>
                <w:color w:val="000000"/>
                <w:shd w:val="clear" w:color="auto" w:fill="F5F5F5"/>
              </w:rPr>
              <w:t xml:space="preserve">who care for babies, helping them to help meet the national safe sleep standards and demonstrate a best practice to sleep safety. To download free education materials, click this link </w:t>
            </w:r>
            <w:hyperlink r:id="rId26" w:history="1">
              <w:r w:rsidRPr="00A83458">
                <w:rPr>
                  <w:rFonts w:cstheme="minorHAnsi"/>
                  <w:color w:val="0563C1"/>
                  <w:u w:val="single"/>
                  <w:lang w:eastAsia="en-AU"/>
                </w:rPr>
                <w:t>http://bit.ly/rednoseresources</w:t>
              </w:r>
            </w:hyperlink>
            <w:r w:rsidRPr="00A83458">
              <w:rPr>
                <w:rFonts w:cstheme="minorHAnsi"/>
                <w:color w:val="000000"/>
                <w:lang w:eastAsia="en-AU"/>
              </w:rPr>
              <w:t xml:space="preserve"> </w:t>
            </w:r>
          </w:p>
          <w:p w:rsidR="00A83458" w:rsidRPr="00A83458" w:rsidRDefault="00A83458" w:rsidP="00A83458">
            <w:pPr>
              <w:spacing w:after="0" w:line="240" w:lineRule="auto"/>
              <w:rPr>
                <w:rFonts w:ascii="Calibri" w:hAnsi="Calibri" w:cs="Calibri"/>
                <w:b/>
                <w:bCs/>
                <w:color w:val="000000"/>
                <w:sz w:val="24"/>
                <w:szCs w:val="24"/>
                <w:lang w:eastAsia="en-AU"/>
              </w:rPr>
            </w:pPr>
          </w:p>
          <w:p w:rsidR="00A83458" w:rsidRPr="00A83458" w:rsidRDefault="00A83458" w:rsidP="00A83458">
            <w:pPr>
              <w:spacing w:after="0" w:line="240" w:lineRule="auto"/>
              <w:rPr>
                <w:rFonts w:ascii="Calibri" w:hAnsi="Calibri" w:cs="Calibri"/>
                <w:b/>
                <w:bCs/>
                <w:color w:val="000000"/>
                <w:sz w:val="28"/>
                <w:szCs w:val="28"/>
                <w:lang w:eastAsia="en-AU"/>
              </w:rPr>
            </w:pPr>
            <w:r w:rsidRPr="00A83458">
              <w:rPr>
                <w:rFonts w:ascii="Calibri" w:hAnsi="Calibri" w:cs="Calibri"/>
                <w:b/>
                <w:bCs/>
                <w:color w:val="000000"/>
                <w:sz w:val="28"/>
                <w:szCs w:val="28"/>
                <w:lang w:eastAsia="en-AU"/>
              </w:rPr>
              <w:t xml:space="preserve">Child protection obligations in the ACT </w:t>
            </w:r>
          </w:p>
          <w:p w:rsidR="00A83458" w:rsidRPr="00A83458" w:rsidRDefault="00A83458" w:rsidP="00A83458">
            <w:pPr>
              <w:spacing w:after="0" w:line="240" w:lineRule="auto"/>
              <w:rPr>
                <w:rFonts w:ascii="Calibri" w:hAnsi="Calibri" w:cs="Calibri"/>
                <w:color w:val="000000"/>
                <w:lang w:eastAsia="en-AU"/>
              </w:rPr>
            </w:pPr>
            <w:r w:rsidRPr="00A83458">
              <w:rPr>
                <w:rFonts w:eastAsia="Times New Roman" w:cstheme="minorHAnsi"/>
                <w:color w:val="000000"/>
                <w:lang w:eastAsia="en-AU"/>
              </w:rPr>
              <w:t xml:space="preserve">The approved provider of an education and care service must ensure that nominated supervisors and all staff members understand their responsibilities under the relevant child protection law the existence and application of the current child protection law and any obligations that they may have under that law. </w:t>
            </w:r>
            <w:r w:rsidRPr="00A83458">
              <w:rPr>
                <w:rFonts w:ascii="Calibri" w:hAnsi="Calibri" w:cs="Calibri"/>
                <w:color w:val="000000"/>
                <w:lang w:eastAsia="en-AU"/>
              </w:rPr>
              <w:t xml:space="preserve">See regulation </w:t>
            </w:r>
            <w:hyperlink r:id="rId27" w:anchor="/view/regulation/2011/653/chap4/part4.2/div1/reg84" w:history="1">
              <w:r w:rsidRPr="00A83458">
                <w:rPr>
                  <w:rFonts w:ascii="Calibri" w:hAnsi="Calibri" w:cs="Calibri"/>
                  <w:color w:val="0563C1"/>
                  <w:u w:val="single"/>
                  <w:lang w:eastAsia="en-AU"/>
                </w:rPr>
                <w:t>84</w:t>
              </w:r>
            </w:hyperlink>
            <w:r w:rsidRPr="00A83458">
              <w:rPr>
                <w:rFonts w:ascii="Calibri" w:hAnsi="Calibri" w:cs="Calibri"/>
                <w:color w:val="000000"/>
                <w:lang w:eastAsia="en-AU"/>
              </w:rPr>
              <w:t xml:space="preserve">. Service policies and procedures must also reflect current are in place in relation to providing a child safe environment.  </w:t>
            </w:r>
          </w:p>
          <w:p w:rsidR="00A83458" w:rsidRPr="00A83458" w:rsidRDefault="00A83458" w:rsidP="00A83458">
            <w:pPr>
              <w:spacing w:after="0" w:line="240" w:lineRule="auto"/>
              <w:rPr>
                <w:rFonts w:ascii="Calibri" w:hAnsi="Calibri" w:cs="Calibri"/>
                <w:color w:val="000000"/>
                <w:lang w:eastAsia="en-AU"/>
              </w:rPr>
            </w:pPr>
          </w:p>
          <w:p w:rsidR="00A83458" w:rsidRPr="00A83458" w:rsidRDefault="00A83458" w:rsidP="00A83458">
            <w:pPr>
              <w:spacing w:after="0" w:line="240" w:lineRule="auto"/>
              <w:rPr>
                <w:rFonts w:ascii="Calibri" w:hAnsi="Calibri" w:cs="Calibri"/>
                <w:b/>
                <w:bCs/>
                <w:color w:val="000000"/>
                <w:lang w:eastAsia="en-AU"/>
              </w:rPr>
            </w:pPr>
            <w:r w:rsidRPr="00A83458">
              <w:rPr>
                <w:rFonts w:ascii="Calibri" w:hAnsi="Calibri" w:cs="Calibri"/>
                <w:b/>
                <w:bCs/>
                <w:color w:val="000000"/>
                <w:lang w:eastAsia="en-AU"/>
              </w:rPr>
              <w:t>Children and Young People Act 2008</w:t>
            </w:r>
          </w:p>
          <w:p w:rsidR="00A83458" w:rsidRPr="00A83458" w:rsidRDefault="00A83458" w:rsidP="00A83458">
            <w:pPr>
              <w:spacing w:after="0" w:line="240" w:lineRule="auto"/>
              <w:rPr>
                <w:rFonts w:ascii="Calibri" w:hAnsi="Calibri" w:cs="Calibri"/>
                <w:color w:val="000000"/>
                <w:lang w:eastAsia="en-AU"/>
              </w:rPr>
            </w:pPr>
            <w:r w:rsidRPr="00A83458">
              <w:rPr>
                <w:rFonts w:ascii="Calibri" w:hAnsi="Calibri" w:cs="Calibri"/>
                <w:color w:val="000000"/>
                <w:lang w:eastAsia="en-AU"/>
              </w:rPr>
              <w:t xml:space="preserve">In line with </w:t>
            </w:r>
            <w:hyperlink r:id="rId28" w:history="1">
              <w:r w:rsidRPr="00A83458">
                <w:rPr>
                  <w:rFonts w:ascii="Calibri" w:hAnsi="Calibri" w:cs="Calibri"/>
                  <w:color w:val="0563C1"/>
                  <w:u w:val="single"/>
                </w:rPr>
                <w:t>Children and Young People Act 2008</w:t>
              </w:r>
            </w:hyperlink>
            <w:r w:rsidRPr="00A83458">
              <w:rPr>
                <w:rFonts w:ascii="Calibri" w:hAnsi="Calibri" w:cs="Calibri"/>
                <w:color w:val="000000"/>
                <w:lang w:eastAsia="en-AU"/>
              </w:rPr>
              <w:t xml:space="preserve"> individuals working in education and care services have a legal obligations to report any suspected child abuse or neglect. The</w:t>
            </w:r>
            <w:r w:rsidRPr="00A83458">
              <w:rPr>
                <w:rFonts w:ascii="Calibri" w:hAnsi="Calibri" w:cs="Calibri"/>
                <w:b/>
                <w:bCs/>
                <w:color w:val="000000"/>
                <w:lang w:eastAsia="en-AU"/>
              </w:rPr>
              <w:t xml:space="preserve"> </w:t>
            </w:r>
            <w:hyperlink r:id="rId29" w:history="1">
              <w:r w:rsidRPr="00A83458">
                <w:rPr>
                  <w:rFonts w:ascii="Calibri" w:hAnsi="Calibri" w:cs="Calibri"/>
                  <w:color w:val="0563C1"/>
                  <w:u w:val="single"/>
                </w:rPr>
                <w:t>Keeping Children and Young People Safe</w:t>
              </w:r>
            </w:hyperlink>
            <w:r w:rsidRPr="00A83458">
              <w:rPr>
                <w:rFonts w:ascii="Calibri" w:hAnsi="Calibri" w:cs="Calibri"/>
                <w:b/>
                <w:bCs/>
                <w:color w:val="000000"/>
                <w:lang w:eastAsia="en-AU"/>
              </w:rPr>
              <w:t xml:space="preserve"> </w:t>
            </w:r>
            <w:r w:rsidRPr="00A83458">
              <w:rPr>
                <w:rFonts w:ascii="Calibri" w:hAnsi="Calibri" w:cs="Calibri"/>
                <w:color w:val="000000"/>
                <w:lang w:eastAsia="en-AU"/>
              </w:rPr>
              <w:t xml:space="preserve">document is a guide on reporting concerns of child abuse or neglect that occurs within a family to child and reporting avenues to Youth Protection Services (CYPS). All staff working in education and care are encouraged to complete the Community Services Directorate’s free Keeping Children and Young People Safe </w:t>
            </w:r>
            <w:hyperlink r:id="rId30" w:history="1">
              <w:r w:rsidRPr="00A83458">
                <w:rPr>
                  <w:rFonts w:ascii="Calibri" w:hAnsi="Calibri" w:cs="Calibri"/>
                  <w:color w:val="0563C1"/>
                  <w:u w:val="single"/>
                </w:rPr>
                <w:t>Online Training</w:t>
              </w:r>
            </w:hyperlink>
            <w:r w:rsidRPr="00A83458">
              <w:rPr>
                <w:rFonts w:ascii="Calibri" w:hAnsi="Calibri" w:cs="Calibri"/>
                <w:color w:val="000000"/>
                <w:lang w:eastAsia="en-AU"/>
              </w:rPr>
              <w:t>.</w:t>
            </w:r>
          </w:p>
          <w:p w:rsidR="00A83458" w:rsidRPr="00A83458" w:rsidRDefault="00A83458" w:rsidP="00A83458">
            <w:pPr>
              <w:spacing w:after="0" w:line="240" w:lineRule="auto"/>
              <w:rPr>
                <w:rFonts w:ascii="Calibri" w:hAnsi="Calibri" w:cs="Calibri"/>
                <w:color w:val="000000"/>
                <w:lang w:eastAsia="en-AU"/>
              </w:rPr>
            </w:pPr>
          </w:p>
          <w:p w:rsidR="00A83458" w:rsidRPr="00A83458" w:rsidRDefault="00A83458" w:rsidP="00A83458">
            <w:pPr>
              <w:spacing w:after="0" w:line="240" w:lineRule="auto"/>
              <w:jc w:val="center"/>
              <w:rPr>
                <w:rFonts w:ascii="Calibri" w:hAnsi="Calibri" w:cs="Calibri"/>
                <w:b/>
                <w:bCs/>
                <w:color w:val="000000"/>
                <w:lang w:eastAsia="en-AU"/>
              </w:rPr>
            </w:pPr>
            <w:r w:rsidRPr="00A83458">
              <w:rPr>
                <w:rFonts w:ascii="Calibri" w:hAnsi="Calibri" w:cs="Calibri"/>
                <w:noProof/>
              </w:rPr>
              <w:drawing>
                <wp:inline distT="0" distB="0" distL="0" distR="0" wp14:anchorId="2899964B" wp14:editId="27279529">
                  <wp:extent cx="4196152" cy="3099927"/>
                  <wp:effectExtent l="0" t="0" r="0" b="5715"/>
                  <wp:docPr id="8" name="Picture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31"/>
                          </pic:cNvPr>
                          <pic:cNvPicPr/>
                        </pic:nvPicPr>
                        <pic:blipFill>
                          <a:blip r:embed="rId32"/>
                          <a:stretch>
                            <a:fillRect/>
                          </a:stretch>
                        </pic:blipFill>
                        <pic:spPr>
                          <a:xfrm>
                            <a:off x="0" y="0"/>
                            <a:ext cx="4212873" cy="3112280"/>
                          </a:xfrm>
                          <a:prstGeom prst="rect">
                            <a:avLst/>
                          </a:prstGeom>
                        </pic:spPr>
                      </pic:pic>
                    </a:graphicData>
                  </a:graphic>
                </wp:inline>
              </w:drawing>
            </w:r>
          </w:p>
          <w:p w:rsidR="00A83458" w:rsidRPr="00A83458" w:rsidRDefault="00A83458" w:rsidP="00A83458">
            <w:pPr>
              <w:spacing w:after="0" w:line="240" w:lineRule="auto"/>
              <w:rPr>
                <w:rFonts w:ascii="Calibri" w:hAnsi="Calibri" w:cs="Calibri"/>
                <w:b/>
                <w:bCs/>
                <w:color w:val="000000"/>
                <w:lang w:eastAsia="en-AU"/>
              </w:rPr>
            </w:pPr>
          </w:p>
          <w:p w:rsidR="00A83458" w:rsidRPr="00A83458" w:rsidRDefault="00A83458" w:rsidP="00A83458">
            <w:pPr>
              <w:spacing w:after="0" w:line="240" w:lineRule="auto"/>
              <w:rPr>
                <w:rFonts w:ascii="Calibri" w:hAnsi="Calibri" w:cs="Calibri"/>
                <w:b/>
                <w:bCs/>
                <w:color w:val="000000"/>
                <w:lang w:eastAsia="en-AU"/>
              </w:rPr>
            </w:pPr>
            <w:r w:rsidRPr="00A83458">
              <w:rPr>
                <w:rFonts w:ascii="Calibri" w:hAnsi="Calibri" w:cs="Calibri"/>
                <w:b/>
                <w:bCs/>
                <w:color w:val="000000"/>
                <w:lang w:eastAsia="en-AU"/>
              </w:rPr>
              <w:t>Reportable Conduct Scheme 2017</w:t>
            </w:r>
          </w:p>
          <w:p w:rsidR="00A83458" w:rsidRPr="00A83458" w:rsidRDefault="00A83458" w:rsidP="00A83458">
            <w:pPr>
              <w:spacing w:after="0" w:line="240" w:lineRule="auto"/>
              <w:rPr>
                <w:rFonts w:ascii="Calibri" w:hAnsi="Calibri" w:cs="Calibri"/>
                <w:color w:val="000000"/>
                <w:lang w:eastAsia="en-AU"/>
              </w:rPr>
            </w:pPr>
            <w:r w:rsidRPr="00A83458">
              <w:rPr>
                <w:rFonts w:ascii="Calibri" w:hAnsi="Calibri" w:cs="Calibri"/>
                <w:color w:val="000000"/>
                <w:lang w:eastAsia="en-AU"/>
              </w:rPr>
              <w:t xml:space="preserve">The </w:t>
            </w:r>
            <w:hyperlink r:id="rId33" w:history="1">
              <w:r w:rsidRPr="00A83458">
                <w:rPr>
                  <w:rFonts w:ascii="Calibri" w:hAnsi="Calibri" w:cs="Calibri"/>
                  <w:color w:val="0563C1"/>
                  <w:u w:val="single"/>
                </w:rPr>
                <w:t>Reportable Conduct Scheme</w:t>
              </w:r>
            </w:hyperlink>
            <w:r w:rsidRPr="00A83458">
              <w:rPr>
                <w:rFonts w:ascii="Calibri" w:hAnsi="Calibri" w:cs="Calibri"/>
                <w:b/>
                <w:bCs/>
                <w:color w:val="000000"/>
                <w:lang w:eastAsia="en-AU"/>
              </w:rPr>
              <w:t xml:space="preserve"> </w:t>
            </w:r>
            <w:r w:rsidRPr="00A83458">
              <w:rPr>
                <w:rFonts w:ascii="Calibri" w:hAnsi="Calibri" w:cs="Calibri"/>
                <w:color w:val="000000"/>
                <w:lang w:eastAsia="en-AU"/>
              </w:rPr>
              <w:t xml:space="preserve">aims to improve child protection within organisations in the ACT. Reportable conduct covers allegations or convictions of child abuse or misconduct toward children. Organisations must report allegations of reportable conduct by an employee or volunteer. This includes including ill-treatment of a child (such as emotional abuse or use of force), neglect, psychological harm, misconduct of a sexual nature, sexual or physical offences and convictions where a child is a victim or is present and inappropriate discipline or not protecting children from harm. Organisations must have policies and procedures to prevent and respond to child abuse. The ACT Ombudsman provides support and practice </w:t>
            </w:r>
            <w:hyperlink r:id="rId34" w:history="1">
              <w:r w:rsidRPr="00A83458">
                <w:rPr>
                  <w:rFonts w:ascii="Calibri" w:hAnsi="Calibri" w:cs="Calibri"/>
                  <w:color w:val="0563C1"/>
                  <w:u w:val="single"/>
                </w:rPr>
                <w:t>guidelines</w:t>
              </w:r>
            </w:hyperlink>
            <w:r w:rsidRPr="00A83458">
              <w:rPr>
                <w:rFonts w:ascii="Calibri" w:hAnsi="Calibri" w:cs="Calibri"/>
                <w:color w:val="000000"/>
                <w:lang w:eastAsia="en-AU"/>
              </w:rPr>
              <w:t xml:space="preserve"> to help organisations do this. If organisations suspect criminal conduct, they must also report to the police. More information about the reportable Conduct Scheme can be found on the </w:t>
            </w:r>
            <w:hyperlink r:id="rId35" w:history="1">
              <w:r w:rsidRPr="00A83458">
                <w:rPr>
                  <w:rFonts w:ascii="Calibri" w:hAnsi="Calibri" w:cs="Calibri"/>
                  <w:color w:val="0563C1"/>
                  <w:u w:val="single"/>
                </w:rPr>
                <w:t>ACT Ombudsman’s website.</w:t>
              </w:r>
            </w:hyperlink>
            <w:r w:rsidRPr="00A83458">
              <w:rPr>
                <w:rFonts w:ascii="Calibri" w:hAnsi="Calibri" w:cs="Calibri"/>
                <w:color w:val="000000"/>
                <w:lang w:eastAsia="en-AU"/>
              </w:rPr>
              <w:t xml:space="preserve">  </w:t>
            </w:r>
          </w:p>
          <w:p w:rsidR="00EA3984" w:rsidRPr="00EA3984" w:rsidRDefault="00EA3984" w:rsidP="00EA3984">
            <w:pPr>
              <w:spacing w:after="0" w:line="240" w:lineRule="auto"/>
              <w:jc w:val="center"/>
              <w:rPr>
                <w:rFonts w:cstheme="minorHAnsi"/>
                <w:color w:val="000000" w:themeColor="text1"/>
              </w:rPr>
            </w:pPr>
            <w:r w:rsidRPr="00EA3984">
              <w:rPr>
                <w:rFonts w:cstheme="minorHAnsi"/>
                <w:color w:val="000000" w:themeColor="text1"/>
                <w:lang w:eastAsia="en-AU"/>
              </w:rPr>
              <w:t xml:space="preserve">For enquires in relation to this notification please call CECA on (02) 6207 1114 or email </w:t>
            </w:r>
            <w:hyperlink r:id="rId36" w:history="1">
              <w:r w:rsidRPr="00EA3984">
                <w:rPr>
                  <w:rFonts w:cstheme="minorHAnsi"/>
                  <w:color w:val="000000" w:themeColor="text1"/>
                  <w:u w:val="single"/>
                  <w:lang w:val="en-US"/>
                </w:rPr>
                <w:t>CECA@act.gov.au</w:t>
              </w:r>
            </w:hyperlink>
          </w:p>
          <w:p w:rsidR="00EA3984" w:rsidRPr="00EA3984" w:rsidRDefault="00EA3984" w:rsidP="00EA3984">
            <w:pPr>
              <w:spacing w:after="0" w:line="240" w:lineRule="auto"/>
              <w:rPr>
                <w:rFonts w:cstheme="minorHAnsi"/>
              </w:rPr>
            </w:pPr>
          </w:p>
          <w:p w:rsidR="00EA3984" w:rsidRPr="00EA3984" w:rsidRDefault="00EA3984" w:rsidP="00EA3984">
            <w:pPr>
              <w:spacing w:after="0" w:line="240" w:lineRule="auto"/>
              <w:jc w:val="center"/>
              <w:rPr>
                <w:rFonts w:cstheme="minorHAnsi"/>
                <w:color w:val="000000"/>
                <w:lang w:eastAsia="en-AU"/>
              </w:rPr>
            </w:pPr>
            <w:r w:rsidRPr="00EA3984">
              <w:rPr>
                <w:rFonts w:cstheme="minorHAnsi"/>
                <w:color w:val="767171"/>
                <w:lang w:eastAsia="en-AU"/>
              </w:rPr>
              <w:t>This email has been authorised by the ACT Regulatory Authority (CECA). CECA are responsible for administering the National Quality Framework within the ACT</w:t>
            </w:r>
          </w:p>
        </w:tc>
      </w:tr>
    </w:tbl>
    <w:p w:rsidR="00EA3984" w:rsidRPr="00EA3984" w:rsidRDefault="00EA3984" w:rsidP="00EA3984">
      <w:pPr>
        <w:spacing w:after="0" w:line="240" w:lineRule="auto"/>
        <w:rPr>
          <w:rFonts w:cstheme="minorHAnsi"/>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EA3984" w:rsidRPr="00EA3984" w:rsidTr="00C600AD">
        <w:trPr>
          <w:tblCellSpacing w:w="0" w:type="dxa"/>
          <w:jc w:val="center"/>
        </w:trPr>
        <w:tc>
          <w:tcPr>
            <w:tcW w:w="0" w:type="auto"/>
            <w:shd w:val="clear" w:color="auto" w:fill="5C5C5C"/>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11"/>
              <w:gridCol w:w="6289"/>
            </w:tblGrid>
            <w:tr w:rsidR="00EA3984" w:rsidRPr="00EA3984" w:rsidTr="00C600AD">
              <w:trPr>
                <w:gridAfter w:val="2"/>
                <w:tblCellSpacing w:w="0" w:type="dxa"/>
                <w:jc w:val="center"/>
              </w:trPr>
              <w:tc>
                <w:tcPr>
                  <w:tcW w:w="0" w:type="auto"/>
                  <w:shd w:val="clear" w:color="auto" w:fill="5C5C5C"/>
                  <w:vAlign w:val="center"/>
                  <w:hideMark/>
                </w:tcPr>
                <w:p w:rsidR="00EA3984" w:rsidRPr="00EA3984" w:rsidRDefault="00EA3984" w:rsidP="00EA3984">
                  <w:pPr>
                    <w:spacing w:after="0" w:line="240" w:lineRule="auto"/>
                    <w:rPr>
                      <w:rFonts w:cstheme="minorHAnsi"/>
                    </w:rPr>
                  </w:pPr>
                </w:p>
              </w:tc>
            </w:tr>
            <w:tr w:rsidR="00EA3984" w:rsidRPr="00EA3984" w:rsidTr="00C600AD">
              <w:trPr>
                <w:tblCellSpacing w:w="0" w:type="dxa"/>
                <w:jc w:val="center"/>
              </w:trPr>
              <w:tc>
                <w:tcPr>
                  <w:tcW w:w="0" w:type="auto"/>
                  <w:shd w:val="clear" w:color="auto" w:fill="5C5C5C"/>
                  <w:tcMar>
                    <w:top w:w="120" w:type="dxa"/>
                    <w:left w:w="630" w:type="dxa"/>
                    <w:bottom w:w="120" w:type="dxa"/>
                    <w:right w:w="0" w:type="dxa"/>
                  </w:tcMar>
                  <w:vAlign w:val="center"/>
                  <w:hideMark/>
                </w:tcPr>
                <w:p w:rsidR="00EA3984" w:rsidRPr="00EA3984" w:rsidRDefault="00EA3984" w:rsidP="00EA3984">
                  <w:pPr>
                    <w:spacing w:before="100" w:beforeAutospacing="1" w:after="100" w:afterAutospacing="1" w:line="240" w:lineRule="auto"/>
                    <w:rPr>
                      <w:rFonts w:cstheme="minorHAnsi"/>
                      <w:color w:val="FFFFFF"/>
                      <w:sz w:val="20"/>
                      <w:szCs w:val="20"/>
                      <w:lang w:eastAsia="en-AU"/>
                    </w:rPr>
                  </w:pPr>
                  <w:r w:rsidRPr="00EA3984">
                    <w:rPr>
                      <w:rFonts w:cstheme="minorHAnsi"/>
                      <w:noProof/>
                      <w:color w:val="0000FF"/>
                      <w:sz w:val="20"/>
                      <w:szCs w:val="20"/>
                      <w:lang w:eastAsia="en-AU"/>
                    </w:rPr>
                    <w:drawing>
                      <wp:inline distT="0" distB="0" distL="0" distR="0" wp14:anchorId="70B2D14E" wp14:editId="1714A136">
                        <wp:extent cx="1089660" cy="350520"/>
                        <wp:effectExtent l="0" t="0" r="0" b="0"/>
                        <wp:docPr id="44" name="Picture 44"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EA3984" w:rsidRPr="00EA3984" w:rsidRDefault="00EA3984" w:rsidP="00EA3984">
                  <w:pPr>
                    <w:spacing w:after="0" w:line="240" w:lineRule="auto"/>
                    <w:rPr>
                      <w:rFonts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EA3984" w:rsidRPr="00EA3984" w:rsidRDefault="00EA3984" w:rsidP="00EA3984">
                  <w:pPr>
                    <w:spacing w:after="0" w:line="240" w:lineRule="auto"/>
                    <w:jc w:val="right"/>
                    <w:rPr>
                      <w:rFonts w:cstheme="minorHAnsi"/>
                      <w:color w:val="333132"/>
                    </w:rPr>
                  </w:pPr>
                  <w:r w:rsidRPr="00EA3984">
                    <w:rPr>
                      <w:rFonts w:cstheme="minorHAnsi"/>
                      <w:noProof/>
                      <w:color w:val="333132"/>
                    </w:rPr>
                    <w:drawing>
                      <wp:inline distT="0" distB="0" distL="0" distR="0" wp14:anchorId="0D796279" wp14:editId="04C364DF">
                        <wp:extent cx="1897380" cy="647700"/>
                        <wp:effectExtent l="0" t="0" r="0" b="0"/>
                        <wp:docPr id="43" name="Picture 43"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spect, Integrity, Collaboration and Innovation, the ACTPS Values and Signature Behaivour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EA3984" w:rsidRPr="00EA3984" w:rsidRDefault="00EA3984" w:rsidP="00EA3984">
            <w:pPr>
              <w:spacing w:after="0" w:line="240" w:lineRule="auto"/>
              <w:jc w:val="center"/>
              <w:rPr>
                <w:rFonts w:eastAsia="Times New Roman" w:cstheme="minorHAnsi"/>
                <w:sz w:val="20"/>
                <w:szCs w:val="20"/>
                <w:lang w:eastAsia="en-AU"/>
              </w:rPr>
            </w:pPr>
          </w:p>
        </w:tc>
      </w:tr>
    </w:tbl>
    <w:p w:rsidR="00EA3984" w:rsidRPr="00EA3984" w:rsidRDefault="00EA3984" w:rsidP="00EA3984">
      <w:pPr>
        <w:spacing w:after="0" w:line="240" w:lineRule="auto"/>
        <w:rPr>
          <w:rFonts w:cstheme="minorHAnsi"/>
        </w:rPr>
      </w:pPr>
    </w:p>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C59"/>
    <w:multiLevelType w:val="hybridMultilevel"/>
    <w:tmpl w:val="A4C00C9A"/>
    <w:lvl w:ilvl="0" w:tplc="DA2C7F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7611E"/>
    <w:multiLevelType w:val="hybridMultilevel"/>
    <w:tmpl w:val="03263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84"/>
    <w:rsid w:val="001C49DD"/>
    <w:rsid w:val="001E4B11"/>
    <w:rsid w:val="00380DFB"/>
    <w:rsid w:val="00694CF8"/>
    <w:rsid w:val="008C4673"/>
    <w:rsid w:val="00A5783B"/>
    <w:rsid w:val="00A6711C"/>
    <w:rsid w:val="00A83458"/>
    <w:rsid w:val="00D809C5"/>
    <w:rsid w:val="00E86AC7"/>
    <w:rsid w:val="00EA3984"/>
    <w:rsid w:val="00FA0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FDC5"/>
  <w15:chartTrackingRefBased/>
  <w15:docId w15:val="{333D120A-383A-4DE2-830F-95D1E9D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www.foodstandards.gov.au/industry/foodrecalls/Pages/default.aspx" TargetMode="External"/><Relationship Id="rId18" Type="http://schemas.openxmlformats.org/officeDocument/2006/relationships/hyperlink" Target="https://health.act.gov.au/businesses/food-safety-regulation" TargetMode="External"/><Relationship Id="rId26" Type="http://schemas.openxmlformats.org/officeDocument/2006/relationships/hyperlink" Target="http://bit.ly/rednoseresources"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ecrh.edu.au/national-quality-standard/quality-area-2-childrens-health-and-safety" TargetMode="External"/><Relationship Id="rId34" Type="http://schemas.openxmlformats.org/officeDocument/2006/relationships/hyperlink" Target="https://www.ombudsman.act.gov.au/improving-the-act/reportable-conduct/reportable-conduct-resource-kit" TargetMode="External"/><Relationship Id="rId7" Type="http://schemas.openxmlformats.org/officeDocument/2006/relationships/image" Target="media/image2.jpeg"/><Relationship Id="rId12" Type="http://schemas.openxmlformats.org/officeDocument/2006/relationships/hyperlink" Target="https://www.foodstandards.gov.au/foodsafety/standards/Documents/Storing%20food%20safely_Final.pdf" TargetMode="External"/><Relationship Id="rId17" Type="http://schemas.openxmlformats.org/officeDocument/2006/relationships/hyperlink" Target="https://www.foodstandards.gov.au/industry/safetystandards/service/Pages/default.aspx" TargetMode="External"/><Relationship Id="rId25" Type="http://schemas.openxmlformats.org/officeDocument/2006/relationships/hyperlink" Target="https://rednose.org.au/section/education" TargetMode="External"/><Relationship Id="rId33" Type="http://schemas.openxmlformats.org/officeDocument/2006/relationships/hyperlink" Target="https://www.ombudsman.act.gov.au/improving-the-act/reportable-conduct"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foodstandards.gov.au/industry/npc/Pages/Nutrition-Panel-Calculator-introduction.aspx" TargetMode="External"/><Relationship Id="rId20" Type="http://schemas.openxmlformats.org/officeDocument/2006/relationships/image" Target="media/image3.jpeg"/><Relationship Id="rId29" Type="http://schemas.openxmlformats.org/officeDocument/2006/relationships/hyperlink" Target="https://www.communityservices.act.gov.au/__data/assets/pdf_file/0015/1132080/Keeping-children-and-young-people-saf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0DBE.301F8E10" TargetMode="External"/><Relationship Id="rId11" Type="http://schemas.openxmlformats.org/officeDocument/2006/relationships/hyperlink" Target="https://www.foodstandards.gov.au/industry/labelling/Pages/default.aspx" TargetMode="External"/><Relationship Id="rId24" Type="http://schemas.openxmlformats.org/officeDocument/2006/relationships/hyperlink" Target="https://www.legislation.nsw.gov.au/" TargetMode="External"/><Relationship Id="rId32" Type="http://schemas.openxmlformats.org/officeDocument/2006/relationships/image" Target="media/image4.png"/><Relationship Id="rId37" Type="http://schemas.openxmlformats.org/officeDocument/2006/relationships/hyperlink" Target="https://www.facebook.com/CECAACT/"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www.foodstandards.gov.au/industry/labelling/Pages/default.aspx" TargetMode="External"/><Relationship Id="rId23" Type="http://schemas.openxmlformats.org/officeDocument/2006/relationships/hyperlink" Target="https://www.legislation.nsw.gov.au/" TargetMode="External"/><Relationship Id="rId28" Type="http://schemas.openxmlformats.org/officeDocument/2006/relationships/hyperlink" Target="https://www.legislation.act.gov.au/a/2008-19/" TargetMode="External"/><Relationship Id="rId36" Type="http://schemas.openxmlformats.org/officeDocument/2006/relationships/hyperlink" Target="mailto:CECA@act.gov.au" TargetMode="External"/><Relationship Id="rId10" Type="http://schemas.openxmlformats.org/officeDocument/2006/relationships/hyperlink" Target="https://www.foodstandards.gov.au/Pages/default.aspx" TargetMode="External"/><Relationship Id="rId19" Type="http://schemas.openxmlformats.org/officeDocument/2006/relationships/hyperlink" Target="http://www.legislation.vic.gov.au/domino/Web_Notes/LDMS/LTObject_Store/ltobjst10.nsf/DDE300B846EED9C7CA257616000A3571/D38DBD79C4A26CCECA2582270002C054/$FILE/10-69aa012%20authorised.pdf" TargetMode="External"/><Relationship Id="rId31" Type="http://schemas.openxmlformats.org/officeDocument/2006/relationships/hyperlink" Target="http://bit.ly/32lFXlC"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www.foodstandards.gov.au/foodsafety/standards/Pages/Foodsafetystandards.aspx" TargetMode="External"/><Relationship Id="rId22" Type="http://schemas.openxmlformats.org/officeDocument/2006/relationships/hyperlink" Target="https://kidsafe.com.au/" TargetMode="External"/><Relationship Id="rId27" Type="http://schemas.openxmlformats.org/officeDocument/2006/relationships/hyperlink" Target="https://www.legislation.nsw.gov.au/" TargetMode="External"/><Relationship Id="rId30" Type="http://schemas.openxmlformats.org/officeDocument/2006/relationships/hyperlink" Target="https://csdpubliclearning.articulate-online.com/p/1683794862/story_html5.html" TargetMode="External"/><Relationship Id="rId35" Type="http://schemas.openxmlformats.org/officeDocument/2006/relationships/hyperlink" Target="https://www.ombudsman.act.gov.au/improving-the-act/reportabl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2020-11-20T05:22:00Z</dcterms:created>
  <dcterms:modified xsi:type="dcterms:W3CDTF">2020-11-20T05:22:00Z</dcterms:modified>
</cp:coreProperties>
</file>