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2B6A" w14:textId="77777777" w:rsidR="00C17C4E" w:rsidRPr="001762B3" w:rsidRDefault="00C17C4E" w:rsidP="000A285A">
      <w:pPr>
        <w:rPr>
          <w:rFonts w:asciiTheme="minorHAnsi" w:hAnsiTheme="minorHAnsi" w:cstheme="minorHAnsi"/>
          <w:lang w:eastAsia="en-AU"/>
        </w:rPr>
      </w:pPr>
    </w:p>
    <w:tbl>
      <w:tblPr>
        <w:tblW w:w="10515" w:type="dxa"/>
        <w:jc w:val="center"/>
        <w:tblCellSpacing w:w="0" w:type="dxa"/>
        <w:shd w:val="clear" w:color="auto" w:fill="F2F2F2"/>
        <w:tblCellMar>
          <w:left w:w="0" w:type="dxa"/>
          <w:right w:w="0" w:type="dxa"/>
        </w:tblCellMar>
        <w:tblLook w:val="04A0" w:firstRow="1" w:lastRow="0" w:firstColumn="1" w:lastColumn="0" w:noHBand="0" w:noVBand="1"/>
      </w:tblPr>
      <w:tblGrid>
        <w:gridCol w:w="3297"/>
        <w:gridCol w:w="3118"/>
        <w:gridCol w:w="4100"/>
      </w:tblGrid>
      <w:tr w:rsidR="00C17C4E" w:rsidRPr="001762B3" w14:paraId="45399795" w14:textId="77777777" w:rsidTr="00C17C4E">
        <w:trPr>
          <w:tblCellSpacing w:w="0" w:type="dxa"/>
          <w:jc w:val="center"/>
        </w:trPr>
        <w:tc>
          <w:tcPr>
            <w:tcW w:w="3297" w:type="dxa"/>
            <w:shd w:val="clear" w:color="auto" w:fill="5C5C5C"/>
            <w:tcMar>
              <w:top w:w="225" w:type="dxa"/>
              <w:left w:w="465" w:type="dxa"/>
              <w:bottom w:w="225" w:type="dxa"/>
              <w:right w:w="0" w:type="dxa"/>
            </w:tcMar>
            <w:vAlign w:val="center"/>
            <w:hideMark/>
          </w:tcPr>
          <w:p w14:paraId="68C93C06" w14:textId="77777777" w:rsidR="00C17C4E" w:rsidRPr="001762B3" w:rsidRDefault="00C17C4E" w:rsidP="000A285A">
            <w:pPr>
              <w:rPr>
                <w:rFonts w:asciiTheme="minorHAnsi" w:hAnsiTheme="minorHAnsi" w:cstheme="minorHAnsi"/>
                <w:lang w:eastAsia="en-AU"/>
              </w:rPr>
            </w:pPr>
          </w:p>
        </w:tc>
        <w:tc>
          <w:tcPr>
            <w:tcW w:w="3118" w:type="dxa"/>
            <w:shd w:val="clear" w:color="auto" w:fill="5C5C5C"/>
            <w:tcMar>
              <w:top w:w="225" w:type="dxa"/>
              <w:left w:w="645" w:type="dxa"/>
              <w:bottom w:w="225" w:type="dxa"/>
              <w:right w:w="0" w:type="dxa"/>
            </w:tcMar>
            <w:vAlign w:val="center"/>
            <w:hideMark/>
          </w:tcPr>
          <w:p w14:paraId="0B10AD11" w14:textId="77777777" w:rsidR="00C17C4E" w:rsidRPr="001762B3" w:rsidRDefault="00C17C4E" w:rsidP="000A285A">
            <w:pPr>
              <w:rPr>
                <w:rFonts w:asciiTheme="minorHAnsi" w:eastAsia="Times New Roman" w:hAnsiTheme="minorHAnsi" w:cstheme="minorHAnsi"/>
                <w:sz w:val="20"/>
                <w:szCs w:val="20"/>
                <w:lang w:eastAsia="en-AU"/>
              </w:rPr>
            </w:pPr>
          </w:p>
        </w:tc>
        <w:tc>
          <w:tcPr>
            <w:tcW w:w="4100" w:type="dxa"/>
            <w:shd w:val="clear" w:color="auto" w:fill="5C5C5C"/>
            <w:tcMar>
              <w:top w:w="225" w:type="dxa"/>
              <w:left w:w="0" w:type="dxa"/>
              <w:bottom w:w="225" w:type="dxa"/>
              <w:right w:w="375" w:type="dxa"/>
            </w:tcMar>
            <w:vAlign w:val="center"/>
            <w:hideMark/>
          </w:tcPr>
          <w:p w14:paraId="19CC1475" w14:textId="77777777" w:rsidR="00C17C4E" w:rsidRPr="001762B3" w:rsidRDefault="00C17C4E" w:rsidP="000A285A">
            <w:pPr>
              <w:spacing w:before="100" w:beforeAutospacing="1" w:after="100" w:afterAutospacing="1"/>
              <w:jc w:val="right"/>
              <w:rPr>
                <w:rFonts w:asciiTheme="minorHAnsi" w:hAnsiTheme="minorHAnsi" w:cstheme="minorHAnsi"/>
                <w:color w:val="FFFFFF"/>
                <w:sz w:val="20"/>
                <w:szCs w:val="20"/>
                <w:lang w:eastAsia="en-AU"/>
              </w:rPr>
            </w:pPr>
            <w:r w:rsidRPr="001762B3">
              <w:rPr>
                <w:rFonts w:asciiTheme="minorHAnsi" w:hAnsiTheme="minorHAnsi" w:cstheme="minorHAnsi"/>
                <w:noProof/>
                <w:color w:val="000000"/>
                <w:lang w:eastAsia="en-AU"/>
              </w:rPr>
              <w:drawing>
                <wp:inline distT="0" distB="0" distL="0" distR="0" wp14:anchorId="050A493D" wp14:editId="76A85FC8">
                  <wp:extent cx="2095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762B3">
              <w:rPr>
                <w:rFonts w:asciiTheme="minorHAnsi" w:hAnsiTheme="minorHAnsi" w:cstheme="minorHAnsi"/>
                <w:noProof/>
                <w:color w:val="000000"/>
                <w:lang w:eastAsia="en-AU"/>
              </w:rPr>
              <w:drawing>
                <wp:inline distT="0" distB="0" distL="0" distR="0" wp14:anchorId="346F6575" wp14:editId="3093FF43">
                  <wp:extent cx="2095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762B3">
              <w:rPr>
                <w:rFonts w:asciiTheme="minorHAnsi" w:hAnsiTheme="minorHAnsi" w:cstheme="minorHAnsi"/>
                <w:noProof/>
                <w:color w:val="000000"/>
                <w:lang w:eastAsia="en-AU"/>
              </w:rPr>
              <w:drawing>
                <wp:inline distT="0" distB="0" distL="0" distR="0" wp14:anchorId="38B48B4D" wp14:editId="0150DA46">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1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C17C4E" w:rsidRPr="001762B3" w14:paraId="375FA382" w14:textId="77777777" w:rsidTr="00C17C4E">
        <w:trPr>
          <w:tblCellSpacing w:w="0" w:type="dxa"/>
          <w:jc w:val="center"/>
        </w:trPr>
        <w:tc>
          <w:tcPr>
            <w:tcW w:w="10515" w:type="dxa"/>
            <w:gridSpan w:val="3"/>
            <w:shd w:val="clear" w:color="auto" w:fill="342682"/>
            <w:vAlign w:val="center"/>
            <w:hideMark/>
          </w:tcPr>
          <w:p w14:paraId="4D79091E" w14:textId="77777777" w:rsidR="00C17C4E" w:rsidRPr="001762B3" w:rsidRDefault="00C17C4E" w:rsidP="000A285A">
            <w:pPr>
              <w:rPr>
                <w:rFonts w:asciiTheme="minorHAnsi" w:hAnsiTheme="minorHAnsi" w:cstheme="minorHAnsi"/>
                <w:color w:val="333132"/>
              </w:rPr>
            </w:pPr>
            <w:r w:rsidRPr="001762B3">
              <w:rPr>
                <w:rFonts w:asciiTheme="minorHAnsi" w:hAnsiTheme="minorHAnsi" w:cstheme="minorHAnsi"/>
                <w:noProof/>
                <w:color w:val="333132"/>
              </w:rPr>
              <w:drawing>
                <wp:inline distT="0" distB="0" distL="0" distR="0" wp14:anchorId="15D265FB" wp14:editId="50E42FB2">
                  <wp:extent cx="6677025" cy="1907827"/>
                  <wp:effectExtent l="0" t="0" r="0" b="0"/>
                  <wp:docPr id="3" name="Picture 3"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8857" cy="1914065"/>
                          </a:xfrm>
                          <a:prstGeom prst="rect">
                            <a:avLst/>
                          </a:prstGeom>
                          <a:noFill/>
                          <a:ln>
                            <a:noFill/>
                          </a:ln>
                        </pic:spPr>
                      </pic:pic>
                    </a:graphicData>
                  </a:graphic>
                </wp:inline>
              </w:drawing>
            </w:r>
          </w:p>
        </w:tc>
      </w:tr>
      <w:tr w:rsidR="00C17C4E" w:rsidRPr="001762B3" w14:paraId="056AB531" w14:textId="77777777" w:rsidTr="00C17C4E">
        <w:trPr>
          <w:tblCellSpacing w:w="0" w:type="dxa"/>
          <w:jc w:val="center"/>
        </w:trPr>
        <w:tc>
          <w:tcPr>
            <w:tcW w:w="10515" w:type="dxa"/>
            <w:gridSpan w:val="3"/>
            <w:shd w:val="clear" w:color="auto" w:fill="F2F2F2"/>
            <w:tcMar>
              <w:top w:w="300" w:type="dxa"/>
              <w:left w:w="750" w:type="dxa"/>
              <w:bottom w:w="375" w:type="dxa"/>
              <w:right w:w="630" w:type="dxa"/>
            </w:tcMar>
            <w:vAlign w:val="center"/>
          </w:tcPr>
          <w:p w14:paraId="6B10835F" w14:textId="77777777" w:rsidR="00C17C4E" w:rsidRPr="001762B3" w:rsidRDefault="00C17C4E" w:rsidP="000A285A">
            <w:pPr>
              <w:spacing w:before="150"/>
              <w:jc w:val="center"/>
              <w:rPr>
                <w:rFonts w:asciiTheme="minorHAnsi" w:hAnsiTheme="minorHAnsi" w:cstheme="minorHAnsi"/>
                <w:i/>
                <w:iCs/>
                <w:color w:val="222222"/>
                <w:sz w:val="20"/>
                <w:szCs w:val="20"/>
                <w:lang w:eastAsia="en-AU"/>
              </w:rPr>
            </w:pPr>
            <w:r w:rsidRPr="001762B3">
              <w:rPr>
                <w:rFonts w:asciiTheme="minorHAnsi" w:hAnsiTheme="minorHAnsi"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14:paraId="1107614E" w14:textId="3C81DF18" w:rsidR="001C7AB6" w:rsidRPr="00BE4599" w:rsidRDefault="00E67227" w:rsidP="000A285A">
            <w:pPr>
              <w:spacing w:before="100" w:beforeAutospacing="1" w:after="100" w:afterAutospacing="1"/>
              <w:rPr>
                <w:rFonts w:asciiTheme="minorHAnsi" w:hAnsiTheme="minorHAnsi" w:cstheme="minorHAnsi"/>
                <w:sz w:val="24"/>
                <w:szCs w:val="24"/>
                <w:lang w:eastAsia="en-AU"/>
              </w:rPr>
            </w:pPr>
            <w:r>
              <w:rPr>
                <w:rFonts w:asciiTheme="minorHAnsi" w:hAnsiTheme="minorHAnsi" w:cstheme="minorHAnsi"/>
                <w:sz w:val="24"/>
                <w:szCs w:val="24"/>
                <w:lang w:eastAsia="en-AU"/>
              </w:rPr>
              <w:t xml:space="preserve">November </w:t>
            </w:r>
            <w:r w:rsidR="00C17C4E" w:rsidRPr="00BE4599">
              <w:rPr>
                <w:rFonts w:asciiTheme="minorHAnsi" w:hAnsiTheme="minorHAnsi" w:cstheme="minorHAnsi"/>
                <w:sz w:val="24"/>
                <w:szCs w:val="24"/>
                <w:lang w:eastAsia="en-AU"/>
              </w:rPr>
              <w:t>2020</w:t>
            </w:r>
          </w:p>
          <w:p w14:paraId="2A66761F" w14:textId="3C0A3E18" w:rsidR="00BE4599" w:rsidRPr="00D553EA" w:rsidRDefault="00BE4599" w:rsidP="00BE4599">
            <w:pPr>
              <w:spacing w:after="240"/>
              <w:rPr>
                <w:b/>
                <w:bCs/>
                <w:color w:val="FF0000"/>
                <w:sz w:val="28"/>
                <w:szCs w:val="28"/>
              </w:rPr>
            </w:pPr>
            <w:r w:rsidRPr="00BE4599">
              <w:rPr>
                <w:b/>
                <w:bCs/>
                <w:color w:val="000000" w:themeColor="text1"/>
                <w:sz w:val="28"/>
                <w:szCs w:val="28"/>
              </w:rPr>
              <w:t>Early Childhood Degree Scholarship Program</w:t>
            </w:r>
            <w:r w:rsidRPr="00D553EA">
              <w:rPr>
                <w:b/>
                <w:bCs/>
                <w:color w:val="000000" w:themeColor="text1"/>
                <w:sz w:val="28"/>
                <w:szCs w:val="28"/>
              </w:rPr>
              <w:t xml:space="preserve"> </w:t>
            </w:r>
          </w:p>
          <w:p w14:paraId="37CE542F" w14:textId="77777777" w:rsidR="00BE4599" w:rsidRPr="007E0176" w:rsidRDefault="00BE4599" w:rsidP="00BE4599">
            <w:pPr>
              <w:spacing w:after="240"/>
              <w:rPr>
                <w:color w:val="000000"/>
              </w:rPr>
            </w:pPr>
            <w:r w:rsidRPr="007E0176">
              <w:rPr>
                <w:color w:val="000000"/>
              </w:rPr>
              <w:t xml:space="preserve">The Early Childhood Policy and Regulation Branch of the ACT Education Directorate is committed to increasing the number and profile of degree-qualified educators in the ACT. </w:t>
            </w:r>
          </w:p>
          <w:p w14:paraId="01806F83" w14:textId="4BDC5BAC" w:rsidR="00BE4599" w:rsidRPr="007E0176" w:rsidRDefault="00AC693E" w:rsidP="00BE4599">
            <w:pPr>
              <w:spacing w:after="240"/>
              <w:rPr>
                <w:color w:val="000000"/>
              </w:rPr>
            </w:pPr>
            <w:r>
              <w:rPr>
                <w:color w:val="000000"/>
              </w:rPr>
              <w:t>T</w:t>
            </w:r>
            <w:r w:rsidR="00BE4599" w:rsidRPr="00745DF0">
              <w:rPr>
                <w:color w:val="000000"/>
              </w:rPr>
              <w:t>he 2021 Early Childhood Degree Scholarship Program has</w:t>
            </w:r>
            <w:r>
              <w:rPr>
                <w:color w:val="000000"/>
              </w:rPr>
              <w:t xml:space="preserve"> now</w:t>
            </w:r>
            <w:r w:rsidR="00BE4599" w:rsidRPr="00745DF0">
              <w:rPr>
                <w:color w:val="000000"/>
              </w:rPr>
              <w:t xml:space="preserve"> commenced. This Program will provide</w:t>
            </w:r>
            <w:r w:rsidR="00B67A4E" w:rsidRPr="00745DF0">
              <w:rPr>
                <w:color w:val="000000"/>
              </w:rPr>
              <w:t xml:space="preserve"> up to eight (8) </w:t>
            </w:r>
            <w:r w:rsidR="00BE4599" w:rsidRPr="00745DF0">
              <w:rPr>
                <w:color w:val="000000"/>
              </w:rPr>
              <w:t>individuals</w:t>
            </w:r>
            <w:r>
              <w:rPr>
                <w:color w:val="000000"/>
              </w:rPr>
              <w:t>,</w:t>
            </w:r>
            <w:r w:rsidR="00BE4599" w:rsidRPr="00745DF0">
              <w:rPr>
                <w:color w:val="000000"/>
              </w:rPr>
              <w:t xml:space="preserve"> working in the ACT non-government education and care sector</w:t>
            </w:r>
            <w:r>
              <w:rPr>
                <w:color w:val="000000"/>
              </w:rPr>
              <w:t>, with</w:t>
            </w:r>
            <w:r w:rsidR="00BE4599" w:rsidRPr="00745DF0">
              <w:rPr>
                <w:color w:val="000000"/>
              </w:rPr>
              <w:t xml:space="preserve"> financial</w:t>
            </w:r>
            <w:r w:rsidR="00BE4599" w:rsidRPr="007E0176">
              <w:rPr>
                <w:color w:val="000000"/>
              </w:rPr>
              <w:t xml:space="preserve"> assistance to gain an approved early childhood degree qualification. </w:t>
            </w:r>
          </w:p>
          <w:p w14:paraId="37429F4D" w14:textId="77777777" w:rsidR="00BE4599" w:rsidRPr="007E0176" w:rsidRDefault="00BE4599" w:rsidP="00BE4599">
            <w:pPr>
              <w:spacing w:after="240"/>
              <w:rPr>
                <w:color w:val="000000"/>
              </w:rPr>
            </w:pPr>
            <w:r w:rsidRPr="007E0176">
              <w:rPr>
                <w:color w:val="000000"/>
              </w:rPr>
              <w:t>The 2021 Early Childhood Degree Scholarship Program offers:</w:t>
            </w:r>
          </w:p>
          <w:p w14:paraId="11E614FC" w14:textId="77777777" w:rsidR="00BE4599" w:rsidRPr="007E0176" w:rsidRDefault="00BE4599" w:rsidP="00BE4599">
            <w:pPr>
              <w:numPr>
                <w:ilvl w:val="0"/>
                <w:numId w:val="6"/>
              </w:numPr>
              <w:spacing w:before="100" w:beforeAutospacing="1" w:after="96"/>
              <w:ind w:left="851"/>
              <w:rPr>
                <w:color w:val="000000"/>
              </w:rPr>
            </w:pPr>
            <w:r w:rsidRPr="007E0176">
              <w:rPr>
                <w:color w:val="000000"/>
              </w:rPr>
              <w:t>Funding of up to $25,000 per scholarship, for full time or part time study</w:t>
            </w:r>
          </w:p>
          <w:p w14:paraId="42BFB57A" w14:textId="56FD015E" w:rsidR="00BE4599" w:rsidRPr="007E0176" w:rsidRDefault="00BE4599" w:rsidP="00BE4599">
            <w:pPr>
              <w:numPr>
                <w:ilvl w:val="0"/>
                <w:numId w:val="6"/>
              </w:numPr>
              <w:spacing w:before="100" w:beforeAutospacing="1" w:after="96"/>
              <w:ind w:left="851"/>
              <w:rPr>
                <w:color w:val="000000"/>
              </w:rPr>
            </w:pPr>
            <w:r w:rsidRPr="007E0176">
              <w:rPr>
                <w:color w:val="000000"/>
              </w:rPr>
              <w:t xml:space="preserve">Encouragement to </w:t>
            </w:r>
            <w:r w:rsidR="00AC693E">
              <w:rPr>
                <w:color w:val="000000"/>
              </w:rPr>
              <w:t>e</w:t>
            </w:r>
            <w:r w:rsidRPr="007E0176">
              <w:rPr>
                <w:color w:val="000000"/>
              </w:rPr>
              <w:t>mployers to contribute to the funding, enabling higher numbers of scholarships to be offered</w:t>
            </w:r>
          </w:p>
          <w:p w14:paraId="4FA1F06C" w14:textId="77777777" w:rsidR="00BE4599" w:rsidRPr="007E0176" w:rsidRDefault="00BE4599" w:rsidP="00BE4599">
            <w:pPr>
              <w:numPr>
                <w:ilvl w:val="0"/>
                <w:numId w:val="6"/>
              </w:numPr>
              <w:spacing w:before="100" w:beforeAutospacing="1" w:after="96"/>
              <w:ind w:left="851"/>
              <w:rPr>
                <w:color w:val="000000"/>
              </w:rPr>
            </w:pPr>
            <w:r w:rsidRPr="007E0176">
              <w:rPr>
                <w:color w:val="000000"/>
              </w:rPr>
              <w:t>Funding to employers to backfill staff while they are on study placement</w:t>
            </w:r>
          </w:p>
          <w:p w14:paraId="129136AE" w14:textId="4881A6AC" w:rsidR="00BE4599" w:rsidRPr="007E0176" w:rsidRDefault="00BE4599" w:rsidP="00BE4599">
            <w:pPr>
              <w:numPr>
                <w:ilvl w:val="0"/>
                <w:numId w:val="6"/>
              </w:numPr>
              <w:spacing w:before="100" w:beforeAutospacing="1" w:after="96"/>
              <w:ind w:left="851"/>
              <w:rPr>
                <w:color w:val="000000"/>
              </w:rPr>
            </w:pPr>
            <w:r w:rsidRPr="007E0176">
              <w:rPr>
                <w:color w:val="000000"/>
              </w:rPr>
              <w:t>Funding to employers for students to attend a four-week placement in CECA in</w:t>
            </w:r>
            <w:r w:rsidR="00AC693E">
              <w:rPr>
                <w:color w:val="000000"/>
              </w:rPr>
              <w:t xml:space="preserve"> their</w:t>
            </w:r>
            <w:r w:rsidRPr="007E0176">
              <w:rPr>
                <w:color w:val="000000"/>
              </w:rPr>
              <w:t xml:space="preserve"> final year of study and</w:t>
            </w:r>
          </w:p>
          <w:p w14:paraId="4C5D274A" w14:textId="45F91D17" w:rsidR="00BE4599" w:rsidRPr="00BB5CA1" w:rsidRDefault="00BE4599" w:rsidP="00BE4599">
            <w:pPr>
              <w:numPr>
                <w:ilvl w:val="0"/>
                <w:numId w:val="6"/>
              </w:numPr>
              <w:spacing w:before="100" w:beforeAutospacing="1" w:after="96"/>
              <w:ind w:left="851"/>
              <w:rPr>
                <w:color w:val="000000"/>
              </w:rPr>
            </w:pPr>
            <w:r w:rsidRPr="007E0176">
              <w:rPr>
                <w:color w:val="000000"/>
              </w:rPr>
              <w:t xml:space="preserve">Early Childhood Degree Scholarship Program </w:t>
            </w:r>
            <w:r w:rsidR="00AC693E">
              <w:rPr>
                <w:color w:val="000000"/>
              </w:rPr>
              <w:t>d</w:t>
            </w:r>
            <w:r w:rsidRPr="007E0176">
              <w:rPr>
                <w:color w:val="000000"/>
              </w:rPr>
              <w:t>eed</w:t>
            </w:r>
            <w:r w:rsidR="00AC693E">
              <w:rPr>
                <w:color w:val="000000"/>
              </w:rPr>
              <w:t>s</w:t>
            </w:r>
            <w:r w:rsidRPr="007E0176">
              <w:rPr>
                <w:color w:val="000000"/>
              </w:rPr>
              <w:t xml:space="preserve"> between</w:t>
            </w:r>
            <w:r w:rsidR="00AC693E">
              <w:rPr>
                <w:color w:val="000000"/>
              </w:rPr>
              <w:t xml:space="preserve"> the</w:t>
            </w:r>
            <w:r w:rsidRPr="007E0176">
              <w:rPr>
                <w:color w:val="000000"/>
              </w:rPr>
              <w:t xml:space="preserve"> student, employer, and ACT Government</w:t>
            </w:r>
            <w:r w:rsidR="001C1C25" w:rsidRPr="007E0176">
              <w:rPr>
                <w:color w:val="000000"/>
              </w:rPr>
              <w:t>.</w:t>
            </w:r>
          </w:p>
          <w:p w14:paraId="2CB92A7C" w14:textId="35E100B3" w:rsidR="00BE4599" w:rsidRPr="007E0176" w:rsidRDefault="00BE4599" w:rsidP="00BE4599">
            <w:pPr>
              <w:spacing w:after="240"/>
              <w:rPr>
                <w:color w:val="000000" w:themeColor="text1"/>
              </w:rPr>
            </w:pPr>
            <w:r w:rsidRPr="007E0176">
              <w:rPr>
                <w:color w:val="000000" w:themeColor="text1"/>
              </w:rPr>
              <w:t xml:space="preserve">Applications close </w:t>
            </w:r>
            <w:r w:rsidRPr="00745DF0">
              <w:rPr>
                <w:color w:val="000000" w:themeColor="text1"/>
              </w:rPr>
              <w:t xml:space="preserve">on </w:t>
            </w:r>
            <w:r w:rsidRPr="00745DF0">
              <w:rPr>
                <w:b/>
                <w:bCs/>
                <w:color w:val="000000" w:themeColor="text1"/>
              </w:rPr>
              <w:t>31 January 2021</w:t>
            </w:r>
            <w:r w:rsidRPr="00745DF0">
              <w:rPr>
                <w:color w:val="000000" w:themeColor="text1"/>
              </w:rPr>
              <w:t>.</w:t>
            </w:r>
          </w:p>
          <w:p w14:paraId="3B4EE990" w14:textId="0BCD40D8" w:rsidR="004D7B8B" w:rsidRDefault="00BE4599" w:rsidP="007E0176">
            <w:pPr>
              <w:spacing w:after="240"/>
              <w:rPr>
                <w:color w:val="000000" w:themeColor="text1"/>
              </w:rPr>
            </w:pPr>
            <w:r w:rsidRPr="007E0176">
              <w:t xml:space="preserve">To request a </w:t>
            </w:r>
            <w:r w:rsidRPr="007E0176">
              <w:rPr>
                <w:color w:val="000000" w:themeColor="text1"/>
              </w:rPr>
              <w:t xml:space="preserve">2021 Early Childhood Degree Scholarship Program information pack please email Children's Education and Care Assurance at </w:t>
            </w:r>
            <w:hyperlink r:id="rId10" w:history="1">
              <w:r w:rsidRPr="007E0176">
                <w:rPr>
                  <w:rStyle w:val="Hyperlink"/>
                </w:rPr>
                <w:t>CECA@act.gov.au</w:t>
              </w:r>
            </w:hyperlink>
            <w:r w:rsidRPr="007E0176">
              <w:rPr>
                <w:color w:val="000000" w:themeColor="text1"/>
              </w:rPr>
              <w:t xml:space="preserve"> or call +61 2 6207 1114.</w:t>
            </w:r>
          </w:p>
          <w:p w14:paraId="5C3D5610" w14:textId="77777777" w:rsidR="00D57438" w:rsidRPr="007E0176" w:rsidRDefault="00D57438" w:rsidP="007E0176">
            <w:pPr>
              <w:spacing w:after="240"/>
              <w:rPr>
                <w:color w:val="000000" w:themeColor="text1"/>
              </w:rPr>
            </w:pPr>
          </w:p>
          <w:p w14:paraId="42844377" w14:textId="77777777" w:rsidR="00AC693E" w:rsidRDefault="00AC693E" w:rsidP="007E0176">
            <w:pPr>
              <w:rPr>
                <w:rFonts w:asciiTheme="minorHAnsi" w:eastAsia="Times New Roman" w:hAnsiTheme="minorHAnsi" w:cstheme="minorHAnsi"/>
                <w:b/>
                <w:bCs/>
                <w:sz w:val="28"/>
                <w:szCs w:val="28"/>
                <w:lang w:eastAsia="en-AU"/>
              </w:rPr>
            </w:pPr>
          </w:p>
          <w:p w14:paraId="683C16D8" w14:textId="13E49066" w:rsidR="0027665D" w:rsidRPr="007E0176" w:rsidRDefault="007E0176" w:rsidP="007E0176">
            <w:pPr>
              <w:rPr>
                <w:rFonts w:asciiTheme="minorHAnsi" w:eastAsia="Times New Roman" w:hAnsiTheme="minorHAnsi" w:cstheme="minorHAnsi"/>
                <w:b/>
                <w:bCs/>
                <w:sz w:val="28"/>
                <w:szCs w:val="28"/>
                <w:lang w:eastAsia="en-AU"/>
              </w:rPr>
            </w:pPr>
            <w:r w:rsidRPr="007E0176">
              <w:rPr>
                <w:rFonts w:asciiTheme="minorHAnsi" w:eastAsia="Times New Roman" w:hAnsiTheme="minorHAnsi" w:cstheme="minorHAnsi"/>
                <w:b/>
                <w:bCs/>
                <w:sz w:val="28"/>
                <w:szCs w:val="28"/>
                <w:lang w:eastAsia="en-AU"/>
              </w:rPr>
              <w:lastRenderedPageBreak/>
              <w:t xml:space="preserve">Supporting effective supervision </w:t>
            </w:r>
            <w:r w:rsidR="00A266F3">
              <w:rPr>
                <w:rFonts w:asciiTheme="minorHAnsi" w:eastAsia="Times New Roman" w:hAnsiTheme="minorHAnsi" w:cstheme="minorHAnsi"/>
                <w:b/>
                <w:bCs/>
                <w:sz w:val="28"/>
                <w:szCs w:val="28"/>
                <w:lang w:eastAsia="en-AU"/>
              </w:rPr>
              <w:t>and transitions</w:t>
            </w:r>
          </w:p>
          <w:p w14:paraId="5378C231" w14:textId="77777777" w:rsidR="00C51B5B" w:rsidRPr="001762B3" w:rsidRDefault="00C51B5B" w:rsidP="000A285A">
            <w:pPr>
              <w:pStyle w:val="BodyText"/>
              <w:rPr>
                <w:rFonts w:asciiTheme="minorHAnsi" w:eastAsia="Times New Roman" w:hAnsiTheme="minorHAnsi" w:cstheme="minorHAnsi"/>
                <w:sz w:val="24"/>
                <w:szCs w:val="24"/>
                <w:lang w:eastAsia="en-AU"/>
              </w:rPr>
            </w:pPr>
          </w:p>
          <w:p w14:paraId="37D7A460" w14:textId="5B06B4F3" w:rsidR="00364B01" w:rsidRDefault="00AC693E" w:rsidP="00364B01">
            <w:pPr>
              <w:rPr>
                <w:color w:val="333132"/>
              </w:rPr>
            </w:pPr>
            <w:r>
              <w:rPr>
                <w:color w:val="000000"/>
              </w:rPr>
              <w:t>At t</w:t>
            </w:r>
            <w:r w:rsidR="00364B01">
              <w:rPr>
                <w:color w:val="000000"/>
              </w:rPr>
              <w:t xml:space="preserve">his time of </w:t>
            </w:r>
            <w:r w:rsidR="007E0176">
              <w:rPr>
                <w:color w:val="000000"/>
              </w:rPr>
              <w:t>year,</w:t>
            </w:r>
            <w:r w:rsidR="00364B01">
              <w:rPr>
                <w:color w:val="000000"/>
              </w:rPr>
              <w:t xml:space="preserve"> many children experience multiple transitions between education and care settings and their community. Implementing effective supervision during these busy times will assist educators to provide safe and secure environments for children. CECA encourage providers</w:t>
            </w:r>
            <w:r>
              <w:rPr>
                <w:color w:val="000000"/>
              </w:rPr>
              <w:t>,</w:t>
            </w:r>
            <w:r w:rsidR="00364B01">
              <w:rPr>
                <w:color w:val="000000"/>
              </w:rPr>
              <w:t xml:space="preserve"> service</w:t>
            </w:r>
            <w:r w:rsidR="005A774B">
              <w:rPr>
                <w:color w:val="000000"/>
              </w:rPr>
              <w:t xml:space="preserve"> leaders and educators</w:t>
            </w:r>
            <w:r w:rsidR="00364B01">
              <w:rPr>
                <w:color w:val="000000"/>
              </w:rPr>
              <w:t xml:space="preserve"> to work together and </w:t>
            </w:r>
            <w:r w:rsidR="00364B01">
              <w:rPr>
                <w:color w:val="333132"/>
              </w:rPr>
              <w:t>prioritise regular assessment and continuously improve</w:t>
            </w:r>
            <w:r w:rsidR="00364B01">
              <w:rPr>
                <w:color w:val="000000"/>
              </w:rPr>
              <w:t>ment</w:t>
            </w:r>
            <w:r w:rsidR="00364B01">
              <w:rPr>
                <w:color w:val="333132"/>
              </w:rPr>
              <w:t xml:space="preserve"> of </w:t>
            </w:r>
            <w:r w:rsidR="00364B01">
              <w:rPr>
                <w:color w:val="000000"/>
              </w:rPr>
              <w:t xml:space="preserve">transitions and </w:t>
            </w:r>
            <w:r w:rsidR="00364B01">
              <w:rPr>
                <w:color w:val="333132"/>
              </w:rPr>
              <w:t xml:space="preserve">supervision strategies. </w:t>
            </w:r>
          </w:p>
          <w:p w14:paraId="66C9B810" w14:textId="77777777" w:rsidR="00364B01" w:rsidRDefault="00364B01" w:rsidP="00364B01"/>
          <w:p w14:paraId="63A718B3" w14:textId="77777777" w:rsidR="00364B01" w:rsidRDefault="00364B01" w:rsidP="00364B01">
            <w:r>
              <w:rPr>
                <w:color w:val="000000"/>
              </w:rPr>
              <w:t xml:space="preserve">Supervision strategies should be adjusted to: </w:t>
            </w:r>
          </w:p>
          <w:p w14:paraId="1C6B7188" w14:textId="77777777" w:rsidR="00364B01" w:rsidRDefault="00364B01" w:rsidP="00364B01"/>
          <w:p w14:paraId="60EF3476" w14:textId="77777777" w:rsidR="00364B01" w:rsidRDefault="00364B01" w:rsidP="00364B01">
            <w:r>
              <w:rPr>
                <w:color w:val="000000"/>
              </w:rPr>
              <w:t>•             Consider the design and arrangement of children’s environments</w:t>
            </w:r>
          </w:p>
          <w:p w14:paraId="53BC8CB3" w14:textId="3C5F7CCC" w:rsidR="00364B01" w:rsidRDefault="00364B01" w:rsidP="00364B01">
            <w:r>
              <w:rPr>
                <w:color w:val="000000"/>
              </w:rPr>
              <w:t xml:space="preserve">•             Reduce </w:t>
            </w:r>
            <w:r w:rsidR="00AC693E">
              <w:rPr>
                <w:color w:val="000000"/>
              </w:rPr>
              <w:t>and</w:t>
            </w:r>
            <w:r>
              <w:rPr>
                <w:color w:val="000000"/>
              </w:rPr>
              <w:t xml:space="preserve"> prevent injury; and </w:t>
            </w:r>
          </w:p>
          <w:p w14:paraId="036E9635" w14:textId="77777777" w:rsidR="00364B01" w:rsidRDefault="00364B01" w:rsidP="00364B01">
            <w:r>
              <w:rPr>
                <w:color w:val="000000"/>
              </w:rPr>
              <w:t>•             Make decisions about when children’s play needs to be interrupted or redirected</w:t>
            </w:r>
          </w:p>
          <w:p w14:paraId="4485274D" w14:textId="36436392" w:rsidR="00364B01" w:rsidRDefault="00364B01" w:rsidP="00364B01">
            <w:r>
              <w:rPr>
                <w:color w:val="000000"/>
              </w:rPr>
              <w:t>•             Ensure there are effective transitions of children between service types and schools</w:t>
            </w:r>
          </w:p>
          <w:p w14:paraId="37DE2E68" w14:textId="77777777" w:rsidR="00AC693E" w:rsidRDefault="00364B01" w:rsidP="00364B01">
            <w:pPr>
              <w:pStyle w:val="NormalWeb"/>
              <w:rPr>
                <w:color w:val="000000"/>
              </w:rPr>
            </w:pPr>
            <w:r>
              <w:rPr>
                <w:color w:val="333132"/>
              </w:rPr>
              <w:t xml:space="preserve">The </w:t>
            </w:r>
            <w:hyperlink r:id="rId11" w:history="1">
              <w:r>
                <w:rPr>
                  <w:rStyle w:val="Hyperlink"/>
                </w:rPr>
                <w:t>Education and Care Services National Law</w:t>
              </w:r>
            </w:hyperlink>
            <w:r>
              <w:rPr>
                <w:color w:val="333132"/>
              </w:rPr>
              <w:t xml:space="preserve"> requires that children must be adequately supervised </w:t>
            </w:r>
            <w:r>
              <w:rPr>
                <w:color w:val="000000"/>
              </w:rPr>
              <w:t xml:space="preserve">at all times (s165). Providers and nominated supervisors need to be aware that simply meeting the minimum </w:t>
            </w:r>
            <w:r w:rsidR="00AC693E">
              <w:rPr>
                <w:color w:val="000000"/>
              </w:rPr>
              <w:t xml:space="preserve">staffing </w:t>
            </w:r>
            <w:r>
              <w:rPr>
                <w:color w:val="000000"/>
              </w:rPr>
              <w:t xml:space="preserve">ratio requirements set out in </w:t>
            </w:r>
            <w:hyperlink r:id="rId12" w:history="1">
              <w:r>
                <w:rPr>
                  <w:rStyle w:val="Hyperlink"/>
                </w:rPr>
                <w:t>Education and Care Services National Regulations</w:t>
              </w:r>
            </w:hyperlink>
            <w:r>
              <w:rPr>
                <w:color w:val="000000"/>
              </w:rPr>
              <w:t xml:space="preserve"> will not guarantee that all children are being adequately supervised at all times. </w:t>
            </w:r>
            <w:r w:rsidR="00153C74">
              <w:rPr>
                <w:color w:val="000000"/>
              </w:rPr>
              <w:t>P</w:t>
            </w:r>
            <w:r>
              <w:rPr>
                <w:color w:val="000000"/>
              </w:rPr>
              <w:t>rovider</w:t>
            </w:r>
            <w:r w:rsidR="00153C74">
              <w:rPr>
                <w:color w:val="000000"/>
              </w:rPr>
              <w:t>s</w:t>
            </w:r>
            <w:r>
              <w:rPr>
                <w:color w:val="000000"/>
              </w:rPr>
              <w:t xml:space="preserve">, nominated supervisors, co-ordinators and educators have an obligation to </w:t>
            </w:r>
            <w:r w:rsidR="00153C74">
              <w:rPr>
                <w:color w:val="000000"/>
              </w:rPr>
              <w:t xml:space="preserve">ensure that </w:t>
            </w:r>
            <w:r>
              <w:rPr>
                <w:color w:val="000000"/>
              </w:rPr>
              <w:t xml:space="preserve">adequate </w:t>
            </w:r>
            <w:r w:rsidR="00153C74">
              <w:rPr>
                <w:color w:val="000000"/>
              </w:rPr>
              <w:t xml:space="preserve">supervision of </w:t>
            </w:r>
            <w:r>
              <w:rPr>
                <w:color w:val="000000"/>
              </w:rPr>
              <w:t>children who are being educated and cared for at the service and on excursions</w:t>
            </w:r>
            <w:r w:rsidR="00153C74">
              <w:rPr>
                <w:color w:val="000000"/>
              </w:rPr>
              <w:t xml:space="preserve"> </w:t>
            </w:r>
            <w:r w:rsidR="00AC693E">
              <w:rPr>
                <w:color w:val="000000"/>
              </w:rPr>
              <w:t>is</w:t>
            </w:r>
            <w:r w:rsidR="00153C74">
              <w:rPr>
                <w:color w:val="000000"/>
              </w:rPr>
              <w:t xml:space="preserve"> maintained at all times. </w:t>
            </w:r>
          </w:p>
          <w:p w14:paraId="434189B7" w14:textId="0B637485" w:rsidR="00364B01" w:rsidRDefault="00364B01" w:rsidP="00364B01">
            <w:pPr>
              <w:pStyle w:val="NormalWeb"/>
              <w:rPr>
                <w:color w:val="000000"/>
              </w:rPr>
            </w:pPr>
            <w:r>
              <w:rPr>
                <w:color w:val="000000"/>
              </w:rPr>
              <w:t xml:space="preserve">Effective and adequate supervision prevents and reduces accidents and incidents through early detection of potential hazards and an awareness of children, and their activities. For more information please read </w:t>
            </w:r>
            <w:hyperlink r:id="rId13" w:history="1">
              <w:r>
                <w:rPr>
                  <w:rStyle w:val="Hyperlink"/>
                </w:rPr>
                <w:t>ACECQA's Active Supervision Information Sheet</w:t>
              </w:r>
            </w:hyperlink>
            <w:r>
              <w:rPr>
                <w:color w:val="000000"/>
              </w:rPr>
              <w:t xml:space="preserve">. </w:t>
            </w:r>
            <w:r w:rsidR="00153C74">
              <w:rPr>
                <w:color w:val="000000"/>
              </w:rPr>
              <w:t xml:space="preserve">Additional resources about effective transitions </w:t>
            </w:r>
            <w:r w:rsidR="00495266">
              <w:rPr>
                <w:color w:val="000000"/>
              </w:rPr>
              <w:t xml:space="preserve">are available </w:t>
            </w:r>
            <w:r w:rsidR="00270F69">
              <w:rPr>
                <w:color w:val="000000"/>
              </w:rPr>
              <w:t xml:space="preserve">on the </w:t>
            </w:r>
            <w:hyperlink r:id="rId14" w:history="1">
              <w:r w:rsidR="0092044D" w:rsidRPr="00981480">
                <w:rPr>
                  <w:rStyle w:val="Hyperlink"/>
                </w:rPr>
                <w:t xml:space="preserve">Be You </w:t>
              </w:r>
              <w:r w:rsidR="00270F69" w:rsidRPr="00981480">
                <w:rPr>
                  <w:rStyle w:val="Hyperlink"/>
                </w:rPr>
                <w:t>website</w:t>
              </w:r>
            </w:hyperlink>
            <w:r w:rsidR="00981480">
              <w:rPr>
                <w:color w:val="000000"/>
              </w:rPr>
              <w:t xml:space="preserve"> </w:t>
            </w:r>
            <w:r w:rsidR="00495266">
              <w:rPr>
                <w:color w:val="000000"/>
              </w:rPr>
              <w:t xml:space="preserve">and </w:t>
            </w:r>
            <w:r w:rsidR="00270F69">
              <w:rPr>
                <w:color w:val="000000"/>
              </w:rPr>
              <w:t xml:space="preserve">in </w:t>
            </w:r>
            <w:hyperlink r:id="rId15" w:history="1">
              <w:r w:rsidR="00495266" w:rsidRPr="00E215C6">
                <w:rPr>
                  <w:rStyle w:val="Hyperlink"/>
                </w:rPr>
                <w:t>Continuity of Learning: a resource to support effective transition to school and school age care</w:t>
              </w:r>
            </w:hyperlink>
            <w:r w:rsidR="002B3626">
              <w:rPr>
                <w:color w:val="000000"/>
              </w:rPr>
              <w:t xml:space="preserve"> document. </w:t>
            </w:r>
          </w:p>
          <w:p w14:paraId="2C629803" w14:textId="4BA6E8C4" w:rsidR="00EE4BD3" w:rsidRPr="00816B52" w:rsidRDefault="00EE4BD3" w:rsidP="00364B01">
            <w:pPr>
              <w:pStyle w:val="NormalWeb"/>
              <w:rPr>
                <w:b/>
                <w:bCs/>
                <w:color w:val="000000"/>
                <w:sz w:val="28"/>
                <w:szCs w:val="28"/>
              </w:rPr>
            </w:pPr>
            <w:r w:rsidRPr="00816B52">
              <w:rPr>
                <w:b/>
                <w:bCs/>
                <w:color w:val="000000"/>
                <w:sz w:val="28"/>
                <w:szCs w:val="28"/>
              </w:rPr>
              <w:t>Educational program</w:t>
            </w:r>
            <w:r w:rsidR="008D2888" w:rsidRPr="00816B52">
              <w:rPr>
                <w:b/>
                <w:bCs/>
                <w:color w:val="000000"/>
                <w:sz w:val="28"/>
                <w:szCs w:val="28"/>
              </w:rPr>
              <w:t>s</w:t>
            </w:r>
            <w:r w:rsidR="00A45971" w:rsidRPr="00816B52">
              <w:rPr>
                <w:b/>
                <w:bCs/>
                <w:color w:val="000000"/>
                <w:sz w:val="28"/>
                <w:szCs w:val="28"/>
              </w:rPr>
              <w:t xml:space="preserve"> and practice </w:t>
            </w:r>
          </w:p>
          <w:p w14:paraId="413E993D" w14:textId="5B0E03E0" w:rsidR="00022AEE" w:rsidRDefault="008D2888" w:rsidP="00022AEE">
            <w:pPr>
              <w:textAlignment w:val="center"/>
              <w:rPr>
                <w:color w:val="000000"/>
                <w:lang w:eastAsia="en-AU"/>
              </w:rPr>
            </w:pPr>
            <w:r w:rsidRPr="00816B52">
              <w:rPr>
                <w:color w:val="000000"/>
                <w:lang w:eastAsia="en-AU"/>
              </w:rPr>
              <w:t>Quality e</w:t>
            </w:r>
            <w:r w:rsidR="00EE4BD3" w:rsidRPr="00816B52">
              <w:rPr>
                <w:color w:val="000000"/>
                <w:lang w:eastAsia="en-AU"/>
              </w:rPr>
              <w:t>ducational program</w:t>
            </w:r>
            <w:r w:rsidRPr="00816B52">
              <w:rPr>
                <w:color w:val="000000"/>
                <w:lang w:eastAsia="en-AU"/>
              </w:rPr>
              <w:t>s</w:t>
            </w:r>
            <w:r w:rsidR="00EE4BD3" w:rsidRPr="00816B52">
              <w:rPr>
                <w:color w:val="000000"/>
                <w:lang w:eastAsia="en-AU"/>
              </w:rPr>
              <w:t xml:space="preserve"> and practice enhance children’s learning and development</w:t>
            </w:r>
            <w:r w:rsidR="00E22F46" w:rsidRPr="00816B52">
              <w:rPr>
                <w:color w:val="000000"/>
                <w:lang w:eastAsia="en-AU"/>
              </w:rPr>
              <w:t xml:space="preserve"> and align</w:t>
            </w:r>
            <w:r w:rsidR="00AC693E">
              <w:rPr>
                <w:color w:val="000000"/>
                <w:lang w:eastAsia="en-AU"/>
              </w:rPr>
              <w:t>s</w:t>
            </w:r>
            <w:r w:rsidR="00E22F46" w:rsidRPr="00816B52">
              <w:rPr>
                <w:color w:val="000000"/>
                <w:lang w:eastAsia="en-AU"/>
              </w:rPr>
              <w:t xml:space="preserve"> with the approved learning frameworks</w:t>
            </w:r>
            <w:r w:rsidR="00816B52" w:rsidRPr="00816B52">
              <w:rPr>
                <w:color w:val="000000"/>
                <w:lang w:eastAsia="en-AU"/>
              </w:rPr>
              <w:t xml:space="preserve"> </w:t>
            </w:r>
            <w:r w:rsidR="00816B52" w:rsidRPr="00D82E43">
              <w:rPr>
                <w:rFonts w:asciiTheme="minorHAnsi" w:hAnsiTheme="minorHAnsi" w:cstheme="minorHAnsi"/>
                <w:color w:val="000000"/>
                <w:lang w:eastAsia="en-AU"/>
              </w:rPr>
              <w:t xml:space="preserve">the </w:t>
            </w:r>
            <w:hyperlink r:id="rId16" w:tgtFrame="_blank" w:history="1">
              <w:r w:rsidR="00D82E43" w:rsidRPr="00911BE0">
                <w:rPr>
                  <w:rFonts w:asciiTheme="minorHAnsi" w:hAnsiTheme="minorHAnsi" w:cstheme="minorHAnsi"/>
                  <w:color w:val="0070C0"/>
                  <w:u w:val="single"/>
                </w:rPr>
                <w:t>Belonging, Being and Becoming: The Early Years Learning Framework for Australia</w:t>
              </w:r>
            </w:hyperlink>
            <w:r w:rsidR="00D82E43" w:rsidRPr="00D82E43">
              <w:rPr>
                <w:rFonts w:asciiTheme="minorHAnsi" w:hAnsiTheme="minorHAnsi" w:cstheme="minorHAnsi"/>
              </w:rPr>
              <w:t xml:space="preserve"> and </w:t>
            </w:r>
            <w:hyperlink r:id="rId17" w:tgtFrame="_blank" w:history="1">
              <w:r w:rsidR="00D82E43" w:rsidRPr="00911BE0">
                <w:rPr>
                  <w:rFonts w:asciiTheme="minorHAnsi" w:hAnsiTheme="minorHAnsi" w:cstheme="minorHAnsi"/>
                  <w:color w:val="0070C0"/>
                  <w:u w:val="single"/>
                </w:rPr>
                <w:t>My Time, Our Place: Framework for School Age Care in Australia</w:t>
              </w:r>
            </w:hyperlink>
            <w:r w:rsidR="00D82E43" w:rsidRPr="00911BE0">
              <w:rPr>
                <w:rFonts w:asciiTheme="minorHAnsi" w:hAnsiTheme="minorHAnsi" w:cstheme="minorHAnsi"/>
                <w:color w:val="0070C0"/>
              </w:rPr>
              <w:t>.</w:t>
            </w:r>
            <w:r w:rsidR="00D82E43" w:rsidRPr="00D82E43">
              <w:rPr>
                <w:rFonts w:asciiTheme="minorHAnsi" w:hAnsiTheme="minorHAnsi" w:cstheme="minorHAnsi"/>
              </w:rPr>
              <w:t xml:space="preserve"> </w:t>
            </w:r>
            <w:r w:rsidR="00E22F46" w:rsidRPr="00816B52">
              <w:rPr>
                <w:color w:val="000000"/>
                <w:lang w:eastAsia="en-AU"/>
              </w:rPr>
              <w:t>The</w:t>
            </w:r>
            <w:r w:rsidR="00FF4093">
              <w:rPr>
                <w:color w:val="000000"/>
                <w:lang w:eastAsia="en-AU"/>
              </w:rPr>
              <w:t xml:space="preserve"> learning f</w:t>
            </w:r>
            <w:r w:rsidR="00E22F46" w:rsidRPr="00816B52">
              <w:rPr>
                <w:color w:val="000000"/>
                <w:lang w:eastAsia="en-AU"/>
              </w:rPr>
              <w:t>ramework</w:t>
            </w:r>
            <w:r w:rsidR="00AC693E">
              <w:rPr>
                <w:color w:val="000000"/>
                <w:lang w:eastAsia="en-AU"/>
              </w:rPr>
              <w:t>s</w:t>
            </w:r>
            <w:r w:rsidR="00E22F46" w:rsidRPr="00816B52">
              <w:rPr>
                <w:color w:val="000000"/>
                <w:lang w:eastAsia="en-AU"/>
              </w:rPr>
              <w:t xml:space="preserve"> form the foundation for ensuring that children in all education and care settings experience quality teaching and learning. </w:t>
            </w:r>
            <w:r w:rsidR="00B02DA2">
              <w:rPr>
                <w:color w:val="000000"/>
                <w:lang w:eastAsia="en-AU"/>
              </w:rPr>
              <w:t>Regulation 75</w:t>
            </w:r>
            <w:r w:rsidR="00565B56">
              <w:rPr>
                <w:color w:val="000000"/>
                <w:lang w:eastAsia="en-AU"/>
              </w:rPr>
              <w:t xml:space="preserve"> </w:t>
            </w:r>
            <w:r w:rsidR="00022AEE">
              <w:rPr>
                <w:color w:val="000000"/>
                <w:lang w:eastAsia="en-AU"/>
              </w:rPr>
              <w:t>requires information</w:t>
            </w:r>
            <w:r w:rsidR="00B02DA2" w:rsidRPr="00B02DA2">
              <w:rPr>
                <w:color w:val="000000"/>
                <w:lang w:eastAsia="en-AU"/>
              </w:rPr>
              <w:t xml:space="preserve"> about</w:t>
            </w:r>
            <w:r w:rsidR="00022AEE">
              <w:rPr>
                <w:color w:val="000000"/>
                <w:lang w:eastAsia="en-AU"/>
              </w:rPr>
              <w:t xml:space="preserve"> the</w:t>
            </w:r>
            <w:r w:rsidR="00B02DA2" w:rsidRPr="00B02DA2">
              <w:rPr>
                <w:color w:val="000000"/>
                <w:lang w:eastAsia="en-AU"/>
              </w:rPr>
              <w:t xml:space="preserve"> educational program </w:t>
            </w:r>
            <w:r w:rsidR="00022AEE">
              <w:rPr>
                <w:color w:val="000000"/>
                <w:lang w:eastAsia="en-AU"/>
              </w:rPr>
              <w:t>to</w:t>
            </w:r>
            <w:r w:rsidR="00565B56">
              <w:rPr>
                <w:color w:val="000000"/>
                <w:lang w:eastAsia="en-AU"/>
              </w:rPr>
              <w:t xml:space="preserve"> available</w:t>
            </w:r>
            <w:r w:rsidR="00CC29FA">
              <w:rPr>
                <w:color w:val="000000"/>
                <w:lang w:eastAsia="en-AU"/>
              </w:rPr>
              <w:t xml:space="preserve">, with the contents and </w:t>
            </w:r>
            <w:r w:rsidR="00B02DA2" w:rsidRPr="00B02DA2">
              <w:rPr>
                <w:color w:val="000000"/>
                <w:lang w:eastAsia="en-AU"/>
              </w:rPr>
              <w:t xml:space="preserve">operation of the educational program </w:t>
            </w:r>
            <w:r w:rsidR="00022AEE">
              <w:rPr>
                <w:color w:val="000000"/>
                <w:lang w:eastAsia="en-AU"/>
              </w:rPr>
              <w:t xml:space="preserve">accessible and </w:t>
            </w:r>
            <w:r w:rsidR="00C1469A">
              <w:rPr>
                <w:color w:val="000000"/>
                <w:lang w:eastAsia="en-AU"/>
              </w:rPr>
              <w:t xml:space="preserve">on display </w:t>
            </w:r>
            <w:r w:rsidR="00022AEE">
              <w:rPr>
                <w:color w:val="000000"/>
                <w:lang w:eastAsia="en-AU"/>
              </w:rPr>
              <w:t xml:space="preserve">for </w:t>
            </w:r>
            <w:r w:rsidR="00C1469A">
              <w:rPr>
                <w:color w:val="000000"/>
                <w:lang w:eastAsia="en-AU"/>
              </w:rPr>
              <w:t xml:space="preserve">families. </w:t>
            </w:r>
          </w:p>
          <w:p w14:paraId="4179A7D4" w14:textId="73284309" w:rsidR="00AB2F9A" w:rsidRPr="00AB2F9A" w:rsidRDefault="00AB2F9A" w:rsidP="00022AEE">
            <w:pPr>
              <w:textAlignment w:val="center"/>
              <w:rPr>
                <w:b/>
                <w:bCs/>
                <w:color w:val="000000"/>
                <w:sz w:val="28"/>
                <w:szCs w:val="28"/>
                <w:lang w:eastAsia="en-AU"/>
              </w:rPr>
            </w:pPr>
          </w:p>
          <w:p w14:paraId="6AA093FF" w14:textId="4D90325D" w:rsidR="00AB2F9A" w:rsidRPr="005D677B" w:rsidRDefault="00AB2F9A" w:rsidP="00022AEE">
            <w:pPr>
              <w:textAlignment w:val="center"/>
              <w:rPr>
                <w:b/>
                <w:bCs/>
                <w:color w:val="000000"/>
                <w:sz w:val="28"/>
                <w:szCs w:val="28"/>
                <w:lang w:val="en-US" w:eastAsia="en-AU"/>
              </w:rPr>
            </w:pPr>
            <w:r>
              <w:rPr>
                <w:b/>
                <w:bCs/>
                <w:color w:val="000000"/>
                <w:sz w:val="28"/>
                <w:szCs w:val="28"/>
                <w:lang w:eastAsia="en-AU"/>
              </w:rPr>
              <w:t>Recording t</w:t>
            </w:r>
            <w:r w:rsidRPr="00AB2F9A">
              <w:rPr>
                <w:b/>
                <w:bCs/>
                <w:color w:val="000000"/>
                <w:sz w:val="28"/>
                <w:szCs w:val="28"/>
                <w:lang w:eastAsia="en-AU"/>
              </w:rPr>
              <w:t xml:space="preserve">ransportation arrangements </w:t>
            </w:r>
            <w:r w:rsidR="00911BE0">
              <w:rPr>
                <w:b/>
                <w:bCs/>
                <w:color w:val="000000"/>
                <w:sz w:val="28"/>
                <w:szCs w:val="28"/>
                <w:lang w:eastAsia="en-AU"/>
              </w:rPr>
              <w:t>in NQAITS</w:t>
            </w:r>
          </w:p>
          <w:p w14:paraId="2E368DCF" w14:textId="7DEB0800" w:rsidR="00AC6182" w:rsidRDefault="00AC6182" w:rsidP="00022AEE">
            <w:pPr>
              <w:textAlignment w:val="center"/>
              <w:rPr>
                <w:color w:val="000000"/>
                <w:lang w:eastAsia="en-AU"/>
              </w:rPr>
            </w:pPr>
          </w:p>
          <w:p w14:paraId="4BA8823D" w14:textId="4CF62DF7" w:rsidR="00EE1D82" w:rsidRPr="005D677B" w:rsidRDefault="00761461" w:rsidP="00EE1D82">
            <w:pPr>
              <w:pStyle w:val="Heading3"/>
              <w:spacing w:line="276" w:lineRule="auto"/>
              <w:rPr>
                <w:rFonts w:ascii="Calibri" w:eastAsiaTheme="minorHAnsi" w:hAnsi="Calibri" w:cs="Calibri"/>
                <w:color w:val="000000"/>
                <w:sz w:val="22"/>
                <w:szCs w:val="22"/>
                <w:lang w:eastAsia="en-AU"/>
              </w:rPr>
            </w:pPr>
            <w:r w:rsidRPr="005D677B">
              <w:rPr>
                <w:rFonts w:ascii="Calibri" w:eastAsiaTheme="minorHAnsi" w:hAnsi="Calibri" w:cs="Calibri"/>
                <w:color w:val="000000"/>
                <w:sz w:val="22"/>
                <w:szCs w:val="22"/>
                <w:lang w:eastAsia="en-AU"/>
              </w:rPr>
              <w:t xml:space="preserve">Additional </w:t>
            </w:r>
            <w:hyperlink r:id="rId18" w:history="1">
              <w:r w:rsidRPr="00A83611">
                <w:rPr>
                  <w:rStyle w:val="Hyperlink"/>
                  <w:rFonts w:ascii="Calibri" w:eastAsiaTheme="minorHAnsi" w:hAnsi="Calibri" w:cs="Calibri"/>
                  <w:sz w:val="22"/>
                  <w:szCs w:val="22"/>
                  <w:lang w:eastAsia="en-AU"/>
                </w:rPr>
                <w:t>s</w:t>
              </w:r>
              <w:r w:rsidR="00EE1D82" w:rsidRPr="00A83611">
                <w:rPr>
                  <w:rStyle w:val="Hyperlink"/>
                  <w:rFonts w:ascii="Calibri" w:eastAsiaTheme="minorHAnsi" w:hAnsi="Calibri" w:cs="Calibri"/>
                  <w:sz w:val="22"/>
                  <w:szCs w:val="22"/>
                  <w:lang w:eastAsia="en-AU"/>
                </w:rPr>
                <w:t>afe transportation of children requirements</w:t>
              </w:r>
            </w:hyperlink>
            <w:r w:rsidRPr="005D677B">
              <w:rPr>
                <w:rFonts w:ascii="Calibri" w:eastAsiaTheme="minorHAnsi" w:hAnsi="Calibri" w:cs="Calibri"/>
                <w:color w:val="000000"/>
                <w:sz w:val="22"/>
                <w:szCs w:val="22"/>
                <w:lang w:eastAsia="en-AU"/>
              </w:rPr>
              <w:t xml:space="preserve"> ca</w:t>
            </w:r>
            <w:r w:rsidR="005D677B">
              <w:rPr>
                <w:rFonts w:ascii="Calibri" w:eastAsiaTheme="minorHAnsi" w:hAnsi="Calibri" w:cs="Calibri"/>
                <w:color w:val="000000"/>
                <w:sz w:val="22"/>
                <w:szCs w:val="22"/>
                <w:lang w:eastAsia="en-AU"/>
              </w:rPr>
              <w:t>me</w:t>
            </w:r>
            <w:r w:rsidRPr="005D677B">
              <w:rPr>
                <w:rFonts w:ascii="Calibri" w:eastAsiaTheme="minorHAnsi" w:hAnsi="Calibri" w:cs="Calibri"/>
                <w:color w:val="000000"/>
                <w:sz w:val="22"/>
                <w:szCs w:val="22"/>
                <w:lang w:eastAsia="en-AU"/>
              </w:rPr>
              <w:t xml:space="preserve"> into effect on </w:t>
            </w:r>
            <w:r w:rsidR="00EE1D82" w:rsidRPr="005D677B">
              <w:rPr>
                <w:rFonts w:ascii="Calibri" w:eastAsiaTheme="minorHAnsi" w:hAnsi="Calibri" w:cs="Calibri"/>
                <w:color w:val="000000"/>
                <w:sz w:val="22"/>
                <w:szCs w:val="22"/>
                <w:lang w:eastAsia="en-AU"/>
              </w:rPr>
              <w:t>1 October 2020</w:t>
            </w:r>
            <w:r w:rsidRPr="005D677B">
              <w:rPr>
                <w:rFonts w:ascii="Calibri" w:eastAsiaTheme="minorHAnsi" w:hAnsi="Calibri" w:cs="Calibri"/>
                <w:color w:val="000000"/>
                <w:sz w:val="22"/>
                <w:szCs w:val="22"/>
                <w:lang w:eastAsia="en-AU"/>
              </w:rPr>
              <w:t>. Providers and services</w:t>
            </w:r>
            <w:r w:rsidR="00513ED5" w:rsidRPr="00513ED5">
              <w:rPr>
                <w:rFonts w:ascii="Calibri" w:eastAsiaTheme="minorHAnsi" w:hAnsi="Calibri" w:cs="Calibri"/>
                <w:color w:val="000000"/>
                <w:sz w:val="22"/>
                <w:szCs w:val="22"/>
                <w:lang w:eastAsia="en-AU"/>
              </w:rPr>
              <w:t xml:space="preserve"> are required to notify the Regulatory Authority if they are providing transport by using an SA12 form change of information about an Approved Service.</w:t>
            </w:r>
            <w:r w:rsidR="00A96B24">
              <w:rPr>
                <w:rFonts w:ascii="Calibri" w:eastAsiaTheme="minorHAnsi" w:hAnsi="Calibri" w:cs="Calibri"/>
                <w:color w:val="000000"/>
                <w:sz w:val="22"/>
                <w:szCs w:val="22"/>
                <w:lang w:eastAsia="en-AU"/>
              </w:rPr>
              <w:t xml:space="preserve"> Provider and Services can </w:t>
            </w:r>
            <w:r w:rsidRPr="005D677B">
              <w:rPr>
                <w:rFonts w:ascii="Calibri" w:eastAsiaTheme="minorHAnsi" w:hAnsi="Calibri" w:cs="Calibri"/>
                <w:color w:val="000000"/>
                <w:sz w:val="22"/>
                <w:szCs w:val="22"/>
                <w:lang w:eastAsia="en-AU"/>
              </w:rPr>
              <w:t>update their transportation services status using</w:t>
            </w:r>
            <w:r w:rsidR="005D677B" w:rsidRPr="005D677B">
              <w:rPr>
                <w:rFonts w:ascii="Calibri" w:eastAsiaTheme="minorHAnsi" w:hAnsi="Calibri" w:cs="Calibri"/>
                <w:color w:val="000000"/>
                <w:sz w:val="22"/>
                <w:szCs w:val="22"/>
                <w:lang w:eastAsia="en-AU"/>
              </w:rPr>
              <w:t xml:space="preserve"> the</w:t>
            </w:r>
            <w:r w:rsidRPr="005D677B">
              <w:rPr>
                <w:rFonts w:ascii="Calibri" w:eastAsiaTheme="minorHAnsi" w:hAnsi="Calibri" w:cs="Calibri"/>
                <w:color w:val="000000"/>
                <w:sz w:val="22"/>
                <w:szCs w:val="22"/>
                <w:lang w:eastAsia="en-AU"/>
              </w:rPr>
              <w:t xml:space="preserve"> NQAITS. </w:t>
            </w:r>
          </w:p>
          <w:p w14:paraId="4B037FCD" w14:textId="77777777" w:rsidR="00EE4BD3" w:rsidRPr="001762B3" w:rsidRDefault="00EE4BD3" w:rsidP="000A285A">
            <w:pPr>
              <w:textAlignment w:val="center"/>
              <w:rPr>
                <w:rFonts w:asciiTheme="minorHAnsi" w:hAnsiTheme="minorHAnsi" w:cstheme="minorHAnsi"/>
                <w:position w:val="17"/>
                <w:sz w:val="24"/>
                <w:szCs w:val="24"/>
                <w:lang w:eastAsia="en-AU"/>
              </w:rPr>
            </w:pPr>
          </w:p>
          <w:p w14:paraId="634DA1BB" w14:textId="77777777" w:rsidR="00C17C4E" w:rsidRPr="001762B3" w:rsidRDefault="00C17C4E" w:rsidP="000A285A">
            <w:pPr>
              <w:jc w:val="center"/>
              <w:rPr>
                <w:rFonts w:asciiTheme="minorHAnsi" w:hAnsiTheme="minorHAnsi" w:cstheme="minorHAnsi"/>
              </w:rPr>
            </w:pPr>
            <w:r w:rsidRPr="001762B3">
              <w:rPr>
                <w:rFonts w:asciiTheme="minorHAnsi" w:hAnsiTheme="minorHAnsi" w:cstheme="minorHAnsi"/>
                <w:color w:val="000000"/>
                <w:lang w:eastAsia="en-AU"/>
              </w:rPr>
              <w:t xml:space="preserve">For enquires in relation to this notification please call CECA on (02) 6207 1114 or email </w:t>
            </w:r>
            <w:hyperlink r:id="rId19" w:history="1">
              <w:r w:rsidRPr="001762B3">
                <w:rPr>
                  <w:rStyle w:val="Hyperlink"/>
                  <w:rFonts w:asciiTheme="minorHAnsi" w:hAnsiTheme="minorHAnsi" w:cstheme="minorHAnsi"/>
                  <w:color w:val="2E75B6"/>
                  <w:lang w:val="en-US" w:eastAsia="en-AU"/>
                </w:rPr>
                <w:t>CECA@act.gov.au</w:t>
              </w:r>
            </w:hyperlink>
          </w:p>
          <w:p w14:paraId="34426E02" w14:textId="77777777" w:rsidR="00C17C4E" w:rsidRPr="001762B3" w:rsidRDefault="00C17C4E" w:rsidP="000A285A">
            <w:pPr>
              <w:rPr>
                <w:rFonts w:asciiTheme="minorHAnsi" w:hAnsiTheme="minorHAnsi" w:cstheme="minorHAnsi"/>
              </w:rPr>
            </w:pPr>
          </w:p>
          <w:p w14:paraId="73830BDB" w14:textId="77777777" w:rsidR="00C17C4E" w:rsidRPr="001762B3" w:rsidRDefault="00C17C4E" w:rsidP="000A285A">
            <w:pPr>
              <w:jc w:val="center"/>
              <w:rPr>
                <w:rFonts w:asciiTheme="minorHAnsi" w:hAnsiTheme="minorHAnsi" w:cstheme="minorHAnsi"/>
                <w:color w:val="000000"/>
                <w:lang w:eastAsia="en-AU"/>
              </w:rPr>
            </w:pPr>
            <w:r w:rsidRPr="001762B3">
              <w:rPr>
                <w:rFonts w:asciiTheme="minorHAnsi" w:hAnsiTheme="minorHAnsi" w:cstheme="minorHAnsi"/>
                <w:color w:val="767171"/>
                <w:lang w:eastAsia="en-AU"/>
              </w:rPr>
              <w:t>This email has been authorised by the ACT Regulatory Authority (CECA). CECA are responsible for administering the National Quality Framework within the ACT</w:t>
            </w:r>
          </w:p>
        </w:tc>
      </w:tr>
    </w:tbl>
    <w:p w14:paraId="69B5CA2D" w14:textId="77777777" w:rsidR="00C17C4E" w:rsidRPr="001762B3" w:rsidRDefault="00C17C4E" w:rsidP="000A285A">
      <w:pPr>
        <w:rPr>
          <w:rFonts w:asciiTheme="minorHAnsi" w:hAnsiTheme="minorHAnsi" w:cstheme="minorHAnsi"/>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C17C4E" w:rsidRPr="001762B3" w14:paraId="09A845B9" w14:textId="77777777" w:rsidTr="00C17C4E">
        <w:trPr>
          <w:tblCellSpacing w:w="0" w:type="dxa"/>
          <w:jc w:val="center"/>
        </w:trPr>
        <w:tc>
          <w:tcPr>
            <w:tcW w:w="0" w:type="auto"/>
            <w:shd w:val="clear" w:color="auto" w:fill="5C5C5C"/>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4195"/>
              <w:gridCol w:w="11"/>
              <w:gridCol w:w="6294"/>
            </w:tblGrid>
            <w:tr w:rsidR="00C17C4E" w:rsidRPr="001762B3" w14:paraId="49A7C6AE" w14:textId="77777777">
              <w:trPr>
                <w:gridAfter w:val="2"/>
                <w:tblCellSpacing w:w="0" w:type="dxa"/>
                <w:jc w:val="center"/>
              </w:trPr>
              <w:tc>
                <w:tcPr>
                  <w:tcW w:w="0" w:type="auto"/>
                  <w:shd w:val="clear" w:color="auto" w:fill="5C5C5C"/>
                  <w:vAlign w:val="center"/>
                  <w:hideMark/>
                </w:tcPr>
                <w:p w14:paraId="7E1A1515" w14:textId="77777777" w:rsidR="00C17C4E" w:rsidRPr="001762B3" w:rsidRDefault="00C17C4E" w:rsidP="000A285A">
                  <w:pPr>
                    <w:rPr>
                      <w:rFonts w:asciiTheme="minorHAnsi" w:hAnsiTheme="minorHAnsi" w:cstheme="minorHAnsi"/>
                    </w:rPr>
                  </w:pPr>
                </w:p>
              </w:tc>
            </w:tr>
            <w:tr w:rsidR="00C17C4E" w:rsidRPr="001762B3" w14:paraId="7677F70E" w14:textId="77777777">
              <w:trPr>
                <w:tblCellSpacing w:w="0" w:type="dxa"/>
                <w:jc w:val="center"/>
              </w:trPr>
              <w:tc>
                <w:tcPr>
                  <w:tcW w:w="0" w:type="auto"/>
                  <w:shd w:val="clear" w:color="auto" w:fill="5C5C5C"/>
                  <w:tcMar>
                    <w:top w:w="120" w:type="dxa"/>
                    <w:left w:w="630" w:type="dxa"/>
                    <w:bottom w:w="120" w:type="dxa"/>
                    <w:right w:w="0" w:type="dxa"/>
                  </w:tcMar>
                  <w:vAlign w:val="center"/>
                  <w:hideMark/>
                </w:tcPr>
                <w:p w14:paraId="447DEB62" w14:textId="77777777" w:rsidR="00C17C4E" w:rsidRPr="001762B3" w:rsidRDefault="00C17C4E" w:rsidP="000A285A">
                  <w:pPr>
                    <w:spacing w:before="100" w:beforeAutospacing="1" w:after="100" w:afterAutospacing="1"/>
                    <w:rPr>
                      <w:rFonts w:asciiTheme="minorHAnsi" w:hAnsiTheme="minorHAnsi" w:cstheme="minorHAnsi"/>
                      <w:color w:val="FFFFFF"/>
                      <w:sz w:val="20"/>
                      <w:szCs w:val="20"/>
                      <w:lang w:eastAsia="en-AU"/>
                    </w:rPr>
                  </w:pPr>
                  <w:r w:rsidRPr="001762B3">
                    <w:rPr>
                      <w:rFonts w:asciiTheme="minorHAnsi" w:hAnsiTheme="minorHAnsi" w:cstheme="minorHAnsi"/>
                      <w:noProof/>
                      <w:color w:val="0000FF"/>
                      <w:sz w:val="20"/>
                      <w:szCs w:val="20"/>
                      <w:lang w:eastAsia="en-AU"/>
                    </w:rPr>
                    <w:drawing>
                      <wp:inline distT="0" distB="0" distL="0" distR="0" wp14:anchorId="47687E0C" wp14:editId="0EB87E8F">
                        <wp:extent cx="1085850" cy="352425"/>
                        <wp:effectExtent l="0" t="0" r="0" b="0"/>
                        <wp:docPr id="2" name="Picture 2"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14:paraId="2DBBF734" w14:textId="77777777" w:rsidR="00C17C4E" w:rsidRPr="001762B3" w:rsidRDefault="00C17C4E" w:rsidP="000A285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14:paraId="1F074F3F" w14:textId="77777777" w:rsidR="00C17C4E" w:rsidRPr="001762B3" w:rsidRDefault="00C17C4E" w:rsidP="000A285A">
                  <w:pPr>
                    <w:jc w:val="right"/>
                    <w:rPr>
                      <w:rFonts w:asciiTheme="minorHAnsi" w:hAnsiTheme="minorHAnsi" w:cstheme="minorHAnsi"/>
                      <w:color w:val="333132"/>
                    </w:rPr>
                  </w:pPr>
                  <w:r w:rsidRPr="001762B3">
                    <w:rPr>
                      <w:rFonts w:asciiTheme="minorHAnsi" w:hAnsiTheme="minorHAnsi" w:cstheme="minorHAnsi"/>
                      <w:noProof/>
                      <w:color w:val="333132"/>
                    </w:rPr>
                    <w:drawing>
                      <wp:inline distT="0" distB="0" distL="0" distR="0" wp14:anchorId="56DBF283" wp14:editId="4EF37F21">
                        <wp:extent cx="1895475" cy="647700"/>
                        <wp:effectExtent l="0" t="0" r="0" b="0"/>
                        <wp:docPr id="1" name="Picture 1"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inline>
                    </w:drawing>
                  </w:r>
                </w:p>
              </w:tc>
            </w:tr>
          </w:tbl>
          <w:p w14:paraId="734DC5C0" w14:textId="77777777" w:rsidR="00C17C4E" w:rsidRPr="001762B3" w:rsidRDefault="00C17C4E" w:rsidP="000A285A">
            <w:pPr>
              <w:jc w:val="center"/>
              <w:rPr>
                <w:rFonts w:asciiTheme="minorHAnsi" w:eastAsia="Times New Roman" w:hAnsiTheme="minorHAnsi" w:cstheme="minorHAnsi"/>
                <w:sz w:val="20"/>
                <w:szCs w:val="20"/>
                <w:lang w:eastAsia="en-AU"/>
              </w:rPr>
            </w:pPr>
          </w:p>
        </w:tc>
      </w:tr>
    </w:tbl>
    <w:p w14:paraId="17877E23" w14:textId="77777777" w:rsidR="00C17C4E" w:rsidRPr="001762B3" w:rsidRDefault="00C17C4E" w:rsidP="000A285A">
      <w:pPr>
        <w:rPr>
          <w:rFonts w:asciiTheme="minorHAnsi" w:hAnsiTheme="minorHAnsi" w:cstheme="minorHAnsi"/>
        </w:rPr>
      </w:pPr>
    </w:p>
    <w:p w14:paraId="43FEB378" w14:textId="77777777" w:rsidR="00C17C4E" w:rsidRPr="001762B3" w:rsidRDefault="00C17C4E" w:rsidP="000A285A">
      <w:pPr>
        <w:rPr>
          <w:rFonts w:asciiTheme="minorHAnsi" w:hAnsiTheme="minorHAnsi" w:cstheme="minorHAnsi"/>
        </w:rPr>
      </w:pPr>
    </w:p>
    <w:p w14:paraId="1D37E99F" w14:textId="77777777" w:rsidR="001C49DD" w:rsidRPr="001762B3" w:rsidRDefault="001C49DD" w:rsidP="000A285A">
      <w:pPr>
        <w:rPr>
          <w:rFonts w:asciiTheme="minorHAnsi" w:hAnsiTheme="minorHAnsi" w:cstheme="minorHAnsi"/>
        </w:rPr>
      </w:pPr>
    </w:p>
    <w:sectPr w:rsidR="001C49DD" w:rsidRPr="00176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82FD" w14:textId="77777777" w:rsidR="0027665D" w:rsidRDefault="0027665D" w:rsidP="0027665D">
      <w:r>
        <w:separator/>
      </w:r>
    </w:p>
  </w:endnote>
  <w:endnote w:type="continuationSeparator" w:id="0">
    <w:p w14:paraId="7A0F2907" w14:textId="77777777" w:rsidR="0027665D" w:rsidRDefault="0027665D" w:rsidP="0027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A3C62" w14:textId="77777777" w:rsidR="0027665D" w:rsidRDefault="0027665D" w:rsidP="0027665D">
      <w:r>
        <w:separator/>
      </w:r>
    </w:p>
  </w:footnote>
  <w:footnote w:type="continuationSeparator" w:id="0">
    <w:p w14:paraId="5D08E043" w14:textId="77777777" w:rsidR="0027665D" w:rsidRDefault="0027665D" w:rsidP="0027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45B"/>
    <w:multiLevelType w:val="hybridMultilevel"/>
    <w:tmpl w:val="873C717C"/>
    <w:lvl w:ilvl="0" w:tplc="0C09000F">
      <w:start w:val="1"/>
      <w:numFmt w:val="decimal"/>
      <w:lvlText w:val="%1."/>
      <w:lvlJc w:val="left"/>
      <w:pPr>
        <w:ind w:left="1274" w:hanging="360"/>
      </w:pPr>
      <w:rPr>
        <w:rFonts w:hint="default"/>
      </w:rPr>
    </w:lvl>
    <w:lvl w:ilvl="1" w:tplc="0C090003" w:tentative="1">
      <w:start w:val="1"/>
      <w:numFmt w:val="bullet"/>
      <w:lvlText w:val="o"/>
      <w:lvlJc w:val="left"/>
      <w:pPr>
        <w:ind w:left="1994" w:hanging="360"/>
      </w:pPr>
      <w:rPr>
        <w:rFonts w:ascii="Courier New" w:hAnsi="Courier New" w:cs="Courier New" w:hint="default"/>
      </w:rPr>
    </w:lvl>
    <w:lvl w:ilvl="2" w:tplc="0C090005" w:tentative="1">
      <w:start w:val="1"/>
      <w:numFmt w:val="bullet"/>
      <w:lvlText w:val=""/>
      <w:lvlJc w:val="left"/>
      <w:pPr>
        <w:ind w:left="2714" w:hanging="360"/>
      </w:pPr>
      <w:rPr>
        <w:rFonts w:ascii="Wingdings" w:hAnsi="Wingdings" w:hint="default"/>
      </w:rPr>
    </w:lvl>
    <w:lvl w:ilvl="3" w:tplc="0C090001" w:tentative="1">
      <w:start w:val="1"/>
      <w:numFmt w:val="bullet"/>
      <w:lvlText w:val=""/>
      <w:lvlJc w:val="left"/>
      <w:pPr>
        <w:ind w:left="3434" w:hanging="360"/>
      </w:pPr>
      <w:rPr>
        <w:rFonts w:ascii="Symbol" w:hAnsi="Symbol" w:hint="default"/>
      </w:rPr>
    </w:lvl>
    <w:lvl w:ilvl="4" w:tplc="0C090003" w:tentative="1">
      <w:start w:val="1"/>
      <w:numFmt w:val="bullet"/>
      <w:lvlText w:val="o"/>
      <w:lvlJc w:val="left"/>
      <w:pPr>
        <w:ind w:left="4154" w:hanging="360"/>
      </w:pPr>
      <w:rPr>
        <w:rFonts w:ascii="Courier New" w:hAnsi="Courier New" w:cs="Courier New" w:hint="default"/>
      </w:rPr>
    </w:lvl>
    <w:lvl w:ilvl="5" w:tplc="0C090005" w:tentative="1">
      <w:start w:val="1"/>
      <w:numFmt w:val="bullet"/>
      <w:lvlText w:val=""/>
      <w:lvlJc w:val="left"/>
      <w:pPr>
        <w:ind w:left="4874" w:hanging="360"/>
      </w:pPr>
      <w:rPr>
        <w:rFonts w:ascii="Wingdings" w:hAnsi="Wingdings" w:hint="default"/>
      </w:rPr>
    </w:lvl>
    <w:lvl w:ilvl="6" w:tplc="0C090001" w:tentative="1">
      <w:start w:val="1"/>
      <w:numFmt w:val="bullet"/>
      <w:lvlText w:val=""/>
      <w:lvlJc w:val="left"/>
      <w:pPr>
        <w:ind w:left="5594" w:hanging="360"/>
      </w:pPr>
      <w:rPr>
        <w:rFonts w:ascii="Symbol" w:hAnsi="Symbol" w:hint="default"/>
      </w:rPr>
    </w:lvl>
    <w:lvl w:ilvl="7" w:tplc="0C090003" w:tentative="1">
      <w:start w:val="1"/>
      <w:numFmt w:val="bullet"/>
      <w:lvlText w:val="o"/>
      <w:lvlJc w:val="left"/>
      <w:pPr>
        <w:ind w:left="6314" w:hanging="360"/>
      </w:pPr>
      <w:rPr>
        <w:rFonts w:ascii="Courier New" w:hAnsi="Courier New" w:cs="Courier New" w:hint="default"/>
      </w:rPr>
    </w:lvl>
    <w:lvl w:ilvl="8" w:tplc="0C090005" w:tentative="1">
      <w:start w:val="1"/>
      <w:numFmt w:val="bullet"/>
      <w:lvlText w:val=""/>
      <w:lvlJc w:val="left"/>
      <w:pPr>
        <w:ind w:left="7034" w:hanging="360"/>
      </w:pPr>
      <w:rPr>
        <w:rFonts w:ascii="Wingdings" w:hAnsi="Wingdings" w:hint="default"/>
      </w:rPr>
    </w:lvl>
  </w:abstractNum>
  <w:abstractNum w:abstractNumId="1" w15:restartNumberingAfterBreak="0">
    <w:nsid w:val="2547611E"/>
    <w:multiLevelType w:val="hybridMultilevel"/>
    <w:tmpl w:val="03263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403F43"/>
    <w:multiLevelType w:val="hybridMultilevel"/>
    <w:tmpl w:val="7BF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B1805"/>
    <w:multiLevelType w:val="multilevel"/>
    <w:tmpl w:val="5DB8C1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51E57D16"/>
    <w:multiLevelType w:val="hybridMultilevel"/>
    <w:tmpl w:val="EBEE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0C0A42"/>
    <w:multiLevelType w:val="hybridMultilevel"/>
    <w:tmpl w:val="873C717C"/>
    <w:lvl w:ilvl="0" w:tplc="0C09000F">
      <w:start w:val="1"/>
      <w:numFmt w:val="decimal"/>
      <w:lvlText w:val="%1."/>
      <w:lvlJc w:val="left"/>
      <w:pPr>
        <w:ind w:left="1274" w:hanging="360"/>
      </w:pPr>
      <w:rPr>
        <w:rFonts w:hint="default"/>
      </w:rPr>
    </w:lvl>
    <w:lvl w:ilvl="1" w:tplc="0C090003" w:tentative="1">
      <w:start w:val="1"/>
      <w:numFmt w:val="bullet"/>
      <w:lvlText w:val="o"/>
      <w:lvlJc w:val="left"/>
      <w:pPr>
        <w:ind w:left="1994" w:hanging="360"/>
      </w:pPr>
      <w:rPr>
        <w:rFonts w:ascii="Courier New" w:hAnsi="Courier New" w:cs="Courier New" w:hint="default"/>
      </w:rPr>
    </w:lvl>
    <w:lvl w:ilvl="2" w:tplc="0C090005" w:tentative="1">
      <w:start w:val="1"/>
      <w:numFmt w:val="bullet"/>
      <w:lvlText w:val=""/>
      <w:lvlJc w:val="left"/>
      <w:pPr>
        <w:ind w:left="2714" w:hanging="360"/>
      </w:pPr>
      <w:rPr>
        <w:rFonts w:ascii="Wingdings" w:hAnsi="Wingdings" w:hint="default"/>
      </w:rPr>
    </w:lvl>
    <w:lvl w:ilvl="3" w:tplc="0C090001" w:tentative="1">
      <w:start w:val="1"/>
      <w:numFmt w:val="bullet"/>
      <w:lvlText w:val=""/>
      <w:lvlJc w:val="left"/>
      <w:pPr>
        <w:ind w:left="3434" w:hanging="360"/>
      </w:pPr>
      <w:rPr>
        <w:rFonts w:ascii="Symbol" w:hAnsi="Symbol" w:hint="default"/>
      </w:rPr>
    </w:lvl>
    <w:lvl w:ilvl="4" w:tplc="0C090003" w:tentative="1">
      <w:start w:val="1"/>
      <w:numFmt w:val="bullet"/>
      <w:lvlText w:val="o"/>
      <w:lvlJc w:val="left"/>
      <w:pPr>
        <w:ind w:left="4154" w:hanging="360"/>
      </w:pPr>
      <w:rPr>
        <w:rFonts w:ascii="Courier New" w:hAnsi="Courier New" w:cs="Courier New" w:hint="default"/>
      </w:rPr>
    </w:lvl>
    <w:lvl w:ilvl="5" w:tplc="0C090005" w:tentative="1">
      <w:start w:val="1"/>
      <w:numFmt w:val="bullet"/>
      <w:lvlText w:val=""/>
      <w:lvlJc w:val="left"/>
      <w:pPr>
        <w:ind w:left="4874" w:hanging="360"/>
      </w:pPr>
      <w:rPr>
        <w:rFonts w:ascii="Wingdings" w:hAnsi="Wingdings" w:hint="default"/>
      </w:rPr>
    </w:lvl>
    <w:lvl w:ilvl="6" w:tplc="0C090001" w:tentative="1">
      <w:start w:val="1"/>
      <w:numFmt w:val="bullet"/>
      <w:lvlText w:val=""/>
      <w:lvlJc w:val="left"/>
      <w:pPr>
        <w:ind w:left="5594" w:hanging="360"/>
      </w:pPr>
      <w:rPr>
        <w:rFonts w:ascii="Symbol" w:hAnsi="Symbol" w:hint="default"/>
      </w:rPr>
    </w:lvl>
    <w:lvl w:ilvl="7" w:tplc="0C090003" w:tentative="1">
      <w:start w:val="1"/>
      <w:numFmt w:val="bullet"/>
      <w:lvlText w:val="o"/>
      <w:lvlJc w:val="left"/>
      <w:pPr>
        <w:ind w:left="6314" w:hanging="360"/>
      </w:pPr>
      <w:rPr>
        <w:rFonts w:ascii="Courier New" w:hAnsi="Courier New" w:cs="Courier New" w:hint="default"/>
      </w:rPr>
    </w:lvl>
    <w:lvl w:ilvl="8" w:tplc="0C090005" w:tentative="1">
      <w:start w:val="1"/>
      <w:numFmt w:val="bullet"/>
      <w:lvlText w:val=""/>
      <w:lvlJc w:val="left"/>
      <w:pPr>
        <w:ind w:left="7034" w:hanging="360"/>
      </w:pPr>
      <w:rPr>
        <w:rFonts w:ascii="Wingdings" w:hAnsi="Wingdings" w:hint="default"/>
      </w:rPr>
    </w:lvl>
  </w:abstractNum>
  <w:num w:numId="1">
    <w:abstractNumId w:val="1"/>
  </w:num>
  <w:num w:numId="2">
    <w:abstractNumId w:val="2"/>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17C4E"/>
    <w:rsid w:val="00010D57"/>
    <w:rsid w:val="00022AEE"/>
    <w:rsid w:val="00033464"/>
    <w:rsid w:val="00036C3F"/>
    <w:rsid w:val="00045A3F"/>
    <w:rsid w:val="00056109"/>
    <w:rsid w:val="000731E8"/>
    <w:rsid w:val="00091647"/>
    <w:rsid w:val="000A285A"/>
    <w:rsid w:val="000B63F4"/>
    <w:rsid w:val="000E09C0"/>
    <w:rsid w:val="000E217C"/>
    <w:rsid w:val="000E2BB8"/>
    <w:rsid w:val="000E58F9"/>
    <w:rsid w:val="000F0EB5"/>
    <w:rsid w:val="000F6A3F"/>
    <w:rsid w:val="001018C5"/>
    <w:rsid w:val="00104508"/>
    <w:rsid w:val="0013728E"/>
    <w:rsid w:val="00153C74"/>
    <w:rsid w:val="001762B3"/>
    <w:rsid w:val="00185CCD"/>
    <w:rsid w:val="001A6CA8"/>
    <w:rsid w:val="001C1C25"/>
    <w:rsid w:val="001C49DD"/>
    <w:rsid w:val="001C7286"/>
    <w:rsid w:val="001C7AB6"/>
    <w:rsid w:val="001D5486"/>
    <w:rsid w:val="001E4B11"/>
    <w:rsid w:val="001F498E"/>
    <w:rsid w:val="002017A5"/>
    <w:rsid w:val="00221FD5"/>
    <w:rsid w:val="00230C96"/>
    <w:rsid w:val="00270F69"/>
    <w:rsid w:val="00271615"/>
    <w:rsid w:val="0027665D"/>
    <w:rsid w:val="00277FAC"/>
    <w:rsid w:val="002A3599"/>
    <w:rsid w:val="002B3626"/>
    <w:rsid w:val="002F12FF"/>
    <w:rsid w:val="002F789A"/>
    <w:rsid w:val="003313FC"/>
    <w:rsid w:val="003345EF"/>
    <w:rsid w:val="00334706"/>
    <w:rsid w:val="00344726"/>
    <w:rsid w:val="0036184E"/>
    <w:rsid w:val="00364B01"/>
    <w:rsid w:val="00372950"/>
    <w:rsid w:val="00380DFB"/>
    <w:rsid w:val="00381484"/>
    <w:rsid w:val="0039529F"/>
    <w:rsid w:val="003977BB"/>
    <w:rsid w:val="003A05F4"/>
    <w:rsid w:val="003A38F7"/>
    <w:rsid w:val="003B7E87"/>
    <w:rsid w:val="003C1DA5"/>
    <w:rsid w:val="003D3FCB"/>
    <w:rsid w:val="00422453"/>
    <w:rsid w:val="004317A0"/>
    <w:rsid w:val="00445660"/>
    <w:rsid w:val="004543D2"/>
    <w:rsid w:val="0045537A"/>
    <w:rsid w:val="00455F73"/>
    <w:rsid w:val="00456FC2"/>
    <w:rsid w:val="00485E17"/>
    <w:rsid w:val="00493D98"/>
    <w:rsid w:val="00495266"/>
    <w:rsid w:val="004B1635"/>
    <w:rsid w:val="004B2B8D"/>
    <w:rsid w:val="004C3E62"/>
    <w:rsid w:val="004D7B8B"/>
    <w:rsid w:val="004E26A7"/>
    <w:rsid w:val="00513ED5"/>
    <w:rsid w:val="00532B3D"/>
    <w:rsid w:val="00536ADB"/>
    <w:rsid w:val="00565B56"/>
    <w:rsid w:val="00571FA6"/>
    <w:rsid w:val="005915C9"/>
    <w:rsid w:val="005A0D6B"/>
    <w:rsid w:val="005A774B"/>
    <w:rsid w:val="005B7487"/>
    <w:rsid w:val="005C5022"/>
    <w:rsid w:val="005D677B"/>
    <w:rsid w:val="006341A2"/>
    <w:rsid w:val="00654C22"/>
    <w:rsid w:val="0066119C"/>
    <w:rsid w:val="00677E47"/>
    <w:rsid w:val="00694CF8"/>
    <w:rsid w:val="006A5973"/>
    <w:rsid w:val="006C5611"/>
    <w:rsid w:val="006F67CB"/>
    <w:rsid w:val="00715461"/>
    <w:rsid w:val="00727722"/>
    <w:rsid w:val="007319D7"/>
    <w:rsid w:val="0074373C"/>
    <w:rsid w:val="00745DF0"/>
    <w:rsid w:val="00761461"/>
    <w:rsid w:val="00794F2B"/>
    <w:rsid w:val="007A1381"/>
    <w:rsid w:val="007A3D8D"/>
    <w:rsid w:val="007A3F1B"/>
    <w:rsid w:val="007B153E"/>
    <w:rsid w:val="007E0176"/>
    <w:rsid w:val="008020D7"/>
    <w:rsid w:val="00814577"/>
    <w:rsid w:val="00816B52"/>
    <w:rsid w:val="008336CF"/>
    <w:rsid w:val="0084224C"/>
    <w:rsid w:val="00863A6E"/>
    <w:rsid w:val="008C3D55"/>
    <w:rsid w:val="008D2888"/>
    <w:rsid w:val="009002BC"/>
    <w:rsid w:val="009071D2"/>
    <w:rsid w:val="00911BE0"/>
    <w:rsid w:val="0092044D"/>
    <w:rsid w:val="0092175F"/>
    <w:rsid w:val="0094760D"/>
    <w:rsid w:val="00953B73"/>
    <w:rsid w:val="00967F69"/>
    <w:rsid w:val="00975499"/>
    <w:rsid w:val="009757D1"/>
    <w:rsid w:val="00981480"/>
    <w:rsid w:val="009A4E4B"/>
    <w:rsid w:val="009D417F"/>
    <w:rsid w:val="009D6D90"/>
    <w:rsid w:val="009F61C7"/>
    <w:rsid w:val="00A06C4D"/>
    <w:rsid w:val="00A266F3"/>
    <w:rsid w:val="00A36E10"/>
    <w:rsid w:val="00A45971"/>
    <w:rsid w:val="00A52CEB"/>
    <w:rsid w:val="00A52DD4"/>
    <w:rsid w:val="00A5783B"/>
    <w:rsid w:val="00A61DE3"/>
    <w:rsid w:val="00A83611"/>
    <w:rsid w:val="00A853A8"/>
    <w:rsid w:val="00A94543"/>
    <w:rsid w:val="00A96B24"/>
    <w:rsid w:val="00AA7741"/>
    <w:rsid w:val="00AB2F9A"/>
    <w:rsid w:val="00AC6182"/>
    <w:rsid w:val="00AC693E"/>
    <w:rsid w:val="00AE104E"/>
    <w:rsid w:val="00AE7543"/>
    <w:rsid w:val="00AE754D"/>
    <w:rsid w:val="00AF5619"/>
    <w:rsid w:val="00B02DA2"/>
    <w:rsid w:val="00B10599"/>
    <w:rsid w:val="00B33DD0"/>
    <w:rsid w:val="00B67A4E"/>
    <w:rsid w:val="00B82556"/>
    <w:rsid w:val="00BB5CA1"/>
    <w:rsid w:val="00BE0541"/>
    <w:rsid w:val="00BE0AD4"/>
    <w:rsid w:val="00BE4599"/>
    <w:rsid w:val="00C016F4"/>
    <w:rsid w:val="00C0598E"/>
    <w:rsid w:val="00C1469A"/>
    <w:rsid w:val="00C17C4E"/>
    <w:rsid w:val="00C375DB"/>
    <w:rsid w:val="00C508F4"/>
    <w:rsid w:val="00C51910"/>
    <w:rsid w:val="00C51B5B"/>
    <w:rsid w:val="00C53686"/>
    <w:rsid w:val="00C572D6"/>
    <w:rsid w:val="00C71410"/>
    <w:rsid w:val="00C80F4E"/>
    <w:rsid w:val="00C84162"/>
    <w:rsid w:val="00C858A0"/>
    <w:rsid w:val="00CA2A91"/>
    <w:rsid w:val="00CA5391"/>
    <w:rsid w:val="00CB063B"/>
    <w:rsid w:val="00CC29FA"/>
    <w:rsid w:val="00CE04EA"/>
    <w:rsid w:val="00D006F4"/>
    <w:rsid w:val="00D57438"/>
    <w:rsid w:val="00D61DF9"/>
    <w:rsid w:val="00D624D5"/>
    <w:rsid w:val="00D6527A"/>
    <w:rsid w:val="00D76AC1"/>
    <w:rsid w:val="00D815B7"/>
    <w:rsid w:val="00D82E43"/>
    <w:rsid w:val="00D83214"/>
    <w:rsid w:val="00D913C3"/>
    <w:rsid w:val="00D91666"/>
    <w:rsid w:val="00D93778"/>
    <w:rsid w:val="00DD2C9D"/>
    <w:rsid w:val="00DD4CDE"/>
    <w:rsid w:val="00DF553E"/>
    <w:rsid w:val="00E0414C"/>
    <w:rsid w:val="00E215C6"/>
    <w:rsid w:val="00E22F46"/>
    <w:rsid w:val="00E268EB"/>
    <w:rsid w:val="00E33B95"/>
    <w:rsid w:val="00E33F79"/>
    <w:rsid w:val="00E438DD"/>
    <w:rsid w:val="00E472EC"/>
    <w:rsid w:val="00E61F40"/>
    <w:rsid w:val="00E67227"/>
    <w:rsid w:val="00E71C22"/>
    <w:rsid w:val="00E74935"/>
    <w:rsid w:val="00E75FB0"/>
    <w:rsid w:val="00E90A7E"/>
    <w:rsid w:val="00EB0A03"/>
    <w:rsid w:val="00EB4224"/>
    <w:rsid w:val="00EB6B11"/>
    <w:rsid w:val="00ED70F6"/>
    <w:rsid w:val="00EE06D9"/>
    <w:rsid w:val="00EE1D82"/>
    <w:rsid w:val="00EE4BD3"/>
    <w:rsid w:val="00F215E1"/>
    <w:rsid w:val="00F26026"/>
    <w:rsid w:val="00F3735F"/>
    <w:rsid w:val="00F42CCB"/>
    <w:rsid w:val="00F525B3"/>
    <w:rsid w:val="00F72F06"/>
    <w:rsid w:val="00F73D82"/>
    <w:rsid w:val="00F774E8"/>
    <w:rsid w:val="00FA262A"/>
    <w:rsid w:val="00FA5164"/>
    <w:rsid w:val="00FC297F"/>
    <w:rsid w:val="00FC6F80"/>
    <w:rsid w:val="00FD186E"/>
    <w:rsid w:val="00FD6526"/>
    <w:rsid w:val="00FE7313"/>
    <w:rsid w:val="00FF2F9B"/>
    <w:rsid w:val="00FF4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35A0"/>
  <w15:chartTrackingRefBased/>
  <w15:docId w15:val="{73D9E36E-C697-4FF5-8746-C8BE1633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4E"/>
    <w:pPr>
      <w:spacing w:after="0" w:line="240" w:lineRule="auto"/>
    </w:pPr>
    <w:rPr>
      <w:rFonts w:ascii="Calibri" w:hAnsi="Calibri" w:cs="Calibri"/>
    </w:rPr>
  </w:style>
  <w:style w:type="paragraph" w:styleId="Heading1">
    <w:name w:val="heading 1"/>
    <w:basedOn w:val="Normal"/>
    <w:next w:val="Normal"/>
    <w:link w:val="Heading1Char"/>
    <w:uiPriority w:val="9"/>
    <w:qFormat/>
    <w:rsid w:val="007319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9"/>
    <w:semiHidden/>
    <w:unhideWhenUsed/>
    <w:qFormat/>
    <w:rsid w:val="007319D7"/>
    <w:pPr>
      <w:widowControl w:val="0"/>
      <w:spacing w:before="200"/>
      <w:outlineLvl w:val="1"/>
    </w:pPr>
    <w:rPr>
      <w:rFonts w:ascii="Calibri" w:hAnsi="Calibri"/>
      <w:b/>
      <w:color w:val="000000" w:themeColor="text1"/>
      <w:sz w:val="28"/>
      <w:szCs w:val="26"/>
      <w:lang w:eastAsia="en-AU"/>
    </w:rPr>
  </w:style>
  <w:style w:type="paragraph" w:styleId="Heading3">
    <w:name w:val="heading 3"/>
    <w:basedOn w:val="Normal"/>
    <w:next w:val="Normal"/>
    <w:link w:val="Heading3Char"/>
    <w:uiPriority w:val="9"/>
    <w:semiHidden/>
    <w:unhideWhenUsed/>
    <w:qFormat/>
    <w:rsid w:val="00C51B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C4E"/>
    <w:rPr>
      <w:color w:val="0563C1"/>
      <w:u w:val="single"/>
    </w:rPr>
  </w:style>
  <w:style w:type="paragraph" w:styleId="BodyText">
    <w:name w:val="Body Text"/>
    <w:basedOn w:val="Normal"/>
    <w:link w:val="BodyTextChar"/>
    <w:uiPriority w:val="99"/>
    <w:unhideWhenUsed/>
    <w:rsid w:val="00C17C4E"/>
    <w:rPr>
      <w:rFonts w:ascii="Arial" w:hAnsi="Arial" w:cs="Arial"/>
      <w:sz w:val="20"/>
      <w:szCs w:val="20"/>
    </w:rPr>
  </w:style>
  <w:style w:type="character" w:customStyle="1" w:styleId="BodyTextChar">
    <w:name w:val="Body Text Char"/>
    <w:basedOn w:val="DefaultParagraphFont"/>
    <w:link w:val="BodyText"/>
    <w:uiPriority w:val="99"/>
    <w:rsid w:val="00C17C4E"/>
    <w:rPr>
      <w:rFonts w:ascii="Arial" w:hAnsi="Arial" w:cs="Arial"/>
      <w:sz w:val="20"/>
      <w:szCs w:val="20"/>
    </w:rPr>
  </w:style>
  <w:style w:type="character" w:customStyle="1" w:styleId="instructionaltextChar">
    <w:name w:val="instructional text Char"/>
    <w:basedOn w:val="DefaultParagraphFont"/>
    <w:link w:val="instructionaltext"/>
    <w:locked/>
    <w:rsid w:val="00C17C4E"/>
    <w:rPr>
      <w:rFonts w:ascii="Calibri" w:hAnsi="Calibri" w:cs="Calibri"/>
      <w:i/>
      <w:iCs/>
    </w:rPr>
  </w:style>
  <w:style w:type="paragraph" w:customStyle="1" w:styleId="instructionaltext">
    <w:name w:val="instructional text"/>
    <w:basedOn w:val="Normal"/>
    <w:link w:val="instructionaltextChar"/>
    <w:rsid w:val="00C17C4E"/>
    <w:rPr>
      <w:i/>
      <w:iCs/>
    </w:rPr>
  </w:style>
  <w:style w:type="character" w:styleId="UnresolvedMention">
    <w:name w:val="Unresolved Mention"/>
    <w:basedOn w:val="DefaultParagraphFont"/>
    <w:uiPriority w:val="99"/>
    <w:semiHidden/>
    <w:unhideWhenUsed/>
    <w:rsid w:val="000E217C"/>
    <w:rPr>
      <w:color w:val="605E5C"/>
      <w:shd w:val="clear" w:color="auto" w:fill="E1DFDD"/>
    </w:rPr>
  </w:style>
  <w:style w:type="character" w:styleId="Emphasis">
    <w:name w:val="Emphasis"/>
    <w:basedOn w:val="DefaultParagraphFont"/>
    <w:uiPriority w:val="20"/>
    <w:qFormat/>
    <w:rsid w:val="00AA7741"/>
    <w:rPr>
      <w:i/>
      <w:iCs/>
    </w:rPr>
  </w:style>
  <w:style w:type="character" w:styleId="FollowedHyperlink">
    <w:name w:val="FollowedHyperlink"/>
    <w:basedOn w:val="DefaultParagraphFont"/>
    <w:uiPriority w:val="99"/>
    <w:semiHidden/>
    <w:unhideWhenUsed/>
    <w:rsid w:val="00D83214"/>
    <w:rPr>
      <w:color w:val="800080" w:themeColor="followedHyperlink"/>
      <w:u w:val="single"/>
    </w:rPr>
  </w:style>
  <w:style w:type="character" w:customStyle="1" w:styleId="Heading2Char">
    <w:name w:val="Heading 2 Char"/>
    <w:basedOn w:val="DefaultParagraphFont"/>
    <w:link w:val="Heading2"/>
    <w:uiPriority w:val="9"/>
    <w:semiHidden/>
    <w:rsid w:val="007319D7"/>
    <w:rPr>
      <w:rFonts w:ascii="Calibri" w:eastAsiaTheme="majorEastAsia" w:hAnsi="Calibri" w:cstheme="majorBidi"/>
      <w:b/>
      <w:color w:val="000000" w:themeColor="text1"/>
      <w:sz w:val="28"/>
      <w:szCs w:val="26"/>
      <w:lang w:eastAsia="en-AU"/>
    </w:rPr>
  </w:style>
  <w:style w:type="character" w:customStyle="1" w:styleId="Heading1Char">
    <w:name w:val="Heading 1 Char"/>
    <w:basedOn w:val="DefaultParagraphFont"/>
    <w:link w:val="Heading1"/>
    <w:uiPriority w:val="9"/>
    <w:rsid w:val="007319D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7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E8"/>
    <w:rPr>
      <w:rFonts w:ascii="Segoe UI" w:hAnsi="Segoe UI" w:cs="Segoe UI"/>
      <w:sz w:val="18"/>
      <w:szCs w:val="18"/>
    </w:rPr>
  </w:style>
  <w:style w:type="character" w:styleId="CommentReference">
    <w:name w:val="annotation reference"/>
    <w:basedOn w:val="DefaultParagraphFont"/>
    <w:uiPriority w:val="99"/>
    <w:semiHidden/>
    <w:unhideWhenUsed/>
    <w:rsid w:val="00814577"/>
    <w:rPr>
      <w:sz w:val="16"/>
      <w:szCs w:val="16"/>
    </w:rPr>
  </w:style>
  <w:style w:type="paragraph" w:styleId="CommentText">
    <w:name w:val="annotation text"/>
    <w:basedOn w:val="Normal"/>
    <w:link w:val="CommentTextChar"/>
    <w:uiPriority w:val="99"/>
    <w:semiHidden/>
    <w:unhideWhenUsed/>
    <w:rsid w:val="00814577"/>
    <w:rPr>
      <w:sz w:val="20"/>
      <w:szCs w:val="20"/>
    </w:rPr>
  </w:style>
  <w:style w:type="character" w:customStyle="1" w:styleId="CommentTextChar">
    <w:name w:val="Comment Text Char"/>
    <w:basedOn w:val="DefaultParagraphFont"/>
    <w:link w:val="CommentText"/>
    <w:uiPriority w:val="99"/>
    <w:semiHidden/>
    <w:rsid w:val="008145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4577"/>
    <w:rPr>
      <w:b/>
      <w:bCs/>
    </w:rPr>
  </w:style>
  <w:style w:type="character" w:customStyle="1" w:styleId="CommentSubjectChar">
    <w:name w:val="Comment Subject Char"/>
    <w:basedOn w:val="CommentTextChar"/>
    <w:link w:val="CommentSubject"/>
    <w:uiPriority w:val="99"/>
    <w:semiHidden/>
    <w:rsid w:val="00814577"/>
    <w:rPr>
      <w:rFonts w:ascii="Calibri" w:hAnsi="Calibri" w:cs="Calibri"/>
      <w:b/>
      <w:bCs/>
      <w:sz w:val="20"/>
      <w:szCs w:val="20"/>
    </w:rPr>
  </w:style>
  <w:style w:type="character" w:customStyle="1" w:styleId="Heading3Char">
    <w:name w:val="Heading 3 Char"/>
    <w:basedOn w:val="DefaultParagraphFont"/>
    <w:link w:val="Heading3"/>
    <w:uiPriority w:val="9"/>
    <w:semiHidden/>
    <w:rsid w:val="00C51B5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7665D"/>
    <w:pPr>
      <w:tabs>
        <w:tab w:val="center" w:pos="4513"/>
        <w:tab w:val="right" w:pos="9026"/>
      </w:tabs>
    </w:pPr>
  </w:style>
  <w:style w:type="character" w:customStyle="1" w:styleId="HeaderChar">
    <w:name w:val="Header Char"/>
    <w:basedOn w:val="DefaultParagraphFont"/>
    <w:link w:val="Header"/>
    <w:uiPriority w:val="99"/>
    <w:rsid w:val="0027665D"/>
    <w:rPr>
      <w:rFonts w:ascii="Calibri" w:hAnsi="Calibri" w:cs="Calibri"/>
    </w:rPr>
  </w:style>
  <w:style w:type="paragraph" w:styleId="Footer">
    <w:name w:val="footer"/>
    <w:basedOn w:val="Normal"/>
    <w:link w:val="FooterChar"/>
    <w:uiPriority w:val="99"/>
    <w:unhideWhenUsed/>
    <w:rsid w:val="0027665D"/>
    <w:pPr>
      <w:tabs>
        <w:tab w:val="center" w:pos="4513"/>
        <w:tab w:val="right" w:pos="9026"/>
      </w:tabs>
    </w:pPr>
  </w:style>
  <w:style w:type="character" w:customStyle="1" w:styleId="FooterChar">
    <w:name w:val="Footer Char"/>
    <w:basedOn w:val="DefaultParagraphFont"/>
    <w:link w:val="Footer"/>
    <w:uiPriority w:val="99"/>
    <w:rsid w:val="0027665D"/>
    <w:rPr>
      <w:rFonts w:ascii="Calibri" w:hAnsi="Calibri" w:cs="Calibri"/>
    </w:rPr>
  </w:style>
  <w:style w:type="paragraph" w:styleId="ListParagraph">
    <w:name w:val="List Paragraph"/>
    <w:basedOn w:val="Normal"/>
    <w:uiPriority w:val="34"/>
    <w:qFormat/>
    <w:rsid w:val="00CE04EA"/>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364B0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48701">
      <w:bodyDiv w:val="1"/>
      <w:marLeft w:val="0"/>
      <w:marRight w:val="0"/>
      <w:marTop w:val="0"/>
      <w:marBottom w:val="0"/>
      <w:divBdr>
        <w:top w:val="none" w:sz="0" w:space="0" w:color="auto"/>
        <w:left w:val="none" w:sz="0" w:space="0" w:color="auto"/>
        <w:bottom w:val="none" w:sz="0" w:space="0" w:color="auto"/>
        <w:right w:val="none" w:sz="0" w:space="0" w:color="auto"/>
      </w:divBdr>
    </w:div>
    <w:div w:id="577518868">
      <w:bodyDiv w:val="1"/>
      <w:marLeft w:val="0"/>
      <w:marRight w:val="0"/>
      <w:marTop w:val="0"/>
      <w:marBottom w:val="0"/>
      <w:divBdr>
        <w:top w:val="none" w:sz="0" w:space="0" w:color="auto"/>
        <w:left w:val="none" w:sz="0" w:space="0" w:color="auto"/>
        <w:bottom w:val="none" w:sz="0" w:space="0" w:color="auto"/>
        <w:right w:val="none" w:sz="0" w:space="0" w:color="auto"/>
      </w:divBdr>
    </w:div>
    <w:div w:id="953025671">
      <w:bodyDiv w:val="1"/>
      <w:marLeft w:val="0"/>
      <w:marRight w:val="0"/>
      <w:marTop w:val="0"/>
      <w:marBottom w:val="0"/>
      <w:divBdr>
        <w:top w:val="none" w:sz="0" w:space="0" w:color="auto"/>
        <w:left w:val="none" w:sz="0" w:space="0" w:color="auto"/>
        <w:bottom w:val="none" w:sz="0" w:space="0" w:color="auto"/>
        <w:right w:val="none" w:sz="0" w:space="0" w:color="auto"/>
      </w:divBdr>
    </w:div>
    <w:div w:id="983697495">
      <w:bodyDiv w:val="1"/>
      <w:marLeft w:val="0"/>
      <w:marRight w:val="0"/>
      <w:marTop w:val="0"/>
      <w:marBottom w:val="0"/>
      <w:divBdr>
        <w:top w:val="none" w:sz="0" w:space="0" w:color="auto"/>
        <w:left w:val="none" w:sz="0" w:space="0" w:color="auto"/>
        <w:bottom w:val="none" w:sz="0" w:space="0" w:color="auto"/>
        <w:right w:val="none" w:sz="0" w:space="0" w:color="auto"/>
      </w:divBdr>
    </w:div>
    <w:div w:id="999430674">
      <w:bodyDiv w:val="1"/>
      <w:marLeft w:val="0"/>
      <w:marRight w:val="0"/>
      <w:marTop w:val="0"/>
      <w:marBottom w:val="0"/>
      <w:divBdr>
        <w:top w:val="none" w:sz="0" w:space="0" w:color="auto"/>
        <w:left w:val="none" w:sz="0" w:space="0" w:color="auto"/>
        <w:bottom w:val="none" w:sz="0" w:space="0" w:color="auto"/>
        <w:right w:val="none" w:sz="0" w:space="0" w:color="auto"/>
      </w:divBdr>
    </w:div>
    <w:div w:id="1015888666">
      <w:bodyDiv w:val="1"/>
      <w:marLeft w:val="0"/>
      <w:marRight w:val="0"/>
      <w:marTop w:val="0"/>
      <w:marBottom w:val="0"/>
      <w:divBdr>
        <w:top w:val="none" w:sz="0" w:space="0" w:color="auto"/>
        <w:left w:val="none" w:sz="0" w:space="0" w:color="auto"/>
        <w:bottom w:val="none" w:sz="0" w:space="0" w:color="auto"/>
        <w:right w:val="none" w:sz="0" w:space="0" w:color="auto"/>
      </w:divBdr>
    </w:div>
    <w:div w:id="1172722763">
      <w:bodyDiv w:val="1"/>
      <w:marLeft w:val="0"/>
      <w:marRight w:val="0"/>
      <w:marTop w:val="0"/>
      <w:marBottom w:val="0"/>
      <w:divBdr>
        <w:top w:val="none" w:sz="0" w:space="0" w:color="auto"/>
        <w:left w:val="none" w:sz="0" w:space="0" w:color="auto"/>
        <w:bottom w:val="none" w:sz="0" w:space="0" w:color="auto"/>
        <w:right w:val="none" w:sz="0" w:space="0" w:color="auto"/>
      </w:divBdr>
    </w:div>
    <w:div w:id="1422674973">
      <w:bodyDiv w:val="1"/>
      <w:marLeft w:val="0"/>
      <w:marRight w:val="0"/>
      <w:marTop w:val="0"/>
      <w:marBottom w:val="0"/>
      <w:divBdr>
        <w:top w:val="none" w:sz="0" w:space="0" w:color="auto"/>
        <w:left w:val="none" w:sz="0" w:space="0" w:color="auto"/>
        <w:bottom w:val="none" w:sz="0" w:space="0" w:color="auto"/>
        <w:right w:val="none" w:sz="0" w:space="0" w:color="auto"/>
      </w:divBdr>
    </w:div>
    <w:div w:id="1480734287">
      <w:bodyDiv w:val="1"/>
      <w:marLeft w:val="0"/>
      <w:marRight w:val="0"/>
      <w:marTop w:val="0"/>
      <w:marBottom w:val="0"/>
      <w:divBdr>
        <w:top w:val="none" w:sz="0" w:space="0" w:color="auto"/>
        <w:left w:val="none" w:sz="0" w:space="0" w:color="auto"/>
        <w:bottom w:val="none" w:sz="0" w:space="0" w:color="auto"/>
        <w:right w:val="none" w:sz="0" w:space="0" w:color="auto"/>
      </w:divBdr>
      <w:divsChild>
        <w:div w:id="33388535">
          <w:marLeft w:val="0"/>
          <w:marRight w:val="0"/>
          <w:marTop w:val="120"/>
          <w:marBottom w:val="0"/>
          <w:divBdr>
            <w:top w:val="none" w:sz="0" w:space="0" w:color="auto"/>
            <w:left w:val="none" w:sz="0" w:space="0" w:color="auto"/>
            <w:bottom w:val="none" w:sz="0" w:space="0" w:color="auto"/>
            <w:right w:val="none" w:sz="0" w:space="0" w:color="auto"/>
          </w:divBdr>
        </w:div>
      </w:divsChild>
    </w:div>
    <w:div w:id="1557014157">
      <w:bodyDiv w:val="1"/>
      <w:marLeft w:val="0"/>
      <w:marRight w:val="0"/>
      <w:marTop w:val="0"/>
      <w:marBottom w:val="0"/>
      <w:divBdr>
        <w:top w:val="none" w:sz="0" w:space="0" w:color="auto"/>
        <w:left w:val="none" w:sz="0" w:space="0" w:color="auto"/>
        <w:bottom w:val="none" w:sz="0" w:space="0" w:color="auto"/>
        <w:right w:val="none" w:sz="0" w:space="0" w:color="auto"/>
      </w:divBdr>
    </w:div>
    <w:div w:id="1559169522">
      <w:bodyDiv w:val="1"/>
      <w:marLeft w:val="0"/>
      <w:marRight w:val="0"/>
      <w:marTop w:val="0"/>
      <w:marBottom w:val="0"/>
      <w:divBdr>
        <w:top w:val="none" w:sz="0" w:space="0" w:color="auto"/>
        <w:left w:val="none" w:sz="0" w:space="0" w:color="auto"/>
        <w:bottom w:val="none" w:sz="0" w:space="0" w:color="auto"/>
        <w:right w:val="none" w:sz="0" w:space="0" w:color="auto"/>
      </w:divBdr>
    </w:div>
    <w:div w:id="1934780308">
      <w:bodyDiv w:val="1"/>
      <w:marLeft w:val="0"/>
      <w:marRight w:val="0"/>
      <w:marTop w:val="0"/>
      <w:marBottom w:val="0"/>
      <w:divBdr>
        <w:top w:val="none" w:sz="0" w:space="0" w:color="auto"/>
        <w:left w:val="none" w:sz="0" w:space="0" w:color="auto"/>
        <w:bottom w:val="none" w:sz="0" w:space="0" w:color="auto"/>
        <w:right w:val="none" w:sz="0" w:space="0" w:color="auto"/>
      </w:divBdr>
    </w:div>
    <w:div w:id="1951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0DBE.301F8E10" TargetMode="External"/><Relationship Id="rId13" Type="http://schemas.openxmlformats.org/officeDocument/2006/relationships/hyperlink" Target="https://www.acecqa.gov.au/search?s=Active+supervision" TargetMode="External"/><Relationship Id="rId18" Type="http://schemas.openxmlformats.org/officeDocument/2006/relationships/hyperlink" Target="https://www.acecqa.gov.au/latest-news/education-and-care-services-national-amendment-regulations-2020-safe-transportation"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gif"/><Relationship Id="rId12" Type="http://schemas.openxmlformats.org/officeDocument/2006/relationships/hyperlink" Target="http://www.legislation.nsw.gov.au/maintop/view/inforce/subordleg+653+2011+cd+0+N" TargetMode="External"/><Relationship Id="rId17" Type="http://schemas.openxmlformats.org/officeDocument/2006/relationships/hyperlink" Target="https://www.acecqa.gov.au/media/24641" TargetMode="External"/><Relationship Id="rId2" Type="http://schemas.openxmlformats.org/officeDocument/2006/relationships/styles" Target="styles.xml"/><Relationship Id="rId16" Type="http://schemas.openxmlformats.org/officeDocument/2006/relationships/hyperlink" Target="https://www.acecqa.gov.au/media/24251" TargetMode="External"/><Relationship Id="rId20" Type="http://schemas.openxmlformats.org/officeDocument/2006/relationships/hyperlink" Target="https://www.facebook.com/CECA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mpaign.acecqa.gov.au/t/i-l-pjrdrll-jllkkkiiud-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education.gov.au/documents/continuity-learning-resource-support-effective-transition-school-and-school-age-care" TargetMode="External"/><Relationship Id="rId23" Type="http://schemas.openxmlformats.org/officeDocument/2006/relationships/fontTable" Target="fontTable.xml"/><Relationship Id="rId10" Type="http://schemas.openxmlformats.org/officeDocument/2006/relationships/hyperlink" Target="mailto:CECA@act.gov.au" TargetMode="External"/><Relationship Id="rId19" Type="http://schemas.openxmlformats.org/officeDocument/2006/relationships/hyperlink" Target="mailto:CECA@act.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eyou.edu.au/fact-sheets/development/transition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Mico, Tamara</cp:lastModifiedBy>
  <cp:revision>38</cp:revision>
  <dcterms:created xsi:type="dcterms:W3CDTF">2020-09-06T21:43:00Z</dcterms:created>
  <dcterms:modified xsi:type="dcterms:W3CDTF">2020-12-14T22:54:00Z</dcterms:modified>
</cp:coreProperties>
</file>