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3BFEB" w14:textId="77777777" w:rsidR="00930D0D" w:rsidRDefault="00930D0D" w:rsidP="00930D0D">
      <w:pPr>
        <w:rPr>
          <w:rFonts w:asciiTheme="minorHAnsi" w:hAnsiTheme="minorHAnsi" w:cstheme="minorBidi"/>
        </w:rPr>
      </w:pPr>
      <w:bookmarkStart w:id="0" w:name="_MailEndCompose"/>
    </w:p>
    <w:p w14:paraId="5DF65F3B" w14:textId="77777777" w:rsidR="00930D0D" w:rsidRDefault="00930D0D" w:rsidP="00930D0D">
      <w:bookmarkStart w:id="1" w:name="_MailOriginal"/>
      <w:bookmarkEnd w:id="0"/>
    </w:p>
    <w:tbl>
      <w:tblPr>
        <w:tblW w:w="10260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3281"/>
        <w:gridCol w:w="4243"/>
      </w:tblGrid>
      <w:tr w:rsidR="009F52DC" w14:paraId="711F5976" w14:textId="77777777" w:rsidTr="00930D0D">
        <w:trPr>
          <w:tblCellSpacing w:w="0" w:type="dxa"/>
          <w:jc w:val="center"/>
        </w:trPr>
        <w:tc>
          <w:tcPr>
            <w:tcW w:w="3255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  <w:hideMark/>
          </w:tcPr>
          <w:p w14:paraId="4FB03180" w14:textId="77777777" w:rsidR="00930D0D" w:rsidRDefault="00930D0D"/>
        </w:tc>
        <w:tc>
          <w:tcPr>
            <w:tcW w:w="2970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  <w:hideMark/>
          </w:tcPr>
          <w:p w14:paraId="3567D7E3" w14:textId="77777777" w:rsidR="00930D0D" w:rsidRDefault="00930D0D">
            <w:pPr>
              <w:rPr>
                <w:color w:val="333132"/>
              </w:rPr>
            </w:pPr>
            <w:r>
              <w:rPr>
                <w:color w:val="333132"/>
              </w:rPr>
              <w:t> </w:t>
            </w:r>
          </w:p>
        </w:tc>
        <w:tc>
          <w:tcPr>
            <w:tcW w:w="4035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  <w:hideMark/>
          </w:tcPr>
          <w:p w14:paraId="6BD1F7E1" w14:textId="77777777" w:rsidR="00930D0D" w:rsidRDefault="00930D0D">
            <w:pPr>
              <w:pStyle w:val="NormalWeb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4F871E" wp14:editId="58FF7EDC">
                      <wp:extent cx="205740" cy="198120"/>
                      <wp:effectExtent l="3810" t="0" r="0" b="4445"/>
                      <wp:docPr id="6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9F2BD" id="AutoShape 1" o:spid="_x0000_s1026" style="width:16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WxswIAALc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B2AC97" wp14:editId="4D94018F">
                      <wp:extent cx="205740" cy="198120"/>
                      <wp:effectExtent l="3810" t="0" r="0" b="4445"/>
                      <wp:docPr id="5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B2F727" id="AutoShape 2" o:spid="_x0000_s1026" style="width:16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0CA995" wp14:editId="7AD2A2C6">
                      <wp:extent cx="205740" cy="198120"/>
                      <wp:effectExtent l="3810" t="0" r="0" b="4445"/>
                      <wp:docPr id="4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F647E3" id="AutoShape 3" o:spid="_x0000_s1026" style="width:16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30D0D" w14:paraId="60AEF637" w14:textId="77777777" w:rsidTr="00930D0D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342682"/>
            <w:vAlign w:val="center"/>
            <w:hideMark/>
          </w:tcPr>
          <w:p w14:paraId="5AB80544" w14:textId="77777777" w:rsidR="00930D0D" w:rsidRDefault="00930D0D">
            <w:pPr>
              <w:rPr>
                <w:color w:val="333132"/>
              </w:rPr>
            </w:pPr>
            <w:r>
              <w:rPr>
                <w:noProof/>
                <w:color w:val="333132"/>
              </w:rPr>
              <w:drawing>
                <wp:inline distT="0" distB="0" distL="0" distR="0" wp14:anchorId="7DBB8A79" wp14:editId="1EBC509A">
                  <wp:extent cx="6896100" cy="1970423"/>
                  <wp:effectExtent l="0" t="0" r="0" b="0"/>
                  <wp:docPr id="3" name="Picture 3" descr="Children's Education and Care Assurance Al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ldren's Education and Care Assurance 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533" cy="198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D0D" w14:paraId="79ECBAF3" w14:textId="77777777" w:rsidTr="00D9738D">
        <w:trPr>
          <w:trHeight w:val="5229"/>
          <w:tblCellSpacing w:w="0" w:type="dxa"/>
          <w:jc w:val="center"/>
        </w:trPr>
        <w:tc>
          <w:tcPr>
            <w:tcW w:w="0" w:type="auto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14:paraId="4112CD27" w14:textId="2DFEED78" w:rsidR="009B1944" w:rsidRDefault="00930D0D" w:rsidP="00192DED">
            <w:pPr>
              <w:spacing w:before="150" w:after="240" w:line="300" w:lineRule="exact"/>
              <w:jc w:val="center"/>
              <w:rPr>
                <w:i/>
                <w:iCs/>
                <w:color w:val="222222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333132"/>
              </w:rPr>
              <w:t xml:space="preserve"> </w:t>
            </w:r>
            <w:r w:rsidR="009B1944">
              <w:rPr>
                <w:i/>
                <w:iCs/>
                <w:color w:val="222222"/>
                <w:sz w:val="20"/>
                <w:szCs w:val="20"/>
                <w:lang w:eastAsia="en-AU"/>
              </w:rPr>
              <w:t>The Children’s Education and Care Assurance Update links professionals, providers and educators with news, resources and information that supports quality outcomes for children in ACT education and care services</w:t>
            </w:r>
          </w:p>
          <w:p w14:paraId="27E8D9C1" w14:textId="5FC66B2F" w:rsidR="00272047" w:rsidRDefault="00272047" w:rsidP="00272047">
            <w:pPr>
              <w:spacing w:before="150" w:after="240" w:line="300" w:lineRule="exact"/>
              <w:rPr>
                <w:color w:val="222222"/>
                <w:sz w:val="24"/>
                <w:szCs w:val="24"/>
                <w:lang w:eastAsia="en-AU"/>
              </w:rPr>
            </w:pPr>
            <w:r w:rsidRPr="00272047">
              <w:rPr>
                <w:color w:val="222222"/>
                <w:sz w:val="24"/>
                <w:szCs w:val="24"/>
                <w:lang w:eastAsia="en-AU"/>
              </w:rPr>
              <w:t>January 2021</w:t>
            </w:r>
          </w:p>
          <w:p w14:paraId="598A3CF8" w14:textId="2B820549" w:rsidR="000838D8" w:rsidRDefault="00E548D0" w:rsidP="000838D8">
            <w:pPr>
              <w:spacing w:before="240" w:after="240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 xml:space="preserve">Application Fees and Waiver </w:t>
            </w:r>
            <w:r w:rsidR="000838D8" w:rsidRPr="000838D8">
              <w:rPr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  <w:p w14:paraId="1284AE29" w14:textId="608AD359" w:rsidR="000D10A0" w:rsidRPr="00336697" w:rsidRDefault="004F51CA" w:rsidP="00D44D6B">
            <w:pPr>
              <w:spacing w:before="240" w:after="240"/>
              <w:rPr>
                <w:rFonts w:ascii="&amp;quot" w:eastAsia="Times New Roman" w:hAnsi="&amp;quot" w:cs="Times New Roman"/>
                <w:lang w:eastAsia="en-AU"/>
              </w:rPr>
            </w:pPr>
            <w:r w:rsidRPr="00336697">
              <w:t>In March 2020</w:t>
            </w:r>
            <w:r w:rsidR="00AF2202">
              <w:t>,</w:t>
            </w:r>
            <w:r w:rsidRPr="00336697">
              <w:t xml:space="preserve"> the ACT Government waive</w:t>
            </w:r>
            <w:r w:rsidR="00AF2202">
              <w:t xml:space="preserve">d </w:t>
            </w:r>
            <w:r w:rsidRPr="00336697">
              <w:t xml:space="preserve">all </w:t>
            </w:r>
            <w:r w:rsidR="003508EC">
              <w:t xml:space="preserve">education and care regulatory </w:t>
            </w:r>
            <w:r w:rsidRPr="00336697">
              <w:t>fees</w:t>
            </w:r>
            <w:r w:rsidR="00A96682" w:rsidRPr="00336697">
              <w:t xml:space="preserve"> </w:t>
            </w:r>
            <w:r w:rsidRPr="00336697">
              <w:t>to help support businesses through</w:t>
            </w:r>
            <w:r w:rsidR="00A96682" w:rsidRPr="00336697">
              <w:t xml:space="preserve"> </w:t>
            </w:r>
            <w:r w:rsidR="003508EC">
              <w:t>the COVID-19 pandemic</w:t>
            </w:r>
            <w:r w:rsidR="00A96682" w:rsidRPr="00336697">
              <w:t xml:space="preserve">. </w:t>
            </w:r>
            <w:r w:rsidR="00DF01C0" w:rsidRPr="00336697">
              <w:t xml:space="preserve">From </w:t>
            </w:r>
            <w:r w:rsidR="00113C49" w:rsidRPr="00336697">
              <w:t xml:space="preserve">1 </w:t>
            </w:r>
            <w:r w:rsidR="00DF01C0" w:rsidRPr="00336697">
              <w:t>January 2021</w:t>
            </w:r>
            <w:r w:rsidR="00AF2202">
              <w:t>,</w:t>
            </w:r>
            <w:r w:rsidR="00DF01C0" w:rsidRPr="00336697">
              <w:t xml:space="preserve"> the</w:t>
            </w:r>
            <w:r w:rsidR="003508EC">
              <w:t>se</w:t>
            </w:r>
            <w:r w:rsidR="00DF01C0" w:rsidRPr="00336697">
              <w:t xml:space="preserve"> f</w:t>
            </w:r>
            <w:r w:rsidR="000D10A0" w:rsidRPr="00336697">
              <w:t>ees</w:t>
            </w:r>
            <w:r w:rsidR="003508EC">
              <w:t xml:space="preserve"> have been re-established</w:t>
            </w:r>
            <w:r w:rsidR="003F7EC5" w:rsidRPr="00336697">
              <w:t>.</w:t>
            </w:r>
            <w:r w:rsidR="004A10C4" w:rsidRPr="00336697">
              <w:t xml:space="preserve"> Th</w:t>
            </w:r>
            <w:r w:rsidR="003508EC">
              <w:t>e</w:t>
            </w:r>
            <w:r w:rsidR="004A10C4" w:rsidRPr="00336697">
              <w:t>s</w:t>
            </w:r>
            <w:r w:rsidR="003508EC">
              <w:t>e</w:t>
            </w:r>
            <w:r w:rsidR="004A10C4" w:rsidRPr="00336697">
              <w:t xml:space="preserve"> include annual service fees and transaction fe</w:t>
            </w:r>
            <w:r w:rsidR="00AF2202">
              <w:t>e</w:t>
            </w:r>
            <w:r w:rsidR="004A10C4" w:rsidRPr="00336697">
              <w:t xml:space="preserve">s for children's education and care services </w:t>
            </w:r>
            <w:r w:rsidR="003508EC">
              <w:t>as</w:t>
            </w:r>
            <w:r w:rsidR="004A10C4" w:rsidRPr="00336697">
              <w:t xml:space="preserve"> set out in t</w:t>
            </w:r>
            <w:r w:rsidR="003F7EC5" w:rsidRPr="00336697">
              <w:t xml:space="preserve">he </w:t>
            </w:r>
            <w:hyperlink r:id="rId11" w:history="1">
              <w:r w:rsidR="003F7EC5" w:rsidRPr="00336697">
                <w:rPr>
                  <w:rStyle w:val="Hyperlink"/>
                </w:rPr>
                <w:t>Education and Care Services National Regulations</w:t>
              </w:r>
            </w:hyperlink>
            <w:r w:rsidR="003F7EC5" w:rsidRPr="00336697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3F7EC5" w:rsidRPr="00336697">
              <w:t>under the National Quality Framework</w:t>
            </w:r>
            <w:r w:rsidR="004A10C4" w:rsidRPr="00336697">
              <w:t>.</w:t>
            </w:r>
            <w:r w:rsidR="003F7EC5" w:rsidRPr="00336697">
              <w:t xml:space="preserve"> </w:t>
            </w:r>
            <w:r w:rsidR="00166A11">
              <w:t>For m</w:t>
            </w:r>
            <w:r w:rsidR="00BA6355" w:rsidRPr="00336697">
              <w:rPr>
                <w:rFonts w:ascii="&amp;quot" w:eastAsia="Times New Roman" w:hAnsi="&amp;quot" w:cs="Times New Roman"/>
                <w:lang w:eastAsia="en-AU"/>
              </w:rPr>
              <w:t>ore information</w:t>
            </w:r>
            <w:r w:rsidR="00166A11">
              <w:rPr>
                <w:rFonts w:ascii="&amp;quot" w:eastAsia="Times New Roman" w:hAnsi="&amp;quot" w:cs="Times New Roman"/>
                <w:lang w:eastAsia="en-AU"/>
              </w:rPr>
              <w:t>,</w:t>
            </w:r>
            <w:r w:rsidR="002A4444" w:rsidRPr="00336697">
              <w:rPr>
                <w:rFonts w:ascii="&amp;quot" w:eastAsia="Times New Roman" w:hAnsi="&amp;quot" w:cs="Times New Roman"/>
                <w:lang w:eastAsia="en-AU"/>
              </w:rPr>
              <w:t xml:space="preserve"> </w:t>
            </w:r>
            <w:r w:rsidR="00BA6355" w:rsidRPr="00336697">
              <w:rPr>
                <w:rFonts w:ascii="&amp;quot" w:eastAsia="Times New Roman" w:hAnsi="&amp;quot" w:cs="Times New Roman"/>
                <w:lang w:eastAsia="en-AU"/>
              </w:rPr>
              <w:t xml:space="preserve">please visit the </w:t>
            </w:r>
            <w:hyperlink r:id="rId12" w:history="1">
              <w:r w:rsidR="002A4444" w:rsidRPr="00336697">
                <w:rPr>
                  <w:rStyle w:val="Hyperlink"/>
                  <w:rFonts w:ascii="&amp;quot" w:eastAsia="Times New Roman" w:hAnsi="&amp;quot" w:cs="Times New Roman"/>
                  <w:lang w:eastAsia="en-AU"/>
                </w:rPr>
                <w:t>indexed fees</w:t>
              </w:r>
            </w:hyperlink>
            <w:r w:rsidR="002A4444" w:rsidRPr="00336697">
              <w:rPr>
                <w:rFonts w:ascii="&amp;quot" w:eastAsia="Times New Roman" w:hAnsi="&amp;quot" w:cs="Times New Roman"/>
                <w:lang w:eastAsia="en-AU"/>
              </w:rPr>
              <w:t xml:space="preserve"> page on the </w:t>
            </w:r>
            <w:r w:rsidR="00BA6355" w:rsidRPr="00336697">
              <w:rPr>
                <w:rFonts w:ascii="&amp;quot" w:eastAsia="Times New Roman" w:hAnsi="&amp;quot" w:cs="Times New Roman"/>
                <w:lang w:eastAsia="en-AU"/>
              </w:rPr>
              <w:t>ACECQA website</w:t>
            </w:r>
            <w:r w:rsidR="004A10C4" w:rsidRPr="00336697">
              <w:rPr>
                <w:rFonts w:ascii="&amp;quot" w:eastAsia="Times New Roman" w:hAnsi="&amp;quot" w:cs="Times New Roman"/>
                <w:lang w:eastAsia="en-AU"/>
              </w:rPr>
              <w:t xml:space="preserve">. </w:t>
            </w:r>
          </w:p>
          <w:p w14:paraId="48913E23" w14:textId="6BE14718" w:rsidR="0045229C" w:rsidRDefault="000D10A0" w:rsidP="009A3943">
            <w:pPr>
              <w:spacing w:after="240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D10A0">
              <w:rPr>
                <w:b/>
                <w:bCs/>
                <w:color w:val="000000"/>
                <w:sz w:val="28"/>
                <w:szCs w:val="28"/>
                <w:lang w:eastAsia="en-AU"/>
              </w:rPr>
              <w:t xml:space="preserve">Early Childhood teachers </w:t>
            </w:r>
          </w:p>
          <w:p w14:paraId="7308DC34" w14:textId="0B3D3F39" w:rsidR="005012A9" w:rsidRPr="003E77E2" w:rsidRDefault="003E77E2" w:rsidP="009A3943">
            <w:pPr>
              <w:spacing w:after="240"/>
            </w:pPr>
            <w:r>
              <w:t>E</w:t>
            </w:r>
            <w:r w:rsidR="000D10A0" w:rsidRPr="000D10A0">
              <w:t xml:space="preserve">arly </w:t>
            </w:r>
            <w:r>
              <w:t>c</w:t>
            </w:r>
            <w:r w:rsidR="000D10A0" w:rsidRPr="000D10A0">
              <w:t xml:space="preserve">hildhood teachers – </w:t>
            </w:r>
            <w:hyperlink r:id="rId13" w:anchor="sec.242" w:history="1">
              <w:r w:rsidR="005012A9" w:rsidRPr="00361D40">
                <w:rPr>
                  <w:rStyle w:val="Hyperlink"/>
                </w:rPr>
                <w:t>regulation 242</w:t>
              </w:r>
            </w:hyperlink>
            <w:r w:rsidR="005012A9">
              <w:t xml:space="preserve"> </w:t>
            </w:r>
            <w:r w:rsidR="00303D11">
              <w:t>(</w:t>
            </w:r>
            <w:r w:rsidR="005012A9">
              <w:rPr>
                <w:i/>
                <w:iCs/>
              </w:rPr>
              <w:t>Persons taken to be early childhood teachers</w:t>
            </w:r>
            <w:r w:rsidR="00303D11">
              <w:rPr>
                <w:i/>
                <w:iCs/>
              </w:rPr>
              <w:t xml:space="preserve">) </w:t>
            </w:r>
            <w:r w:rsidR="005012A9">
              <w:t>has been extended until December 2021.</w:t>
            </w:r>
            <w:r w:rsidR="00166A11">
              <w:t xml:space="preserve"> This means</w:t>
            </w:r>
            <w:r w:rsidR="003508EC">
              <w:t xml:space="preserve"> that educators working towards an approved early childhood teaching qualification</w:t>
            </w:r>
            <w:r w:rsidR="00A4221B">
              <w:t xml:space="preserve"> </w:t>
            </w:r>
            <w:r w:rsidR="00A4221B">
              <w:t xml:space="preserve">or holding an approved early childhood diploma </w:t>
            </w:r>
            <w:r w:rsidR="00A4221B">
              <w:t>may</w:t>
            </w:r>
            <w:r w:rsidR="003508EC">
              <w:t xml:space="preserve"> be considered as early childhood teachers to meet the requirements of regulations 130 to 134</w:t>
            </w:r>
            <w:r w:rsidR="00A4221B">
              <w:t xml:space="preserve">. </w:t>
            </w:r>
            <w:r w:rsidR="003508EC">
              <w:t xml:space="preserve"> S</w:t>
            </w:r>
            <w:r w:rsidR="00361D40" w:rsidRPr="00303D11">
              <w:t xml:space="preserve">ervices </w:t>
            </w:r>
            <w:r w:rsidR="003508EC">
              <w:t>must</w:t>
            </w:r>
            <w:r w:rsidR="00361D40" w:rsidRPr="00303D11">
              <w:t xml:space="preserve"> ensure that </w:t>
            </w:r>
            <w:r w:rsidR="00A4221B">
              <w:t xml:space="preserve">they </w:t>
            </w:r>
            <w:r w:rsidR="00A4221B">
              <w:t>obtain</w:t>
            </w:r>
            <w:r w:rsidR="00A4221B" w:rsidRPr="00303D11">
              <w:t xml:space="preserve"> documentary evidence</w:t>
            </w:r>
            <w:r w:rsidR="00A4221B">
              <w:t xml:space="preserve"> that</w:t>
            </w:r>
            <w:r w:rsidR="00A4221B" w:rsidRPr="00303D11">
              <w:t xml:space="preserve"> </w:t>
            </w:r>
            <w:r w:rsidR="00361D40" w:rsidRPr="00303D11">
              <w:t>educator</w:t>
            </w:r>
            <w:r w:rsidR="00166A11">
              <w:t>s</w:t>
            </w:r>
            <w:r w:rsidR="00361D40" w:rsidRPr="00303D11">
              <w:t xml:space="preserve"> </w:t>
            </w:r>
            <w:r w:rsidR="00166A11">
              <w:t>are</w:t>
            </w:r>
            <w:r w:rsidR="00A4221B">
              <w:t xml:space="preserve"> </w:t>
            </w:r>
            <w:r w:rsidR="005012A9" w:rsidRPr="00303D11">
              <w:t>actively working towards an approved early childhood teaching qualification and ha</w:t>
            </w:r>
            <w:r w:rsidR="00A4221B">
              <w:t>ve</w:t>
            </w:r>
            <w:r w:rsidR="005012A9" w:rsidRPr="00303D11">
              <w:t xml:space="preserve"> completed at least 50 per cent of the course </w:t>
            </w:r>
            <w:r>
              <w:t>or</w:t>
            </w:r>
            <w:r w:rsidR="005012A9" w:rsidRPr="00303D11">
              <w:t xml:space="preserve"> hold an approved diploma </w:t>
            </w:r>
            <w:r w:rsidR="00A4221B">
              <w:t>in</w:t>
            </w:r>
            <w:r w:rsidR="005012A9" w:rsidRPr="00303D11">
              <w:t xml:space="preserve"> education and care </w:t>
            </w:r>
            <w:r w:rsidR="00303D11" w:rsidRPr="00303D11">
              <w:t>to meet the regulation.</w:t>
            </w:r>
            <w:r w:rsidR="00303D11">
              <w:rPr>
                <w:i/>
                <w:iCs/>
              </w:rPr>
              <w:t xml:space="preserve"> </w:t>
            </w:r>
            <w:r w:rsidR="00A4221B">
              <w:rPr>
                <w:i/>
                <w:iCs/>
              </w:rPr>
              <w:t xml:space="preserve"> </w:t>
            </w:r>
          </w:p>
          <w:p w14:paraId="552AA869" w14:textId="01BB8CA1" w:rsidR="009A3943" w:rsidRPr="00210DED" w:rsidRDefault="009A3943" w:rsidP="00210DED">
            <w:pPr>
              <w:spacing w:after="240"/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Resources</w:t>
            </w:r>
          </w:p>
          <w:p w14:paraId="429528FB" w14:textId="260CE851" w:rsidR="00210DED" w:rsidRPr="00BA56CD" w:rsidRDefault="00A31E8E" w:rsidP="009A3943">
            <w:pPr>
              <w:spacing w:before="150" w:line="300" w:lineRule="exact"/>
              <w:rPr>
                <w:color w:val="222222"/>
                <w:lang w:eastAsia="en-AU"/>
              </w:rPr>
            </w:pPr>
            <w:r w:rsidRPr="00BA56CD">
              <w:rPr>
                <w:color w:val="222222"/>
                <w:lang w:eastAsia="en-AU"/>
              </w:rPr>
              <w:t>E</w:t>
            </w:r>
            <w:r w:rsidR="00626F49">
              <w:rPr>
                <w:color w:val="222222"/>
                <w:lang w:eastAsia="en-AU"/>
              </w:rPr>
              <w:t>xceeding</w:t>
            </w:r>
            <w:r w:rsidRPr="00BA56CD">
              <w:rPr>
                <w:color w:val="222222"/>
                <w:lang w:eastAsia="en-AU"/>
              </w:rPr>
              <w:t xml:space="preserve"> the </w:t>
            </w:r>
            <w:r w:rsidR="00917D3C" w:rsidRPr="00BA56CD">
              <w:rPr>
                <w:color w:val="222222"/>
                <w:lang w:eastAsia="en-AU"/>
              </w:rPr>
              <w:t>N</w:t>
            </w:r>
            <w:r w:rsidRPr="00BA56CD">
              <w:rPr>
                <w:color w:val="222222"/>
                <w:lang w:eastAsia="en-AU"/>
              </w:rPr>
              <w:t>ational Quality Standard</w:t>
            </w:r>
            <w:r w:rsidR="00917D3C" w:rsidRPr="00BA56CD">
              <w:rPr>
                <w:color w:val="222222"/>
                <w:lang w:eastAsia="en-AU"/>
              </w:rPr>
              <w:t xml:space="preserve"> (NQS)</w:t>
            </w:r>
            <w:r w:rsidRPr="00BA56CD">
              <w:rPr>
                <w:color w:val="222222"/>
                <w:lang w:eastAsia="en-AU"/>
              </w:rPr>
              <w:t xml:space="preserve"> is going above and beyond what is expected</w:t>
            </w:r>
            <w:r w:rsidR="00917D3C" w:rsidRPr="00BA56CD">
              <w:rPr>
                <w:color w:val="222222"/>
                <w:lang w:eastAsia="en-AU"/>
              </w:rPr>
              <w:t xml:space="preserve"> at the Meeting NQS level and ensuring these </w:t>
            </w:r>
            <w:r w:rsidR="00626F49">
              <w:rPr>
                <w:color w:val="222222"/>
                <w:lang w:eastAsia="en-AU"/>
              </w:rPr>
              <w:t xml:space="preserve">themes </w:t>
            </w:r>
            <w:r w:rsidR="00917D3C" w:rsidRPr="00BA56CD">
              <w:rPr>
                <w:color w:val="222222"/>
                <w:lang w:eastAsia="en-AU"/>
              </w:rPr>
              <w:t>are Em</w:t>
            </w:r>
            <w:r w:rsidR="00382FCB" w:rsidRPr="00BA56CD">
              <w:rPr>
                <w:color w:val="222222"/>
                <w:lang w:eastAsia="en-AU"/>
              </w:rPr>
              <w:t>b</w:t>
            </w:r>
            <w:r w:rsidR="00917D3C" w:rsidRPr="00BA56CD">
              <w:rPr>
                <w:color w:val="222222"/>
                <w:lang w:eastAsia="en-AU"/>
              </w:rPr>
              <w:t>edded into practice</w:t>
            </w:r>
            <w:r w:rsidRPr="00BA56CD">
              <w:rPr>
                <w:color w:val="222222"/>
                <w:lang w:eastAsia="en-AU"/>
              </w:rPr>
              <w:t xml:space="preserve">. </w:t>
            </w:r>
            <w:r w:rsidR="00210DED" w:rsidRPr="00BA56CD">
              <w:rPr>
                <w:color w:val="222222"/>
                <w:lang w:eastAsia="en-AU"/>
              </w:rPr>
              <w:t xml:space="preserve">ACECQA </w:t>
            </w:r>
            <w:r w:rsidRPr="00BA56CD">
              <w:rPr>
                <w:color w:val="222222"/>
                <w:lang w:eastAsia="en-AU"/>
              </w:rPr>
              <w:t xml:space="preserve">has a range of </w:t>
            </w:r>
            <w:r w:rsidR="00210DED" w:rsidRPr="00BA56CD">
              <w:rPr>
                <w:color w:val="222222"/>
                <w:lang w:eastAsia="en-AU"/>
              </w:rPr>
              <w:t>resources</w:t>
            </w:r>
            <w:r w:rsidR="00917D3C" w:rsidRPr="00BA56CD">
              <w:rPr>
                <w:color w:val="222222"/>
                <w:lang w:eastAsia="en-AU"/>
              </w:rPr>
              <w:t>, fact sheets and case studies</w:t>
            </w:r>
            <w:r w:rsidR="00EC3723" w:rsidRPr="00BA56CD">
              <w:rPr>
                <w:color w:val="222222"/>
                <w:lang w:eastAsia="en-AU"/>
              </w:rPr>
              <w:t xml:space="preserve"> to help you</w:t>
            </w:r>
            <w:r w:rsidR="00917D3C" w:rsidRPr="00BA56CD">
              <w:rPr>
                <w:color w:val="222222"/>
                <w:lang w:eastAsia="en-AU"/>
              </w:rPr>
              <w:t xml:space="preserve"> achieve</w:t>
            </w:r>
            <w:r w:rsidR="00626F49">
              <w:rPr>
                <w:color w:val="222222"/>
                <w:lang w:eastAsia="en-AU"/>
              </w:rPr>
              <w:t xml:space="preserve"> an</w:t>
            </w:r>
            <w:r w:rsidR="00917D3C" w:rsidRPr="00BA56CD">
              <w:rPr>
                <w:color w:val="222222"/>
                <w:lang w:eastAsia="en-AU"/>
              </w:rPr>
              <w:t xml:space="preserve"> </w:t>
            </w:r>
            <w:r w:rsidR="00626F49">
              <w:rPr>
                <w:color w:val="222222"/>
                <w:lang w:eastAsia="en-AU"/>
              </w:rPr>
              <w:t>exceeding rating</w:t>
            </w:r>
            <w:r w:rsidR="00917D3C" w:rsidRPr="00BA56CD">
              <w:rPr>
                <w:color w:val="222222"/>
                <w:lang w:eastAsia="en-AU"/>
              </w:rPr>
              <w:t xml:space="preserve">. </w:t>
            </w:r>
            <w:r w:rsidR="00EC3723" w:rsidRPr="00BA56CD">
              <w:rPr>
                <w:color w:val="222222"/>
                <w:lang w:eastAsia="en-AU"/>
              </w:rPr>
              <w:t xml:space="preserve">For more information visit the ACECQA </w:t>
            </w:r>
            <w:hyperlink r:id="rId14" w:history="1">
              <w:r w:rsidR="00382FCB" w:rsidRPr="00BA56CD">
                <w:rPr>
                  <w:rStyle w:val="Hyperlink"/>
                  <w:lang w:eastAsia="en-AU"/>
                </w:rPr>
                <w:t>Exceeding the NQS</w:t>
              </w:r>
            </w:hyperlink>
            <w:r w:rsidR="00382FCB" w:rsidRPr="00BA56CD">
              <w:rPr>
                <w:color w:val="222222"/>
                <w:lang w:eastAsia="en-AU"/>
              </w:rPr>
              <w:t xml:space="preserve"> w</w:t>
            </w:r>
            <w:r w:rsidR="00EC3723" w:rsidRPr="00BA56CD">
              <w:rPr>
                <w:color w:val="222222"/>
                <w:lang w:eastAsia="en-AU"/>
              </w:rPr>
              <w:t xml:space="preserve">ebsite. </w:t>
            </w:r>
          </w:p>
          <w:p w14:paraId="3F985281" w14:textId="0F47BE01" w:rsidR="00DB06B2" w:rsidRPr="00BA56CD" w:rsidRDefault="009A3943" w:rsidP="00DB06B2">
            <w:pPr>
              <w:spacing w:before="150" w:after="240" w:line="300" w:lineRule="exact"/>
              <w:rPr>
                <w:color w:val="222222"/>
                <w:lang w:eastAsia="en-AU"/>
              </w:rPr>
            </w:pPr>
            <w:r w:rsidRPr="00BA56CD">
              <w:rPr>
                <w:color w:val="222222"/>
                <w:lang w:eastAsia="en-AU"/>
              </w:rPr>
              <w:lastRenderedPageBreak/>
              <w:t xml:space="preserve">Early Childhood Australia has a range of webinar, learning module resource and professional networking nights and information available free or at a small cost. For more information visit the </w:t>
            </w:r>
            <w:hyperlink r:id="rId15" w:history="1">
              <w:r w:rsidRPr="00BA56CD">
                <w:rPr>
                  <w:rStyle w:val="Hyperlink"/>
                  <w:lang w:eastAsia="en-AU"/>
                </w:rPr>
                <w:t>Early Childhood Australia</w:t>
              </w:r>
            </w:hyperlink>
            <w:r w:rsidRPr="00BA56CD">
              <w:rPr>
                <w:color w:val="222222"/>
                <w:lang w:eastAsia="en-AU"/>
              </w:rPr>
              <w:t xml:space="preserve"> website. </w:t>
            </w:r>
          </w:p>
          <w:p w14:paraId="170C9FD7" w14:textId="1F4D594E" w:rsidR="00210DED" w:rsidRPr="00DB06B2" w:rsidRDefault="00210DED" w:rsidP="009A3943">
            <w:pPr>
              <w:spacing w:before="150" w:line="300" w:lineRule="exact"/>
              <w:rPr>
                <w:color w:val="222222"/>
                <w:sz w:val="24"/>
                <w:szCs w:val="24"/>
                <w:lang w:eastAsia="en-AU"/>
              </w:rPr>
            </w:pPr>
            <w:r w:rsidRPr="00210DED">
              <w:rPr>
                <w:b/>
                <w:bCs/>
                <w:color w:val="000000"/>
                <w:sz w:val="28"/>
                <w:szCs w:val="28"/>
                <w:lang w:eastAsia="en-AU"/>
              </w:rPr>
              <w:t xml:space="preserve">Update to </w:t>
            </w:r>
            <w:r w:rsidR="00336697">
              <w:rPr>
                <w:b/>
                <w:bCs/>
                <w:color w:val="000000"/>
                <w:sz w:val="28"/>
                <w:szCs w:val="28"/>
                <w:lang w:eastAsia="en-AU"/>
              </w:rPr>
              <w:t>E</w:t>
            </w:r>
            <w:r w:rsidRPr="00210DED">
              <w:rPr>
                <w:b/>
                <w:bCs/>
                <w:color w:val="000000"/>
                <w:sz w:val="28"/>
                <w:szCs w:val="28"/>
                <w:lang w:eastAsia="en-AU"/>
              </w:rPr>
              <w:t xml:space="preserve">arly </w:t>
            </w:r>
            <w:r w:rsidR="00336697">
              <w:rPr>
                <w:b/>
                <w:bCs/>
                <w:color w:val="000000"/>
                <w:sz w:val="28"/>
                <w:szCs w:val="28"/>
                <w:lang w:eastAsia="en-AU"/>
              </w:rPr>
              <w:t>L</w:t>
            </w:r>
            <w:r w:rsidRPr="00210DED">
              <w:rPr>
                <w:b/>
                <w:bCs/>
                <w:color w:val="000000"/>
                <w:sz w:val="28"/>
                <w:szCs w:val="28"/>
                <w:lang w:eastAsia="en-AU"/>
              </w:rPr>
              <w:t>ea</w:t>
            </w:r>
            <w:r w:rsidR="00563536">
              <w:rPr>
                <w:b/>
                <w:bCs/>
                <w:color w:val="000000"/>
                <w:sz w:val="28"/>
                <w:szCs w:val="28"/>
                <w:lang w:eastAsia="en-AU"/>
              </w:rPr>
              <w:t>r</w:t>
            </w:r>
            <w:r w:rsidRPr="00210DED">
              <w:rPr>
                <w:b/>
                <w:bCs/>
                <w:color w:val="000000"/>
                <w:sz w:val="28"/>
                <w:szCs w:val="28"/>
                <w:lang w:eastAsia="en-AU"/>
              </w:rPr>
              <w:t xml:space="preserve">ning </w:t>
            </w:r>
            <w:r w:rsidR="00336697">
              <w:rPr>
                <w:b/>
                <w:bCs/>
                <w:color w:val="000000"/>
                <w:sz w:val="28"/>
                <w:szCs w:val="28"/>
                <w:lang w:eastAsia="en-AU"/>
              </w:rPr>
              <w:t>F</w:t>
            </w:r>
            <w:r w:rsidRPr="00210DED">
              <w:rPr>
                <w:b/>
                <w:bCs/>
                <w:color w:val="000000"/>
                <w:sz w:val="28"/>
                <w:szCs w:val="28"/>
                <w:lang w:eastAsia="en-AU"/>
              </w:rPr>
              <w:t xml:space="preserve">ramework </w:t>
            </w:r>
          </w:p>
          <w:p w14:paraId="48C8BBFD" w14:textId="2B35346B" w:rsidR="004B6474" w:rsidRPr="00BA56CD" w:rsidRDefault="00336697" w:rsidP="00BA56CD">
            <w:pPr>
              <w:spacing w:before="150" w:after="240" w:line="300" w:lineRule="exact"/>
              <w:rPr>
                <w:color w:val="222222"/>
                <w:lang w:eastAsia="en-AU"/>
              </w:rPr>
            </w:pPr>
            <w:r w:rsidRPr="00BA56CD">
              <w:rPr>
                <w:color w:val="222222"/>
                <w:lang w:eastAsia="en-AU"/>
              </w:rPr>
              <w:t xml:space="preserve">Last year the </w:t>
            </w:r>
            <w:r w:rsidR="004B6474" w:rsidRPr="004B6474">
              <w:rPr>
                <w:color w:val="222222"/>
                <w:lang w:eastAsia="en-AU"/>
              </w:rPr>
              <w:t xml:space="preserve">Education Council commissioned an update of the two </w:t>
            </w:r>
            <w:hyperlink r:id="rId16" w:history="1">
              <w:r w:rsidR="004B6474" w:rsidRPr="004B6474">
                <w:rPr>
                  <w:rStyle w:val="Hyperlink"/>
                  <w:lang w:eastAsia="en-AU"/>
                </w:rPr>
                <w:t>national approved learning frameworks</w:t>
              </w:r>
            </w:hyperlink>
            <w:r w:rsidR="004B6474" w:rsidRPr="004B6474">
              <w:rPr>
                <w:color w:val="222222"/>
                <w:lang w:eastAsia="en-AU"/>
              </w:rPr>
              <w:t xml:space="preserve"> Belonging, Being and Becoming, the early years learning framework and My Time, Our Place the learning framework for school aged care.</w:t>
            </w:r>
          </w:p>
          <w:p w14:paraId="41ACF664" w14:textId="72059B9A" w:rsidR="009A3943" w:rsidRDefault="004B6474" w:rsidP="00BA56CD">
            <w:pPr>
              <w:spacing w:before="150" w:after="240" w:line="300" w:lineRule="exact"/>
              <w:rPr>
                <w:color w:val="222222"/>
                <w:lang w:eastAsia="en-AU"/>
              </w:rPr>
            </w:pPr>
            <w:r w:rsidRPr="004B6474">
              <w:rPr>
                <w:color w:val="222222"/>
                <w:lang w:eastAsia="en-AU"/>
              </w:rPr>
              <w:t>Work on the update is expected to commence from early 2021, with a stakeholder feedback and engagement process from mid-2021.</w:t>
            </w:r>
            <w:r w:rsidRPr="00BA56CD">
              <w:t xml:space="preserve"> </w:t>
            </w:r>
            <w:r w:rsidR="00626F49">
              <w:t>Further information will be provided on</w:t>
            </w:r>
            <w:r w:rsidR="00336697" w:rsidRPr="00BA56CD">
              <w:t xml:space="preserve"> o</w:t>
            </w:r>
            <w:r w:rsidRPr="00BA56CD">
              <w:rPr>
                <w:color w:val="222222"/>
                <w:lang w:eastAsia="en-AU"/>
              </w:rPr>
              <w:t>pportunities</w:t>
            </w:r>
            <w:r w:rsidR="00336697" w:rsidRPr="00BA56CD">
              <w:rPr>
                <w:color w:val="222222"/>
                <w:lang w:eastAsia="en-AU"/>
              </w:rPr>
              <w:t xml:space="preserve"> for Provider</w:t>
            </w:r>
            <w:r w:rsidR="00563536">
              <w:rPr>
                <w:color w:val="222222"/>
                <w:lang w:eastAsia="en-AU"/>
              </w:rPr>
              <w:t>s</w:t>
            </w:r>
            <w:r w:rsidR="00336697" w:rsidRPr="00BA56CD">
              <w:rPr>
                <w:color w:val="222222"/>
                <w:lang w:eastAsia="en-AU"/>
              </w:rPr>
              <w:t xml:space="preserve"> and Services </w:t>
            </w:r>
            <w:r w:rsidRPr="00BA56CD">
              <w:rPr>
                <w:color w:val="222222"/>
                <w:lang w:eastAsia="en-AU"/>
              </w:rPr>
              <w:t>to be involved in this process across 2021</w:t>
            </w:r>
            <w:r w:rsidR="00336697" w:rsidRPr="00BA56CD">
              <w:rPr>
                <w:color w:val="222222"/>
                <w:lang w:eastAsia="en-AU"/>
              </w:rPr>
              <w:t xml:space="preserve">. </w:t>
            </w:r>
          </w:p>
          <w:p w14:paraId="46FD2F74" w14:textId="77777777" w:rsidR="00F23485" w:rsidRPr="00272047" w:rsidRDefault="00F23485" w:rsidP="00F23485">
            <w:pPr>
              <w:spacing w:after="240"/>
              <w:rPr>
                <w:b/>
                <w:bCs/>
                <w:color w:val="FF0000"/>
                <w:sz w:val="28"/>
                <w:szCs w:val="28"/>
              </w:rPr>
            </w:pPr>
            <w:r w:rsidRPr="00272047">
              <w:rPr>
                <w:b/>
                <w:bCs/>
                <w:color w:val="000000" w:themeColor="text1"/>
                <w:sz w:val="28"/>
                <w:szCs w:val="28"/>
              </w:rPr>
              <w:t xml:space="preserve">Early Childhood Degree Scholarship Program </w:t>
            </w:r>
          </w:p>
          <w:p w14:paraId="7A123D4B" w14:textId="77777777" w:rsidR="00F23485" w:rsidRPr="00272047" w:rsidRDefault="00F23485" w:rsidP="00F23485">
            <w:pPr>
              <w:spacing w:after="240"/>
              <w:rPr>
                <w:color w:val="000000"/>
              </w:rPr>
            </w:pPr>
            <w:r w:rsidRPr="00272047">
              <w:rPr>
                <w:color w:val="000000"/>
              </w:rPr>
              <w:t xml:space="preserve">The Early Childhood Policy and Regulation Branch of the ACT Education Directorate is committed to increasing the number and profile of degree-qualified educators in the ACT. </w:t>
            </w:r>
          </w:p>
          <w:p w14:paraId="6094E22F" w14:textId="28C66361" w:rsidR="00F23485" w:rsidRPr="00BA56CD" w:rsidRDefault="00F23485" w:rsidP="00F23485">
            <w:pPr>
              <w:spacing w:before="150" w:after="240" w:line="300" w:lineRule="exact"/>
              <w:rPr>
                <w:color w:val="222222"/>
                <w:lang w:eastAsia="en-AU"/>
              </w:rPr>
            </w:pPr>
            <w:r>
              <w:rPr>
                <w:color w:val="000000"/>
              </w:rPr>
              <w:t xml:space="preserve">Applications for the </w:t>
            </w:r>
            <w:r w:rsidRPr="00272047">
              <w:rPr>
                <w:color w:val="000000"/>
              </w:rPr>
              <w:t xml:space="preserve">2021 Early Childhood Degree Scholarship Program </w:t>
            </w:r>
            <w:r>
              <w:rPr>
                <w:color w:val="000000"/>
              </w:rPr>
              <w:t>close on 31 January 2021</w:t>
            </w:r>
            <w:r w:rsidRPr="00272047">
              <w:rPr>
                <w:color w:val="000000"/>
              </w:rPr>
              <w:t xml:space="preserve">. </w:t>
            </w:r>
            <w:r w:rsidRPr="00272047">
              <w:t xml:space="preserve">To request a </w:t>
            </w:r>
            <w:r w:rsidRPr="00272047">
              <w:rPr>
                <w:color w:val="000000" w:themeColor="text1"/>
              </w:rPr>
              <w:t xml:space="preserve">2021 Early Childhood Degree Scholarship Program information pack please email Children's Education and Care Assurance at </w:t>
            </w:r>
            <w:hyperlink r:id="rId17" w:history="1">
              <w:r w:rsidRPr="00272047">
                <w:rPr>
                  <w:color w:val="0563C1"/>
                  <w:u w:val="single"/>
                </w:rPr>
                <w:t>CECA@act.gov.au</w:t>
              </w:r>
            </w:hyperlink>
            <w:r w:rsidRPr="00272047">
              <w:rPr>
                <w:color w:val="000000" w:themeColor="text1"/>
              </w:rPr>
              <w:t xml:space="preserve"> or call +61 2 6207 1114.</w:t>
            </w:r>
          </w:p>
          <w:p w14:paraId="34AA2461" w14:textId="48A95187" w:rsidR="009A0D33" w:rsidRPr="00E2642C" w:rsidRDefault="009A0D33" w:rsidP="00BA56CD">
            <w:pPr>
              <w:spacing w:before="240" w:after="240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E2642C">
              <w:rPr>
                <w:b/>
                <w:bCs/>
                <w:color w:val="000000"/>
                <w:sz w:val="28"/>
                <w:szCs w:val="28"/>
                <w:lang w:eastAsia="en-AU"/>
              </w:rPr>
              <w:t xml:space="preserve">CECA </w:t>
            </w:r>
            <w:r w:rsidR="00592C4E" w:rsidRPr="00E2642C">
              <w:rPr>
                <w:b/>
                <w:bCs/>
                <w:color w:val="000000"/>
                <w:sz w:val="28"/>
                <w:szCs w:val="28"/>
                <w:lang w:eastAsia="en-AU"/>
              </w:rPr>
              <w:t xml:space="preserve">Contact Information and communication channels </w:t>
            </w:r>
          </w:p>
          <w:p w14:paraId="60FDAD60" w14:textId="1A5712F4" w:rsidR="00D9738D" w:rsidRPr="00E2642C" w:rsidRDefault="00592C4E" w:rsidP="009A0D33">
            <w:pPr>
              <w:rPr>
                <w:color w:val="000000"/>
                <w:lang w:eastAsia="en-AU"/>
              </w:rPr>
            </w:pPr>
            <w:r w:rsidRPr="00E2642C">
              <w:rPr>
                <w:color w:val="000000"/>
                <w:lang w:eastAsia="en-AU"/>
              </w:rPr>
              <w:t xml:space="preserve">To keep up to date with information from CECA all providers, service leaders and educators are encouraged to </w:t>
            </w:r>
            <w:r w:rsidR="00D9738D" w:rsidRPr="00E2642C">
              <w:rPr>
                <w:color w:val="000000"/>
                <w:lang w:eastAsia="en-AU"/>
              </w:rPr>
              <w:t xml:space="preserve">connect with CECA’s communication channels. </w:t>
            </w:r>
            <w:r w:rsidR="009A0D33" w:rsidRPr="00E2642C">
              <w:rPr>
                <w:color w:val="000000"/>
                <w:lang w:eastAsia="en-AU"/>
              </w:rPr>
              <w:t xml:space="preserve">Subscribe to receive all CECA </w:t>
            </w:r>
            <w:r w:rsidR="00D9738D" w:rsidRPr="00E2642C">
              <w:rPr>
                <w:color w:val="000000"/>
                <w:lang w:eastAsia="en-AU"/>
              </w:rPr>
              <w:t xml:space="preserve">email </w:t>
            </w:r>
            <w:r w:rsidR="009A0D33" w:rsidRPr="00E2642C">
              <w:rPr>
                <w:color w:val="000000"/>
                <w:lang w:eastAsia="en-AU"/>
              </w:rPr>
              <w:t xml:space="preserve">communications with a request </w:t>
            </w:r>
            <w:r w:rsidR="00F03299" w:rsidRPr="00E2642C">
              <w:t xml:space="preserve">in writing </w:t>
            </w:r>
            <w:hyperlink r:id="rId18" w:history="1">
              <w:r w:rsidR="00F03299" w:rsidRPr="00E2642C">
                <w:rPr>
                  <w:rStyle w:val="Hyperlink"/>
                </w:rPr>
                <w:t>here</w:t>
              </w:r>
            </w:hyperlink>
            <w:r w:rsidR="00D9738D" w:rsidRPr="00E2642C">
              <w:rPr>
                <w:rStyle w:val="Hyperlink"/>
                <w:color w:val="auto"/>
                <w:u w:val="none"/>
              </w:rPr>
              <w:t>,</w:t>
            </w:r>
            <w:r w:rsidR="00D9738D" w:rsidRPr="00E2642C">
              <w:rPr>
                <w:rStyle w:val="Hyperlink"/>
                <w:u w:val="none"/>
              </w:rPr>
              <w:t xml:space="preserve"> </w:t>
            </w:r>
            <w:r w:rsidR="00D9738D" w:rsidRPr="00E2642C">
              <w:rPr>
                <w:rStyle w:val="Hyperlink"/>
                <w:color w:val="auto"/>
                <w:u w:val="none"/>
              </w:rPr>
              <w:t>f</w:t>
            </w:r>
            <w:r w:rsidR="009A0D33" w:rsidRPr="00E2642C">
              <w:rPr>
                <w:color w:val="000000"/>
                <w:lang w:eastAsia="en-AU"/>
              </w:rPr>
              <w:t xml:space="preserve">ollow CECA’s </w:t>
            </w:r>
            <w:hyperlink r:id="rId19" w:history="1">
              <w:r w:rsidR="009A0D33" w:rsidRPr="00E2642C">
                <w:rPr>
                  <w:rStyle w:val="Hyperlink"/>
                  <w:lang w:eastAsia="en-AU"/>
                </w:rPr>
                <w:t>Facebook</w:t>
              </w:r>
            </w:hyperlink>
            <w:r w:rsidR="009A0D33" w:rsidRPr="00E2642C">
              <w:rPr>
                <w:color w:val="000000"/>
                <w:lang w:eastAsia="en-AU"/>
              </w:rPr>
              <w:t xml:space="preserve"> page</w:t>
            </w:r>
            <w:r w:rsidR="00D9738D" w:rsidRPr="00E2642C">
              <w:rPr>
                <w:color w:val="000000"/>
                <w:lang w:eastAsia="en-AU"/>
              </w:rPr>
              <w:t xml:space="preserve"> and a</w:t>
            </w:r>
            <w:r w:rsidR="001A505D" w:rsidRPr="00E2642C">
              <w:rPr>
                <w:color w:val="000000"/>
                <w:lang w:eastAsia="en-AU"/>
              </w:rPr>
              <w:t xml:space="preserve">ttend </w:t>
            </w:r>
            <w:r w:rsidR="003E6057" w:rsidRPr="00E2642C">
              <w:rPr>
                <w:color w:val="000000"/>
                <w:lang w:eastAsia="en-AU"/>
              </w:rPr>
              <w:t xml:space="preserve">CECA’s </w:t>
            </w:r>
            <w:r w:rsidR="001A505D" w:rsidRPr="00E2642C">
              <w:rPr>
                <w:color w:val="000000"/>
                <w:lang w:eastAsia="en-AU"/>
              </w:rPr>
              <w:t>professional learning opportunities</w:t>
            </w:r>
            <w:r w:rsidR="00D9738D" w:rsidRPr="00E2642C">
              <w:rPr>
                <w:color w:val="000000"/>
                <w:lang w:eastAsia="en-AU"/>
              </w:rPr>
              <w:t xml:space="preserve"> and forums.  </w:t>
            </w:r>
          </w:p>
          <w:p w14:paraId="20BBB69E" w14:textId="77777777" w:rsidR="00930D0D" w:rsidRPr="00D9738D" w:rsidRDefault="00930D0D">
            <w:pPr>
              <w:rPr>
                <w:rFonts w:asciiTheme="minorHAnsi" w:hAnsiTheme="minorHAnsi" w:cstheme="minorHAnsi"/>
                <w:color w:val="000000" w:themeColor="text1"/>
                <w:kern w:val="24"/>
                <w:lang w:eastAsia="en-AU"/>
              </w:rPr>
            </w:pPr>
          </w:p>
          <w:p w14:paraId="5C598C82" w14:textId="7A04F1D0" w:rsidR="00930D0D" w:rsidRPr="00D9738D" w:rsidRDefault="00930D0D" w:rsidP="001C1EF5">
            <w:pPr>
              <w:rPr>
                <w:rFonts w:asciiTheme="minorHAnsi" w:hAnsiTheme="minorHAnsi" w:cstheme="minorHAnsi"/>
              </w:rPr>
            </w:pPr>
            <w:r w:rsidRPr="00D9738D">
              <w:rPr>
                <w:rFonts w:asciiTheme="minorHAnsi" w:hAnsiTheme="minorHAnsi" w:cstheme="minorHAnsi"/>
                <w:color w:val="000000" w:themeColor="text1"/>
                <w:kern w:val="24"/>
                <w:lang w:eastAsia="en-AU"/>
              </w:rPr>
              <w:t xml:space="preserve">For enquires in relation to this notification please call CECA on (02) </w:t>
            </w:r>
            <w:r w:rsidRPr="00D9738D">
              <w:rPr>
                <w:rFonts w:asciiTheme="minorHAnsi" w:hAnsiTheme="minorHAnsi" w:cstheme="minorHAnsi"/>
                <w:lang w:eastAsia="en-AU"/>
              </w:rPr>
              <w:t xml:space="preserve">6207 1114 or email </w:t>
            </w:r>
            <w:hyperlink r:id="rId20" w:history="1">
              <w:r w:rsidRPr="00D9738D">
                <w:rPr>
                  <w:rStyle w:val="Hyperlink"/>
                  <w:rFonts w:asciiTheme="minorHAnsi" w:hAnsiTheme="minorHAnsi" w:cstheme="minorHAnsi"/>
                  <w:lang w:val="en-US"/>
                </w:rPr>
                <w:t>CECA@act.gov.au</w:t>
              </w:r>
            </w:hyperlink>
          </w:p>
          <w:p w14:paraId="59F3D2D9" w14:textId="77777777" w:rsidR="00930D0D" w:rsidRPr="00236AAE" w:rsidRDefault="00930D0D">
            <w:pPr>
              <w:pStyle w:val="NormalWeb"/>
              <w:jc w:val="center"/>
              <w:rPr>
                <w:color w:val="333132"/>
                <w:sz w:val="20"/>
                <w:szCs w:val="20"/>
              </w:rPr>
            </w:pPr>
            <w:r w:rsidRPr="00D9738D">
              <w:rPr>
                <w:rFonts w:asciiTheme="minorHAnsi" w:hAnsiTheme="minorHAnsi" w:cstheme="minorHAnsi"/>
              </w:rPr>
              <w:t xml:space="preserve">This email has been authorised by the ACT Regulatory Authority (CECA). CECA are </w:t>
            </w:r>
            <w:r w:rsidRPr="00D9738D">
              <w:rPr>
                <w:rFonts w:asciiTheme="minorHAnsi" w:eastAsia="+mn-ea" w:hAnsiTheme="minorHAnsi" w:cstheme="minorHAnsi"/>
                <w:kern w:val="24"/>
              </w:rPr>
              <w:t>responsible for administering the</w:t>
            </w:r>
            <w:r w:rsidRPr="00D9738D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D9738D">
              <w:rPr>
                <w:rFonts w:asciiTheme="minorHAnsi" w:hAnsiTheme="minorHAnsi" w:cstheme="minorHAnsi"/>
              </w:rPr>
              <w:t>National Quality Framework within the ACT.</w:t>
            </w:r>
          </w:p>
        </w:tc>
      </w:tr>
    </w:tbl>
    <w:p w14:paraId="09CD009B" w14:textId="77777777" w:rsidR="00930D0D" w:rsidRDefault="00930D0D" w:rsidP="00930D0D">
      <w:pPr>
        <w:rPr>
          <w:vanish/>
          <w:color w:val="333132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9"/>
      </w:tblGrid>
      <w:tr w:rsidR="00930D0D" w14:paraId="5619182D" w14:textId="77777777" w:rsidTr="00930D0D">
        <w:trPr>
          <w:tblCellSpacing w:w="0" w:type="dxa"/>
          <w:jc w:val="center"/>
          <w:hidden/>
        </w:trPr>
        <w:tc>
          <w:tcPr>
            <w:tcW w:w="0" w:type="auto"/>
            <w:shd w:val="clear" w:color="auto" w:fill="5C5C5C"/>
            <w:vAlign w:val="center"/>
            <w:hideMark/>
          </w:tcPr>
          <w:p w14:paraId="189CE565" w14:textId="77777777" w:rsidR="00930D0D" w:rsidRDefault="00930D0D">
            <w:pPr>
              <w:rPr>
                <w:vanish/>
                <w:color w:val="333132"/>
              </w:rPr>
            </w:pPr>
          </w:p>
        </w:tc>
      </w:tr>
      <w:tr w:rsidR="00930D0D" w14:paraId="05C5B2BA" w14:textId="77777777" w:rsidTr="00930D0D">
        <w:trPr>
          <w:tblCellSpacing w:w="0" w:type="dxa"/>
          <w:jc w:val="center"/>
        </w:trPr>
        <w:tc>
          <w:tcPr>
            <w:tcW w:w="0" w:type="auto"/>
            <w:shd w:val="clear" w:color="auto" w:fill="5C5C5C"/>
            <w:vAlign w:val="center"/>
            <w:hideMark/>
          </w:tcPr>
          <w:tbl>
            <w:tblPr>
              <w:tblW w:w="10739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3"/>
              <w:gridCol w:w="91"/>
              <w:gridCol w:w="6385"/>
            </w:tblGrid>
            <w:tr w:rsidR="00930D0D" w14:paraId="624AD1D0" w14:textId="77777777" w:rsidTr="007C0994">
              <w:trPr>
                <w:gridAfter w:val="2"/>
                <w:trHeight w:val="157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C5C5C"/>
                  <w:vAlign w:val="center"/>
                  <w:hideMark/>
                </w:tcPr>
                <w:p w14:paraId="1BC150F0" w14:textId="77777777" w:rsidR="00930D0D" w:rsidRDefault="00930D0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30D0D" w14:paraId="0ADACE40" w14:textId="77777777" w:rsidTr="007C0994">
              <w:trPr>
                <w:trHeight w:val="1117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6B601577" w14:textId="77777777" w:rsidR="00930D0D" w:rsidRDefault="00930D0D">
                  <w:pPr>
                    <w:pStyle w:val="NormalWeb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396CD52D" wp14:editId="45954FD1">
                        <wp:extent cx="1089660" cy="350520"/>
                        <wp:effectExtent l="0" t="0" r="0" b="0"/>
                        <wp:docPr id="2" name="Picture 2" descr="facebook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facebook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6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60246E90" w14:textId="77777777" w:rsidR="00930D0D" w:rsidRDefault="00930D0D">
                  <w:pPr>
                    <w:jc w:val="center"/>
                    <w:rPr>
                      <w:color w:val="333132"/>
                    </w:rPr>
                  </w:pPr>
                  <w:r>
                    <w:rPr>
                      <w:color w:val="333132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14:paraId="70B27FB9" w14:textId="77777777" w:rsidR="00930D0D" w:rsidRDefault="00930D0D">
                  <w:pPr>
                    <w:jc w:val="right"/>
                    <w:rPr>
                      <w:color w:val="333132"/>
                    </w:rPr>
                  </w:pPr>
                  <w:r>
                    <w:rPr>
                      <w:noProof/>
                      <w:color w:val="333132"/>
                    </w:rPr>
                    <w:drawing>
                      <wp:inline distT="0" distB="0" distL="0" distR="0" wp14:anchorId="30A803F4" wp14:editId="38AC6AA1">
                        <wp:extent cx="1897380" cy="647700"/>
                        <wp:effectExtent l="0" t="0" r="0" b="0"/>
                        <wp:docPr id="1" name="Picture 1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738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727326A" w14:textId="77777777" w:rsidR="00930D0D" w:rsidRDefault="00930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C662F1D" w14:textId="77777777" w:rsidR="00930D0D" w:rsidRDefault="00930D0D" w:rsidP="00930D0D"/>
    <w:bookmarkEnd w:id="1"/>
    <w:p w14:paraId="472A1F16" w14:textId="77777777" w:rsidR="00930D0D" w:rsidRDefault="00930D0D" w:rsidP="00930D0D"/>
    <w:p w14:paraId="35F767A2" w14:textId="77777777"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C59"/>
    <w:multiLevelType w:val="hybridMultilevel"/>
    <w:tmpl w:val="A4C00C9A"/>
    <w:lvl w:ilvl="0" w:tplc="DA2C7F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6DC"/>
    <w:multiLevelType w:val="hybridMultilevel"/>
    <w:tmpl w:val="01D6B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767C3"/>
    <w:multiLevelType w:val="hybridMultilevel"/>
    <w:tmpl w:val="60203A48"/>
    <w:lvl w:ilvl="0" w:tplc="07EA14C2">
      <w:start w:val="1"/>
      <w:numFmt w:val="bullet"/>
      <w:lvlText w:val="­"/>
      <w:lvlJc w:val="left"/>
      <w:pPr>
        <w:ind w:left="1485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EB226CB"/>
    <w:multiLevelType w:val="multilevel"/>
    <w:tmpl w:val="EC2E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9D6CA0"/>
    <w:multiLevelType w:val="hybridMultilevel"/>
    <w:tmpl w:val="F560E64C"/>
    <w:lvl w:ilvl="0" w:tplc="DA2C7F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1805"/>
    <w:multiLevelType w:val="multilevel"/>
    <w:tmpl w:val="5DB8C1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707165"/>
    <w:multiLevelType w:val="hybridMultilevel"/>
    <w:tmpl w:val="F970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0B39"/>
    <w:multiLevelType w:val="multilevel"/>
    <w:tmpl w:val="8414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502BF"/>
    <w:multiLevelType w:val="hybridMultilevel"/>
    <w:tmpl w:val="333840B2"/>
    <w:lvl w:ilvl="0" w:tplc="DA2C7F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921D0"/>
    <w:multiLevelType w:val="hybridMultilevel"/>
    <w:tmpl w:val="A69EA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0D"/>
    <w:rsid w:val="000838D8"/>
    <w:rsid w:val="000A55AA"/>
    <w:rsid w:val="000B507C"/>
    <w:rsid w:val="000D10A0"/>
    <w:rsid w:val="000D729B"/>
    <w:rsid w:val="00113C49"/>
    <w:rsid w:val="0011537A"/>
    <w:rsid w:val="0013007C"/>
    <w:rsid w:val="00156D0F"/>
    <w:rsid w:val="00165C94"/>
    <w:rsid w:val="00166A11"/>
    <w:rsid w:val="001908AD"/>
    <w:rsid w:val="00192DED"/>
    <w:rsid w:val="001A505D"/>
    <w:rsid w:val="001A7168"/>
    <w:rsid w:val="001A7CDB"/>
    <w:rsid w:val="001C1EF5"/>
    <w:rsid w:val="001C37F5"/>
    <w:rsid w:val="001C49DD"/>
    <w:rsid w:val="001E4B11"/>
    <w:rsid w:val="001E5C08"/>
    <w:rsid w:val="001F4A4B"/>
    <w:rsid w:val="001F4EA2"/>
    <w:rsid w:val="00210DED"/>
    <w:rsid w:val="00216422"/>
    <w:rsid w:val="00223ECA"/>
    <w:rsid w:val="00236AAE"/>
    <w:rsid w:val="00236ABC"/>
    <w:rsid w:val="00242F24"/>
    <w:rsid w:val="00272047"/>
    <w:rsid w:val="0027396B"/>
    <w:rsid w:val="002A2591"/>
    <w:rsid w:val="002A25DE"/>
    <w:rsid w:val="002A4444"/>
    <w:rsid w:val="002C4A1B"/>
    <w:rsid w:val="002F117A"/>
    <w:rsid w:val="00303D11"/>
    <w:rsid w:val="00316589"/>
    <w:rsid w:val="00336697"/>
    <w:rsid w:val="003508EC"/>
    <w:rsid w:val="00355E08"/>
    <w:rsid w:val="00361D40"/>
    <w:rsid w:val="00380DFB"/>
    <w:rsid w:val="00382FCB"/>
    <w:rsid w:val="00393DE2"/>
    <w:rsid w:val="003E6057"/>
    <w:rsid w:val="003E77E2"/>
    <w:rsid w:val="003F7EC5"/>
    <w:rsid w:val="00422FF8"/>
    <w:rsid w:val="00434860"/>
    <w:rsid w:val="00435FA3"/>
    <w:rsid w:val="0045229C"/>
    <w:rsid w:val="00483150"/>
    <w:rsid w:val="004944E0"/>
    <w:rsid w:val="004A10C4"/>
    <w:rsid w:val="004B6474"/>
    <w:rsid w:val="004C7E0D"/>
    <w:rsid w:val="004D703A"/>
    <w:rsid w:val="004E427B"/>
    <w:rsid w:val="004F51CA"/>
    <w:rsid w:val="005012A9"/>
    <w:rsid w:val="005035B6"/>
    <w:rsid w:val="0054201F"/>
    <w:rsid w:val="00563536"/>
    <w:rsid w:val="00586AE6"/>
    <w:rsid w:val="00586C4C"/>
    <w:rsid w:val="00592C4E"/>
    <w:rsid w:val="00597AF1"/>
    <w:rsid w:val="005A2AD7"/>
    <w:rsid w:val="005B73F5"/>
    <w:rsid w:val="00626F49"/>
    <w:rsid w:val="00627CC8"/>
    <w:rsid w:val="00634372"/>
    <w:rsid w:val="006715DC"/>
    <w:rsid w:val="00694CF8"/>
    <w:rsid w:val="006A015A"/>
    <w:rsid w:val="006A0CD8"/>
    <w:rsid w:val="006F20F2"/>
    <w:rsid w:val="0073178E"/>
    <w:rsid w:val="00740213"/>
    <w:rsid w:val="00750EDC"/>
    <w:rsid w:val="00776AFD"/>
    <w:rsid w:val="007C0994"/>
    <w:rsid w:val="007C5CAF"/>
    <w:rsid w:val="007F0E7E"/>
    <w:rsid w:val="0089015D"/>
    <w:rsid w:val="009039BF"/>
    <w:rsid w:val="00917D3C"/>
    <w:rsid w:val="0092287C"/>
    <w:rsid w:val="00930D0D"/>
    <w:rsid w:val="00967781"/>
    <w:rsid w:val="00990AB2"/>
    <w:rsid w:val="009A0D33"/>
    <w:rsid w:val="009A3943"/>
    <w:rsid w:val="009B0FAB"/>
    <w:rsid w:val="009B1944"/>
    <w:rsid w:val="009D30CC"/>
    <w:rsid w:val="009D717E"/>
    <w:rsid w:val="009F52DC"/>
    <w:rsid w:val="00A31E8E"/>
    <w:rsid w:val="00A4221B"/>
    <w:rsid w:val="00A5783B"/>
    <w:rsid w:val="00A91158"/>
    <w:rsid w:val="00A921F3"/>
    <w:rsid w:val="00A92A6B"/>
    <w:rsid w:val="00A94F34"/>
    <w:rsid w:val="00A96682"/>
    <w:rsid w:val="00AB6CB9"/>
    <w:rsid w:val="00AE1E6A"/>
    <w:rsid w:val="00AF2202"/>
    <w:rsid w:val="00B212F1"/>
    <w:rsid w:val="00B2617B"/>
    <w:rsid w:val="00B62BE5"/>
    <w:rsid w:val="00B86D41"/>
    <w:rsid w:val="00BA56CD"/>
    <w:rsid w:val="00BA6355"/>
    <w:rsid w:val="00BA7663"/>
    <w:rsid w:val="00BC4A33"/>
    <w:rsid w:val="00BD145A"/>
    <w:rsid w:val="00C05F50"/>
    <w:rsid w:val="00C17DC8"/>
    <w:rsid w:val="00C3530D"/>
    <w:rsid w:val="00C85CC1"/>
    <w:rsid w:val="00CB0C95"/>
    <w:rsid w:val="00CC1D71"/>
    <w:rsid w:val="00D31D8D"/>
    <w:rsid w:val="00D37364"/>
    <w:rsid w:val="00D44D6B"/>
    <w:rsid w:val="00D50BD8"/>
    <w:rsid w:val="00D530FD"/>
    <w:rsid w:val="00D67AFF"/>
    <w:rsid w:val="00D9738D"/>
    <w:rsid w:val="00DB06B2"/>
    <w:rsid w:val="00DC0FA2"/>
    <w:rsid w:val="00DE1EA1"/>
    <w:rsid w:val="00DF01C0"/>
    <w:rsid w:val="00DF283D"/>
    <w:rsid w:val="00DF3B43"/>
    <w:rsid w:val="00DF5CAB"/>
    <w:rsid w:val="00DF6EE3"/>
    <w:rsid w:val="00E2642C"/>
    <w:rsid w:val="00E26D0F"/>
    <w:rsid w:val="00E548D0"/>
    <w:rsid w:val="00E670A3"/>
    <w:rsid w:val="00E9519B"/>
    <w:rsid w:val="00EA482A"/>
    <w:rsid w:val="00EC3723"/>
    <w:rsid w:val="00F03299"/>
    <w:rsid w:val="00F23485"/>
    <w:rsid w:val="00F535C9"/>
    <w:rsid w:val="00F60E8C"/>
    <w:rsid w:val="00F61D64"/>
    <w:rsid w:val="00F7306D"/>
    <w:rsid w:val="00F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AE27"/>
  <w15:chartTrackingRefBased/>
  <w15:docId w15:val="{1996F95A-01F6-4E19-9786-FCB9FFE4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0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30D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30D0D"/>
    <w:pPr>
      <w:spacing w:before="100" w:beforeAutospacing="1" w:after="100" w:afterAutospacing="1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D0D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D0D"/>
    <w:rPr>
      <w:rFonts w:ascii="Calibri" w:hAnsi="Calibri" w:cs="Calibri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930D0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30D0D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930D0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65C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7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6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7835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438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15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668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nsw.gov.au/view/html/inforce/current/sl-2011-0653" TargetMode="External"/><Relationship Id="rId18" Type="http://schemas.openxmlformats.org/officeDocument/2006/relationships/hyperlink" Target="mailto:CECA@act.gov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www.acecqa.gov.au/resources/applications/indexation-of-fees" TargetMode="External"/><Relationship Id="rId17" Type="http://schemas.openxmlformats.org/officeDocument/2006/relationships/hyperlink" Target="mailto:CECA@act.gov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ecqa.gov.au/nqf/national-law-regulations/approved-learning-frameworks" TargetMode="External"/><Relationship Id="rId20" Type="http://schemas.openxmlformats.org/officeDocument/2006/relationships/hyperlink" Target="mailto:CECA@act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ecqa.gov.au/nqf/national-law-regulations/national-regulations" TargetMode="External"/><Relationship Id="rId24" Type="http://schemas.openxmlformats.org/officeDocument/2006/relationships/image" Target="https://gallery.mailchimp.com/9d0a9f53fb0eff55a9a63446c/images/ad846df6-fa12-49f7-ac88-3fb612010033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arlychildhoodaustralia.org.au/" TargetMode="External"/><Relationship Id="rId23" Type="http://schemas.openxmlformats.org/officeDocument/2006/relationships/image" Target="media/image3.png"/><Relationship Id="rId10" Type="http://schemas.openxmlformats.org/officeDocument/2006/relationships/image" Target="https://gallery.mailchimp.com/9d0a9f53fb0eff55a9a63446c/images/3cbc605f-789e-44aa-8c9b-7a6bfc023fe6.jpg" TargetMode="External"/><Relationship Id="rId19" Type="http://schemas.openxmlformats.org/officeDocument/2006/relationships/hyperlink" Target="https://www.facebook.com/CECAACT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acecqa.gov.au/assessment/exceeding-nqs" TargetMode="External"/><Relationship Id="rId22" Type="http://schemas.openxmlformats.org/officeDocument/2006/relationships/image" Target="https://gallery.mailchimp.com/9d0a9f53fb0eff55a9a63446c/images/bf4e802a-987f-4fa8-8e79-6f5b597ea4e9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86E4D41971409087AC9086949FCE" ma:contentTypeVersion="0" ma:contentTypeDescription="Create a new document." ma:contentTypeScope="" ma:versionID="35de1f246d14cabf46909a2d6d18cd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5b3e751d03f0f69864a51684cc7d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7E4DE-8905-49C5-AE56-35FB22A63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17714-B929-4CD6-A4A8-C3946EE5D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AD89C-1F70-4572-AF35-96023A9DCBE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5ECC66-7854-4DB3-944C-06295C26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Brookes, Clare</cp:lastModifiedBy>
  <cp:revision>7</cp:revision>
  <dcterms:created xsi:type="dcterms:W3CDTF">2021-01-13T05:09:00Z</dcterms:created>
  <dcterms:modified xsi:type="dcterms:W3CDTF">2021-01-20T23:58:00Z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0x010100C9B786E4D41971409087AC9086949FCE</vt:lpwstr>
  </property>
</Properties>
</file>