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D6F" w:rsidRPr="0082220E" w:rsidRDefault="00847F92" w:rsidP="00AC164D">
      <w:pPr>
        <w:pStyle w:val="Heading1"/>
        <w:pBdr>
          <w:bottom w:val="single" w:sz="24" w:space="1" w:color="1F497D" w:themeColor="text2"/>
        </w:pBdr>
        <w:spacing w:before="0" w:line="240" w:lineRule="auto"/>
        <w:jc w:val="both"/>
        <w:rPr>
          <w:rFonts w:asciiTheme="minorHAnsi" w:hAnsiTheme="minorHAnsi"/>
          <w:color w:val="1F497D" w:themeColor="text2"/>
          <w:sz w:val="32"/>
        </w:rPr>
      </w:pPr>
      <w:bookmarkStart w:id="0" w:name="_GoBack"/>
      <w:bookmarkEnd w:id="0"/>
      <w:r w:rsidRPr="0082220E">
        <w:rPr>
          <w:rFonts w:asciiTheme="minorHAnsi" w:hAnsiTheme="minorHAnsi"/>
          <w:i/>
          <w:noProof/>
          <w:color w:val="1F497D" w:themeColor="text2"/>
          <w:sz w:val="32"/>
          <w:lang w:eastAsia="en-AU"/>
        </w:rPr>
        <w:drawing>
          <wp:inline distT="0" distB="0" distL="0" distR="0">
            <wp:extent cx="1666875" cy="728246"/>
            <wp:effectExtent l="0" t="0" r="0" b="0"/>
            <wp:docPr id="1" name="Picture 20" descr="ACT Government Logo - Education and Training Directorate Ver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ACT Government Logo - Education and Training Directorate Version"/>
                    <pic:cNvPicPr>
                      <a:picLocks noChangeAspect="1" noChangeArrowheads="1"/>
                    </pic:cNvPicPr>
                  </pic:nvPicPr>
                  <pic:blipFill>
                    <a:blip r:embed="rId8" cstate="print"/>
                    <a:srcRect/>
                    <a:stretch>
                      <a:fillRect/>
                    </a:stretch>
                  </pic:blipFill>
                  <pic:spPr bwMode="auto">
                    <a:xfrm>
                      <a:off x="0" y="0"/>
                      <a:ext cx="1666875" cy="728246"/>
                    </a:xfrm>
                    <a:prstGeom prst="rect">
                      <a:avLst/>
                    </a:prstGeom>
                    <a:noFill/>
                    <a:ln w="9525">
                      <a:noFill/>
                      <a:miter lim="800000"/>
                      <a:headEnd/>
                      <a:tailEnd/>
                    </a:ln>
                  </pic:spPr>
                </pic:pic>
              </a:graphicData>
            </a:graphic>
          </wp:inline>
        </w:drawing>
      </w:r>
      <w:r w:rsidR="00C13CFB" w:rsidRPr="0082220E">
        <w:rPr>
          <w:rFonts w:asciiTheme="minorHAnsi" w:hAnsiTheme="minorHAnsi"/>
          <w:color w:val="1F497D" w:themeColor="text2"/>
          <w:sz w:val="36"/>
        </w:rPr>
        <w:t xml:space="preserve"> </w:t>
      </w:r>
      <w:r w:rsidR="001D3D6F" w:rsidRPr="0082220E">
        <w:rPr>
          <w:rFonts w:asciiTheme="minorHAnsi" w:hAnsiTheme="minorHAnsi"/>
          <w:i/>
          <w:color w:val="1F497D" w:themeColor="text2"/>
          <w:sz w:val="36"/>
        </w:rPr>
        <w:t xml:space="preserve">Engaging Schools </w:t>
      </w:r>
      <w:r w:rsidR="00FD136F" w:rsidRPr="0082220E">
        <w:rPr>
          <w:rFonts w:asciiTheme="minorHAnsi" w:hAnsiTheme="minorHAnsi"/>
          <w:i/>
          <w:color w:val="1F497D" w:themeColor="text2"/>
          <w:sz w:val="36"/>
        </w:rPr>
        <w:t>Discussion Paper</w:t>
      </w:r>
      <w:r w:rsidR="008E421B" w:rsidRPr="0082220E">
        <w:rPr>
          <w:rFonts w:asciiTheme="minorHAnsi" w:hAnsiTheme="minorHAnsi"/>
          <w:i/>
          <w:color w:val="1F497D" w:themeColor="text2"/>
          <w:sz w:val="36"/>
        </w:rPr>
        <w:t xml:space="preserve"> </w:t>
      </w:r>
      <w:r w:rsidRPr="0082220E">
        <w:rPr>
          <w:rFonts w:asciiTheme="minorHAnsi" w:hAnsiTheme="minorHAnsi"/>
          <w:i/>
          <w:color w:val="1F497D" w:themeColor="text2"/>
          <w:sz w:val="36"/>
        </w:rPr>
        <w:t>August</w:t>
      </w:r>
      <w:r w:rsidR="008E421B" w:rsidRPr="0082220E">
        <w:rPr>
          <w:rFonts w:asciiTheme="minorHAnsi" w:hAnsiTheme="minorHAnsi"/>
          <w:i/>
          <w:color w:val="1F497D" w:themeColor="text2"/>
          <w:sz w:val="36"/>
        </w:rPr>
        <w:t xml:space="preserve"> 2013</w:t>
      </w:r>
    </w:p>
    <w:p w:rsidR="001D3D6F" w:rsidRPr="0082220E" w:rsidRDefault="001D3D6F" w:rsidP="0000799B">
      <w:pPr>
        <w:spacing w:after="0"/>
        <w:jc w:val="both"/>
        <w:rPr>
          <w:i/>
          <w:color w:val="1F497D" w:themeColor="text2"/>
          <w:sz w:val="20"/>
        </w:rPr>
      </w:pPr>
    </w:p>
    <w:p w:rsidR="008B2504" w:rsidRPr="0082220E" w:rsidRDefault="008B2504" w:rsidP="0000799B">
      <w:pPr>
        <w:spacing w:after="0"/>
        <w:jc w:val="both"/>
        <w:rPr>
          <w:i/>
          <w:color w:val="1F497D" w:themeColor="text2"/>
          <w:sz w:val="20"/>
        </w:rPr>
        <w:sectPr w:rsidR="008B2504" w:rsidRPr="0082220E" w:rsidSect="001D3D6F">
          <w:pgSz w:w="23814" w:h="16839" w:orient="landscape" w:code="8"/>
          <w:pgMar w:top="1080" w:right="1440" w:bottom="1080" w:left="1440" w:header="708" w:footer="708" w:gutter="0"/>
          <w:cols w:space="708"/>
          <w:docGrid w:linePitch="360"/>
        </w:sectPr>
      </w:pPr>
    </w:p>
    <w:p w:rsidR="00FD136F" w:rsidRPr="0082220E" w:rsidRDefault="00FD136F" w:rsidP="00AC164D">
      <w:pPr>
        <w:pStyle w:val="Heading2"/>
        <w:spacing w:before="0" w:line="240" w:lineRule="auto"/>
        <w:rPr>
          <w:rFonts w:asciiTheme="minorHAnsi" w:hAnsiTheme="minorHAnsi"/>
          <w:sz w:val="32"/>
        </w:rPr>
      </w:pPr>
      <w:r w:rsidRPr="0082220E">
        <w:rPr>
          <w:rFonts w:asciiTheme="minorHAnsi" w:hAnsiTheme="minorHAnsi"/>
          <w:sz w:val="32"/>
        </w:rPr>
        <w:t xml:space="preserve">Using the Discussion Paper </w:t>
      </w:r>
    </w:p>
    <w:p w:rsidR="0017757A" w:rsidRPr="0082220E" w:rsidRDefault="0017757A" w:rsidP="00847F92">
      <w:pPr>
        <w:pStyle w:val="BodyText"/>
        <w:spacing w:before="0"/>
        <w:jc w:val="center"/>
        <w:rPr>
          <w:b/>
          <w:color w:val="FFFFFF" w:themeColor="background1"/>
        </w:rPr>
      </w:pPr>
    </w:p>
    <w:p w:rsidR="0017757A" w:rsidRPr="00AC164D" w:rsidRDefault="0017757A" w:rsidP="00847F92">
      <w:pPr>
        <w:pStyle w:val="BodyText"/>
        <w:shd w:val="clear" w:color="auto" w:fill="FFFFFF" w:themeFill="background1"/>
        <w:jc w:val="center"/>
        <w:rPr>
          <w:b/>
          <w:color w:val="1F497D" w:themeColor="text2"/>
          <w:sz w:val="24"/>
        </w:rPr>
      </w:pPr>
      <w:r w:rsidRPr="00AC164D">
        <w:rPr>
          <w:b/>
          <w:color w:val="1F497D" w:themeColor="text2"/>
          <w:sz w:val="24"/>
        </w:rPr>
        <w:t xml:space="preserve">The </w:t>
      </w:r>
      <w:r w:rsidRPr="00AC164D">
        <w:rPr>
          <w:b/>
          <w:i/>
          <w:color w:val="1F497D" w:themeColor="text2"/>
          <w:sz w:val="24"/>
        </w:rPr>
        <w:t>Engaging Schools Discussion Paper</w:t>
      </w:r>
      <w:r w:rsidRPr="00AC164D">
        <w:rPr>
          <w:b/>
          <w:color w:val="1F497D" w:themeColor="text2"/>
          <w:sz w:val="24"/>
        </w:rPr>
        <w:t xml:space="preserve"> has been written for schools. It draws on Australian and international literature and insights from stakeholders within ACT public schools.</w:t>
      </w:r>
    </w:p>
    <w:p w:rsidR="0017757A" w:rsidRPr="0082220E" w:rsidRDefault="0017757A" w:rsidP="008E421B">
      <w:pPr>
        <w:pStyle w:val="BodyText"/>
        <w:spacing w:before="0"/>
        <w:rPr>
          <w:b/>
          <w:color w:val="1F497D" w:themeColor="text2"/>
        </w:rPr>
      </w:pPr>
    </w:p>
    <w:p w:rsidR="00FD136F" w:rsidRPr="00AC164D" w:rsidRDefault="003E46E8" w:rsidP="00AC164D">
      <w:pPr>
        <w:pStyle w:val="Heading2"/>
        <w:rPr>
          <w:rFonts w:asciiTheme="minorHAnsi" w:hAnsiTheme="minorHAnsi"/>
        </w:rPr>
      </w:pPr>
      <w:r w:rsidRPr="00AC164D">
        <w:rPr>
          <w:rFonts w:asciiTheme="minorHAnsi" w:hAnsiTheme="minorHAnsi"/>
        </w:rPr>
        <w:t>A</w:t>
      </w:r>
      <w:r w:rsidR="008E421B" w:rsidRPr="00AC164D">
        <w:rPr>
          <w:rFonts w:asciiTheme="minorHAnsi" w:hAnsiTheme="minorHAnsi"/>
        </w:rPr>
        <w:t xml:space="preserve">im of this </w:t>
      </w:r>
      <w:r w:rsidR="00FD136F" w:rsidRPr="00AC164D">
        <w:rPr>
          <w:rFonts w:asciiTheme="minorHAnsi" w:hAnsiTheme="minorHAnsi"/>
        </w:rPr>
        <w:t>Discussion Paper</w:t>
      </w:r>
      <w:r w:rsidR="008E421B" w:rsidRPr="00AC164D">
        <w:rPr>
          <w:rFonts w:asciiTheme="minorHAnsi" w:hAnsiTheme="minorHAnsi"/>
        </w:rPr>
        <w:t>:</w:t>
      </w:r>
    </w:p>
    <w:p w:rsidR="00FD136F" w:rsidRPr="0082220E" w:rsidRDefault="00FD136F" w:rsidP="00FD136F">
      <w:pPr>
        <w:pStyle w:val="BodyText"/>
        <w:rPr>
          <w:color w:val="1F497D" w:themeColor="text2"/>
        </w:rPr>
      </w:pPr>
      <w:r w:rsidRPr="0082220E">
        <w:rPr>
          <w:color w:val="1F497D" w:themeColor="text2"/>
        </w:rPr>
        <w:t xml:space="preserve">The aim of the </w:t>
      </w:r>
      <w:r w:rsidRPr="0082220E">
        <w:rPr>
          <w:i/>
          <w:color w:val="1F497D" w:themeColor="text2"/>
        </w:rPr>
        <w:t>Discussion Paper</w:t>
      </w:r>
      <w:r w:rsidRPr="0082220E">
        <w:rPr>
          <w:color w:val="1F497D" w:themeColor="text2"/>
        </w:rPr>
        <w:t xml:space="preserve"> is to provide a platform for conversations upon which schools can discuss their approach to engaging </w:t>
      </w:r>
      <w:r w:rsidRPr="0082220E">
        <w:rPr>
          <w:i/>
          <w:color w:val="1F497D" w:themeColor="text2"/>
        </w:rPr>
        <w:t>all</w:t>
      </w:r>
      <w:r w:rsidRPr="0082220E">
        <w:rPr>
          <w:color w:val="1F497D" w:themeColor="text2"/>
        </w:rPr>
        <w:t xml:space="preserve"> of their students. </w:t>
      </w:r>
    </w:p>
    <w:p w:rsidR="00FD136F" w:rsidRPr="0082220E" w:rsidRDefault="00FD136F" w:rsidP="00FD136F">
      <w:pPr>
        <w:pStyle w:val="BodyText"/>
        <w:rPr>
          <w:b/>
          <w:color w:val="1F497D" w:themeColor="text2"/>
        </w:rPr>
      </w:pPr>
      <w:r w:rsidRPr="0082220E">
        <w:rPr>
          <w:b/>
          <w:color w:val="1F497D" w:themeColor="text2"/>
        </w:rPr>
        <w:t xml:space="preserve">The </w:t>
      </w:r>
      <w:r w:rsidRPr="0082220E">
        <w:rPr>
          <w:b/>
          <w:i/>
          <w:color w:val="1F497D" w:themeColor="text2"/>
        </w:rPr>
        <w:t xml:space="preserve">Discussion Paper </w:t>
      </w:r>
      <w:r w:rsidRPr="00AC164D">
        <w:rPr>
          <w:b/>
          <w:color w:val="1F497D" w:themeColor="text2"/>
        </w:rPr>
        <w:t>and ensuing conversations</w:t>
      </w:r>
      <w:r w:rsidRPr="0082220E">
        <w:rPr>
          <w:b/>
          <w:color w:val="1F497D" w:themeColor="text2"/>
        </w:rPr>
        <w:t xml:space="preserve"> are intended to: </w:t>
      </w:r>
    </w:p>
    <w:p w:rsidR="00FD136F" w:rsidRPr="0082220E" w:rsidRDefault="00FD136F" w:rsidP="008E421B">
      <w:pPr>
        <w:pStyle w:val="BodyText"/>
        <w:numPr>
          <w:ilvl w:val="0"/>
          <w:numId w:val="26"/>
        </w:numPr>
        <w:rPr>
          <w:color w:val="1F497D" w:themeColor="text2"/>
        </w:rPr>
      </w:pPr>
      <w:r w:rsidRPr="0082220E">
        <w:rPr>
          <w:color w:val="1F497D" w:themeColor="text2"/>
        </w:rPr>
        <w:t>Provide a common language and shared frame of reference for all stakeholders who play a part in supporting schools to engage all students in the ACT (including teachers, schools, community organisations and government)</w:t>
      </w:r>
    </w:p>
    <w:p w:rsidR="00FD136F" w:rsidRPr="0082220E" w:rsidRDefault="00FD136F" w:rsidP="008E421B">
      <w:pPr>
        <w:pStyle w:val="BodyText"/>
        <w:numPr>
          <w:ilvl w:val="0"/>
          <w:numId w:val="26"/>
        </w:numPr>
        <w:rPr>
          <w:color w:val="1F497D" w:themeColor="text2"/>
        </w:rPr>
      </w:pPr>
      <w:r w:rsidRPr="0082220E">
        <w:rPr>
          <w:color w:val="1F497D" w:themeColor="text2"/>
        </w:rPr>
        <w:t xml:space="preserve">Identify, promote and share examples of good practice and effective strategies drawn from international research and the practical experiences of public schools in the ACT </w:t>
      </w:r>
    </w:p>
    <w:p w:rsidR="0017757A" w:rsidRPr="0082220E" w:rsidRDefault="00FD136F" w:rsidP="0017757A">
      <w:pPr>
        <w:pStyle w:val="BodyText"/>
        <w:numPr>
          <w:ilvl w:val="0"/>
          <w:numId w:val="26"/>
        </w:numPr>
        <w:rPr>
          <w:color w:val="1F497D" w:themeColor="text2"/>
        </w:rPr>
      </w:pPr>
      <w:r w:rsidRPr="0082220E">
        <w:rPr>
          <w:color w:val="1F497D" w:themeColor="text2"/>
        </w:rPr>
        <w:t>Support the development of an approach to guide schools and their communities to implement good practices.</w:t>
      </w:r>
    </w:p>
    <w:p w:rsidR="00DD5E66" w:rsidRPr="0082220E" w:rsidRDefault="00DD5E66" w:rsidP="00DD5E66">
      <w:pPr>
        <w:pStyle w:val="Heading3"/>
        <w:rPr>
          <w:rFonts w:asciiTheme="minorHAnsi" w:hAnsiTheme="minorHAnsi"/>
        </w:rPr>
      </w:pPr>
    </w:p>
    <w:p w:rsidR="00DD5E66" w:rsidRPr="0082220E" w:rsidRDefault="00DD5E66" w:rsidP="00DD5E66">
      <w:pPr>
        <w:pStyle w:val="Heading2"/>
        <w:rPr>
          <w:rFonts w:asciiTheme="minorHAnsi" w:hAnsiTheme="minorHAnsi"/>
        </w:rPr>
      </w:pPr>
    </w:p>
    <w:p w:rsidR="00DD5E66" w:rsidRPr="00AC164D" w:rsidRDefault="00DD5E66" w:rsidP="00847F92">
      <w:pPr>
        <w:pStyle w:val="Heading2"/>
        <w:pBdr>
          <w:top w:val="thinThickLargeGap" w:sz="24" w:space="1" w:color="C0504D" w:themeColor="accent2"/>
          <w:left w:val="thinThickLargeGap" w:sz="24" w:space="4" w:color="C0504D" w:themeColor="accent2"/>
          <w:bottom w:val="thickThinLargeGap" w:sz="24" w:space="1" w:color="C0504D" w:themeColor="accent2"/>
          <w:right w:val="thickThinLargeGap" w:sz="24" w:space="4" w:color="C0504D" w:themeColor="accent2"/>
        </w:pBdr>
        <w:rPr>
          <w:rFonts w:asciiTheme="minorHAnsi" w:hAnsiTheme="minorHAnsi"/>
          <w:color w:val="1F497D" w:themeColor="text2"/>
          <w:sz w:val="24"/>
        </w:rPr>
      </w:pPr>
      <w:r w:rsidRPr="00AC164D">
        <w:rPr>
          <w:rFonts w:asciiTheme="minorHAnsi" w:hAnsiTheme="minorHAnsi"/>
          <w:color w:val="1F497D" w:themeColor="text2"/>
          <w:sz w:val="24"/>
        </w:rPr>
        <w:t>In launching the Discussion Paper, the Director General made the following remarks:</w:t>
      </w:r>
    </w:p>
    <w:p w:rsidR="00AC164D" w:rsidRDefault="00AC164D" w:rsidP="00847F92">
      <w:pPr>
        <w:pBdr>
          <w:top w:val="thinThickLargeGap" w:sz="24" w:space="1" w:color="C0504D" w:themeColor="accent2"/>
          <w:left w:val="thinThickLargeGap" w:sz="24" w:space="4" w:color="C0504D" w:themeColor="accent2"/>
          <w:bottom w:val="thickThinLargeGap" w:sz="24" w:space="1" w:color="C0504D" w:themeColor="accent2"/>
          <w:right w:val="thickThinLargeGap" w:sz="24" w:space="4" w:color="C0504D" w:themeColor="accent2"/>
        </w:pBdr>
        <w:rPr>
          <w:color w:val="C0504D" w:themeColor="accent2"/>
        </w:rPr>
      </w:pPr>
    </w:p>
    <w:p w:rsidR="00DD5E66" w:rsidRPr="00AC164D" w:rsidRDefault="00DD5E66" w:rsidP="00847F92">
      <w:pPr>
        <w:pBdr>
          <w:top w:val="thinThickLargeGap" w:sz="24" w:space="1" w:color="C0504D" w:themeColor="accent2"/>
          <w:left w:val="thinThickLargeGap" w:sz="24" w:space="4" w:color="C0504D" w:themeColor="accent2"/>
          <w:bottom w:val="thickThinLargeGap" w:sz="24" w:space="1" w:color="C0504D" w:themeColor="accent2"/>
          <w:right w:val="thickThinLargeGap" w:sz="24" w:space="4" w:color="C0504D" w:themeColor="accent2"/>
        </w:pBdr>
        <w:rPr>
          <w:i/>
          <w:color w:val="C0504D" w:themeColor="accent2"/>
          <w:sz w:val="24"/>
        </w:rPr>
      </w:pPr>
      <w:r w:rsidRPr="00AC164D">
        <w:rPr>
          <w:color w:val="C0504D" w:themeColor="accent2"/>
          <w:sz w:val="24"/>
        </w:rPr>
        <w:t>“</w:t>
      </w:r>
      <w:r w:rsidRPr="00AC164D">
        <w:rPr>
          <w:i/>
          <w:color w:val="C0504D" w:themeColor="accent2"/>
          <w:sz w:val="24"/>
        </w:rPr>
        <w:t xml:space="preserve">We are talking about a shift from focusing primarily on disengaged students towards supporting better engagement for all students. </w:t>
      </w:r>
    </w:p>
    <w:p w:rsidR="00DD5E66" w:rsidRPr="00AC164D" w:rsidRDefault="00DD5E66" w:rsidP="00847F92">
      <w:pPr>
        <w:pBdr>
          <w:top w:val="thinThickLargeGap" w:sz="24" w:space="1" w:color="C0504D" w:themeColor="accent2"/>
          <w:left w:val="thinThickLargeGap" w:sz="24" w:space="4" w:color="C0504D" w:themeColor="accent2"/>
          <w:bottom w:val="thickThinLargeGap" w:sz="24" w:space="1" w:color="C0504D" w:themeColor="accent2"/>
          <w:right w:val="thickThinLargeGap" w:sz="24" w:space="4" w:color="C0504D" w:themeColor="accent2"/>
        </w:pBdr>
        <w:rPr>
          <w:color w:val="C0504D" w:themeColor="accent2"/>
          <w:sz w:val="24"/>
        </w:rPr>
      </w:pPr>
      <w:r w:rsidRPr="00AC164D">
        <w:rPr>
          <w:i/>
          <w:color w:val="C0504D" w:themeColor="accent2"/>
          <w:sz w:val="24"/>
        </w:rPr>
        <w:t>When we talk about engaging schools, we are talking about engaging all students – and consequently all teachers and all leaders and how we do that together with the community</w:t>
      </w:r>
      <w:r w:rsidRPr="00AC164D">
        <w:rPr>
          <w:color w:val="C0504D" w:themeColor="accent2"/>
          <w:sz w:val="24"/>
        </w:rPr>
        <w:t>.”</w:t>
      </w:r>
    </w:p>
    <w:p w:rsidR="00DD5E66" w:rsidRPr="00AC164D" w:rsidRDefault="00DD5E66" w:rsidP="00847F92">
      <w:pPr>
        <w:pBdr>
          <w:top w:val="thinThickLargeGap" w:sz="24" w:space="1" w:color="C0504D" w:themeColor="accent2"/>
          <w:left w:val="thinThickLargeGap" w:sz="24" w:space="4" w:color="C0504D" w:themeColor="accent2"/>
          <w:bottom w:val="thickThinLargeGap" w:sz="24" w:space="1" w:color="C0504D" w:themeColor="accent2"/>
          <w:right w:val="thickThinLargeGap" w:sz="24" w:space="4" w:color="C0504D" w:themeColor="accent2"/>
        </w:pBdr>
        <w:spacing w:after="0"/>
        <w:jc w:val="right"/>
        <w:rPr>
          <w:color w:val="C0504D" w:themeColor="accent2"/>
          <w:sz w:val="24"/>
        </w:rPr>
      </w:pPr>
      <w:r w:rsidRPr="00AC164D">
        <w:rPr>
          <w:color w:val="C0504D" w:themeColor="accent2"/>
          <w:sz w:val="24"/>
        </w:rPr>
        <w:t>Diane Joseph</w:t>
      </w:r>
    </w:p>
    <w:p w:rsidR="00DD5E66" w:rsidRPr="00AC164D" w:rsidRDefault="00DD5E66" w:rsidP="00847F92">
      <w:pPr>
        <w:pBdr>
          <w:top w:val="thinThickLargeGap" w:sz="24" w:space="1" w:color="C0504D" w:themeColor="accent2"/>
          <w:left w:val="thinThickLargeGap" w:sz="24" w:space="4" w:color="C0504D" w:themeColor="accent2"/>
          <w:bottom w:val="thickThinLargeGap" w:sz="24" w:space="1" w:color="C0504D" w:themeColor="accent2"/>
          <w:right w:val="thickThinLargeGap" w:sz="24" w:space="4" w:color="C0504D" w:themeColor="accent2"/>
        </w:pBdr>
        <w:spacing w:after="0"/>
        <w:jc w:val="right"/>
        <w:rPr>
          <w:color w:val="C0504D" w:themeColor="accent2"/>
          <w:sz w:val="24"/>
        </w:rPr>
      </w:pPr>
      <w:r w:rsidRPr="00AC164D">
        <w:rPr>
          <w:color w:val="C0504D" w:themeColor="accent2"/>
          <w:sz w:val="24"/>
        </w:rPr>
        <w:t>Director General</w:t>
      </w:r>
    </w:p>
    <w:p w:rsidR="00DD5E66" w:rsidRPr="00AC164D" w:rsidRDefault="00DD5E66" w:rsidP="00847F92">
      <w:pPr>
        <w:pBdr>
          <w:top w:val="thinThickLargeGap" w:sz="24" w:space="1" w:color="C0504D" w:themeColor="accent2"/>
          <w:left w:val="thinThickLargeGap" w:sz="24" w:space="4" w:color="C0504D" w:themeColor="accent2"/>
          <w:bottom w:val="thickThinLargeGap" w:sz="24" w:space="1" w:color="C0504D" w:themeColor="accent2"/>
          <w:right w:val="thickThinLargeGap" w:sz="24" w:space="4" w:color="C0504D" w:themeColor="accent2"/>
        </w:pBdr>
        <w:spacing w:after="0"/>
        <w:jc w:val="right"/>
        <w:rPr>
          <w:color w:val="C0504D" w:themeColor="accent2"/>
          <w:sz w:val="24"/>
        </w:rPr>
      </w:pPr>
      <w:r w:rsidRPr="00AC164D">
        <w:rPr>
          <w:color w:val="C0504D" w:themeColor="accent2"/>
          <w:sz w:val="24"/>
        </w:rPr>
        <w:t>ACT School Leadership Conference May 2013</w:t>
      </w:r>
    </w:p>
    <w:p w:rsidR="00FD136F" w:rsidRPr="00AC164D" w:rsidRDefault="0017757A" w:rsidP="00AC164D">
      <w:pPr>
        <w:pStyle w:val="Heading2"/>
        <w:spacing w:before="0"/>
        <w:rPr>
          <w:rFonts w:asciiTheme="minorHAnsi" w:hAnsiTheme="minorHAnsi"/>
        </w:rPr>
      </w:pPr>
      <w:r w:rsidRPr="0082220E">
        <w:br w:type="column"/>
      </w:r>
      <w:r w:rsidR="00FD136F" w:rsidRPr="00AC164D">
        <w:rPr>
          <w:rFonts w:asciiTheme="minorHAnsi" w:hAnsiTheme="minorHAnsi"/>
        </w:rPr>
        <w:t xml:space="preserve">Underpinning Principles  </w:t>
      </w:r>
    </w:p>
    <w:p w:rsidR="00FD136F" w:rsidRPr="0082220E" w:rsidRDefault="00FD136F" w:rsidP="00FD136F">
      <w:pPr>
        <w:pStyle w:val="BodyText"/>
        <w:rPr>
          <w:b/>
          <w:color w:val="1F497D" w:themeColor="text2"/>
        </w:rPr>
      </w:pPr>
      <w:r w:rsidRPr="0082220E">
        <w:rPr>
          <w:color w:val="1F497D" w:themeColor="text2"/>
        </w:rPr>
        <w:t xml:space="preserve">Consultation with stakeholders within the ACT and research revealed some principles which underpin good practice of engaging schools, and an engaging school system. These principles are considered in turn below. Engaging schools:  </w:t>
      </w:r>
    </w:p>
    <w:p w:rsidR="00FD136F" w:rsidRPr="0082220E" w:rsidRDefault="00FD136F" w:rsidP="00DD5E66">
      <w:pPr>
        <w:pStyle w:val="Heading4"/>
        <w:rPr>
          <w:rFonts w:asciiTheme="minorHAnsi" w:hAnsiTheme="minorHAnsi"/>
        </w:rPr>
      </w:pPr>
      <w:r w:rsidRPr="0082220E">
        <w:rPr>
          <w:rFonts w:asciiTheme="minorHAnsi" w:hAnsiTheme="minorHAnsi"/>
        </w:rPr>
        <w:t>Ensure every student belongs to their school</w:t>
      </w:r>
    </w:p>
    <w:p w:rsidR="00FD136F" w:rsidRPr="0082220E" w:rsidRDefault="00FD136F" w:rsidP="008E421B">
      <w:pPr>
        <w:pStyle w:val="BodyText"/>
        <w:ind w:left="720"/>
        <w:rPr>
          <w:color w:val="1F497D" w:themeColor="text2"/>
        </w:rPr>
      </w:pPr>
      <w:r w:rsidRPr="0082220E">
        <w:rPr>
          <w:i/>
          <w:color w:val="1F497D" w:themeColor="text2"/>
        </w:rPr>
        <w:t>Engaging schools take responsibility for achieving good outcomes for every student.</w:t>
      </w:r>
      <w:r w:rsidRPr="0082220E">
        <w:rPr>
          <w:color w:val="1F497D" w:themeColor="text2"/>
        </w:rPr>
        <w:t xml:space="preserve"> Not all students engage easily with school, and working with students with diverse abilities and needs can create extra demands on teachers’ time and attention. It is easy for students, in particular those that are disengaged from school, to fall between the cracks of an education system and to leave school without realising their potential. </w:t>
      </w:r>
    </w:p>
    <w:p w:rsidR="00FD136F" w:rsidRPr="0082220E" w:rsidRDefault="00FD136F" w:rsidP="008E421B">
      <w:pPr>
        <w:pStyle w:val="BodyText"/>
        <w:ind w:left="720"/>
        <w:rPr>
          <w:color w:val="1F497D" w:themeColor="text2"/>
        </w:rPr>
      </w:pPr>
      <w:r w:rsidRPr="0082220E">
        <w:rPr>
          <w:color w:val="1F497D" w:themeColor="text2"/>
        </w:rPr>
        <w:t xml:space="preserve">The ACT Government and community recognise that every student has a right to receive the best possible education, inclusive of their ability, behaviour, background, or the challenges which they face.  Engaging schools take responsibility for every student by building relationships with them, understanding them, providing them with a safe environment and the opportunity to learn, and by connecting them to the community.  </w:t>
      </w:r>
    </w:p>
    <w:p w:rsidR="00FD136F" w:rsidRPr="0082220E" w:rsidRDefault="00FD136F" w:rsidP="00DD5E66">
      <w:pPr>
        <w:pStyle w:val="Heading4"/>
        <w:rPr>
          <w:rFonts w:asciiTheme="minorHAnsi" w:hAnsiTheme="minorHAnsi"/>
        </w:rPr>
      </w:pPr>
      <w:r w:rsidRPr="0082220E">
        <w:rPr>
          <w:rFonts w:asciiTheme="minorHAnsi" w:hAnsiTheme="minorHAnsi"/>
        </w:rPr>
        <w:t>Engage everybody</w:t>
      </w:r>
    </w:p>
    <w:p w:rsidR="008E421B" w:rsidRPr="0082220E" w:rsidRDefault="00FD136F" w:rsidP="008E421B">
      <w:pPr>
        <w:pStyle w:val="BodyText"/>
        <w:ind w:left="720"/>
        <w:rPr>
          <w:color w:val="1F497D" w:themeColor="text2"/>
        </w:rPr>
      </w:pPr>
      <w:r w:rsidRPr="0082220E">
        <w:rPr>
          <w:i/>
          <w:color w:val="1F497D" w:themeColor="text2"/>
        </w:rPr>
        <w:t>Engaging schools are not only engaging for their students, but also for teachers, families, non-teaching staff and the local community</w:t>
      </w:r>
      <w:r w:rsidRPr="0082220E">
        <w:rPr>
          <w:color w:val="1F497D" w:themeColor="text2"/>
        </w:rPr>
        <w:t xml:space="preserve">. There are many parties that invest in and contribute to student learning outcomes, and each has an important role to play in supporting good outcomes for all students. </w:t>
      </w:r>
    </w:p>
    <w:p w:rsidR="00FD136F" w:rsidRPr="0082220E" w:rsidRDefault="00FD136F" w:rsidP="008E421B">
      <w:pPr>
        <w:pStyle w:val="BodyText"/>
        <w:ind w:left="720"/>
        <w:rPr>
          <w:color w:val="1F497D" w:themeColor="text2"/>
        </w:rPr>
      </w:pPr>
      <w:r w:rsidRPr="0082220E">
        <w:rPr>
          <w:color w:val="1F497D" w:themeColor="text2"/>
        </w:rPr>
        <w:t xml:space="preserve">Engaging schools recognise the roles played by those in the broader school community, and act as a hub which enables every part of the school community to play its role in engaging and educating students. </w:t>
      </w:r>
    </w:p>
    <w:p w:rsidR="00FD136F" w:rsidRPr="0082220E" w:rsidRDefault="00FD136F" w:rsidP="00DD5E66">
      <w:pPr>
        <w:pStyle w:val="Heading4"/>
        <w:rPr>
          <w:rFonts w:asciiTheme="minorHAnsi" w:hAnsiTheme="minorHAnsi"/>
        </w:rPr>
      </w:pPr>
      <w:r w:rsidRPr="0082220E">
        <w:rPr>
          <w:rFonts w:asciiTheme="minorHAnsi" w:hAnsiTheme="minorHAnsi"/>
        </w:rPr>
        <w:t>Focus on success</w:t>
      </w:r>
    </w:p>
    <w:p w:rsidR="00FD136F" w:rsidRPr="0082220E" w:rsidRDefault="00FD136F" w:rsidP="008E421B">
      <w:pPr>
        <w:pStyle w:val="BodyText"/>
        <w:ind w:left="720"/>
        <w:rPr>
          <w:color w:val="1F497D" w:themeColor="text2"/>
        </w:rPr>
      </w:pPr>
      <w:r w:rsidRPr="0082220E">
        <w:rPr>
          <w:i/>
          <w:color w:val="1F497D" w:themeColor="text2"/>
        </w:rPr>
        <w:t>The desire to achieve is a powerful driving force in education.</w:t>
      </w:r>
      <w:r w:rsidRPr="0082220E">
        <w:rPr>
          <w:color w:val="1F497D" w:themeColor="text2"/>
        </w:rPr>
        <w:t xml:space="preserve"> Engaging schools have high expectations about what can be achieved, both in terms of learning and wellbeing outcomes for students, and what the school itself can do to continually develop its practice. </w:t>
      </w:r>
    </w:p>
    <w:p w:rsidR="008E421B" w:rsidRPr="0082220E" w:rsidRDefault="00FD136F" w:rsidP="008E421B">
      <w:pPr>
        <w:pStyle w:val="BodyText"/>
        <w:ind w:left="720"/>
        <w:rPr>
          <w:color w:val="1F497D" w:themeColor="text2"/>
        </w:rPr>
      </w:pPr>
      <w:r w:rsidRPr="0082220E">
        <w:rPr>
          <w:color w:val="1F497D" w:themeColor="text2"/>
        </w:rPr>
        <w:t xml:space="preserve">Engaging schools work towards realising these high expectations by articulating meaningful and achievable goals at all levels within the school, by focusing on what can be done, and by thinking creatively and taking calculated risks.  </w:t>
      </w:r>
    </w:p>
    <w:p w:rsidR="00FD136F" w:rsidRPr="0082220E" w:rsidRDefault="00FD136F" w:rsidP="008E421B">
      <w:pPr>
        <w:pStyle w:val="BodyText"/>
        <w:ind w:left="720"/>
        <w:rPr>
          <w:color w:val="1F497D" w:themeColor="text2"/>
        </w:rPr>
      </w:pPr>
      <w:r w:rsidRPr="0082220E">
        <w:rPr>
          <w:color w:val="1F497D" w:themeColor="text2"/>
        </w:rPr>
        <w:t>This focus on success can be heard in the daily conversation of school staff which is about student potential and successes, overcoming barriers and new approaches.</w:t>
      </w:r>
    </w:p>
    <w:p w:rsidR="00FD136F" w:rsidRPr="0082220E" w:rsidRDefault="00FD136F" w:rsidP="00DD5E66">
      <w:pPr>
        <w:pStyle w:val="Heading4"/>
        <w:rPr>
          <w:rFonts w:asciiTheme="minorHAnsi" w:hAnsiTheme="minorHAnsi"/>
        </w:rPr>
      </w:pPr>
      <w:r w:rsidRPr="0082220E">
        <w:rPr>
          <w:rFonts w:asciiTheme="minorHAnsi" w:hAnsiTheme="minorHAnsi"/>
        </w:rPr>
        <w:t xml:space="preserve">Respond to context </w:t>
      </w:r>
    </w:p>
    <w:p w:rsidR="00FD136F" w:rsidRPr="0082220E" w:rsidRDefault="00FD136F" w:rsidP="008E421B">
      <w:pPr>
        <w:pStyle w:val="BodyText"/>
        <w:ind w:left="720"/>
        <w:rPr>
          <w:color w:val="1F497D" w:themeColor="text2"/>
        </w:rPr>
      </w:pPr>
      <w:r w:rsidRPr="0082220E">
        <w:rPr>
          <w:i/>
          <w:color w:val="1F497D" w:themeColor="text2"/>
        </w:rPr>
        <w:t>Engaging schools are conscious of the context in which they operate.</w:t>
      </w:r>
      <w:r w:rsidRPr="0082220E">
        <w:rPr>
          <w:color w:val="1F497D" w:themeColor="text2"/>
        </w:rPr>
        <w:t xml:space="preserve"> They are able to make use of their relationships with educators, parents, government and the broader community to design contextually appropriate and integrated student engagement strategies. </w:t>
      </w:r>
    </w:p>
    <w:p w:rsidR="008E421B" w:rsidRDefault="00FD136F" w:rsidP="00AC164D">
      <w:pPr>
        <w:pStyle w:val="BodyText"/>
        <w:ind w:left="720"/>
        <w:rPr>
          <w:color w:val="1F497D" w:themeColor="text2"/>
        </w:rPr>
      </w:pPr>
      <w:r w:rsidRPr="0082220E">
        <w:rPr>
          <w:color w:val="1F497D" w:themeColor="text2"/>
        </w:rPr>
        <w:t xml:space="preserve">The ACT is a small jurisdiction, affording it with strong informal and formal networks. Engaging schools understand how to draw upon their networks and connections to support engagement, and their communities value the opportunity to contribute to and enjoy their local school in turn. </w:t>
      </w:r>
    </w:p>
    <w:p w:rsidR="00AC164D" w:rsidRPr="0082220E" w:rsidRDefault="00AC164D" w:rsidP="00AC164D">
      <w:pPr>
        <w:pStyle w:val="BodyText"/>
        <w:pBdr>
          <w:bottom w:val="single" w:sz="24" w:space="1" w:color="1F497D" w:themeColor="text2"/>
        </w:pBdr>
        <w:rPr>
          <w:color w:val="1F497D" w:themeColor="text2"/>
        </w:rPr>
      </w:pPr>
    </w:p>
    <w:p w:rsidR="00FD136F" w:rsidRPr="0082220E" w:rsidRDefault="00FD136F" w:rsidP="00DD5E66">
      <w:pPr>
        <w:pStyle w:val="Heading2"/>
        <w:rPr>
          <w:rFonts w:asciiTheme="minorHAnsi" w:hAnsiTheme="minorHAnsi"/>
        </w:rPr>
      </w:pPr>
      <w:r w:rsidRPr="0082220E">
        <w:rPr>
          <w:rFonts w:asciiTheme="minorHAnsi" w:hAnsiTheme="minorHAnsi"/>
        </w:rPr>
        <w:t>Areas of Good Practice</w:t>
      </w:r>
    </w:p>
    <w:p w:rsidR="008E421B" w:rsidRPr="0082220E" w:rsidRDefault="00FD136F" w:rsidP="00FD136F">
      <w:pPr>
        <w:pStyle w:val="BodyText"/>
        <w:rPr>
          <w:color w:val="1F497D" w:themeColor="text2"/>
        </w:rPr>
      </w:pPr>
      <w:r w:rsidRPr="0082220E">
        <w:rPr>
          <w:color w:val="1F497D" w:themeColor="text2"/>
        </w:rPr>
        <w:t xml:space="preserve">The areas of good practice </w:t>
      </w:r>
      <w:r w:rsidR="008E421B" w:rsidRPr="0082220E">
        <w:rPr>
          <w:color w:val="1F497D" w:themeColor="text2"/>
        </w:rPr>
        <w:t>presented</w:t>
      </w:r>
      <w:r w:rsidRPr="0082220E">
        <w:rPr>
          <w:color w:val="1F497D" w:themeColor="text2"/>
        </w:rPr>
        <w:t xml:space="preserve"> in this </w:t>
      </w:r>
      <w:r w:rsidRPr="0082220E">
        <w:rPr>
          <w:i/>
          <w:color w:val="1F497D" w:themeColor="text2"/>
        </w:rPr>
        <w:t>Discussion Paper</w:t>
      </w:r>
      <w:r w:rsidRPr="0082220E">
        <w:rPr>
          <w:color w:val="1F497D" w:themeColor="text2"/>
        </w:rPr>
        <w:t xml:space="preserve"> can be viewed as the focus areas within schools that make a direct contribution to student engagement. </w:t>
      </w:r>
    </w:p>
    <w:p w:rsidR="00FD136F" w:rsidRPr="0082220E" w:rsidRDefault="00FD136F" w:rsidP="00FD136F">
      <w:pPr>
        <w:pStyle w:val="BodyText"/>
        <w:rPr>
          <w:color w:val="1F497D" w:themeColor="text2"/>
        </w:rPr>
      </w:pPr>
      <w:r w:rsidRPr="0082220E">
        <w:rPr>
          <w:color w:val="1F497D" w:themeColor="text2"/>
        </w:rPr>
        <w:t xml:space="preserve">These have been identified through and developed from consultation with ACT stakeholders, and a review of literature on what makes schools engaging for all students. They are evidence based, and also relevant to the ACT context. The areas of good practice are: </w:t>
      </w:r>
    </w:p>
    <w:p w:rsidR="00FD136F" w:rsidRPr="0082220E" w:rsidRDefault="00FD136F" w:rsidP="008E421B">
      <w:pPr>
        <w:pStyle w:val="BodyText"/>
        <w:numPr>
          <w:ilvl w:val="0"/>
          <w:numId w:val="29"/>
        </w:numPr>
        <w:rPr>
          <w:color w:val="1F497D" w:themeColor="text2"/>
        </w:rPr>
      </w:pPr>
      <w:r w:rsidRPr="0082220E">
        <w:rPr>
          <w:color w:val="1F497D" w:themeColor="text2"/>
        </w:rPr>
        <w:t xml:space="preserve">Strengthening relationships </w:t>
      </w:r>
    </w:p>
    <w:p w:rsidR="00FD136F" w:rsidRPr="0082220E" w:rsidRDefault="00FD136F" w:rsidP="008E421B">
      <w:pPr>
        <w:pStyle w:val="BodyText"/>
        <w:numPr>
          <w:ilvl w:val="0"/>
          <w:numId w:val="29"/>
        </w:numPr>
        <w:rPr>
          <w:color w:val="1F497D" w:themeColor="text2"/>
        </w:rPr>
      </w:pPr>
      <w:r w:rsidRPr="0082220E">
        <w:rPr>
          <w:color w:val="1F497D" w:themeColor="text2"/>
        </w:rPr>
        <w:t>Valuing, understanding and having high expectations of every student</w:t>
      </w:r>
    </w:p>
    <w:p w:rsidR="00FD136F" w:rsidRPr="0082220E" w:rsidRDefault="00FD136F" w:rsidP="008E421B">
      <w:pPr>
        <w:pStyle w:val="BodyText"/>
        <w:numPr>
          <w:ilvl w:val="0"/>
          <w:numId w:val="29"/>
        </w:numPr>
        <w:rPr>
          <w:color w:val="1F497D" w:themeColor="text2"/>
        </w:rPr>
      </w:pPr>
      <w:r w:rsidRPr="0082220E">
        <w:rPr>
          <w:color w:val="1F497D" w:themeColor="text2"/>
        </w:rPr>
        <w:t>Enriching connections with communities</w:t>
      </w:r>
    </w:p>
    <w:p w:rsidR="00FD136F" w:rsidRPr="0082220E" w:rsidRDefault="00FD136F" w:rsidP="008E421B">
      <w:pPr>
        <w:pStyle w:val="BodyText"/>
        <w:numPr>
          <w:ilvl w:val="0"/>
          <w:numId w:val="29"/>
        </w:numPr>
        <w:rPr>
          <w:color w:val="1F497D" w:themeColor="text2"/>
        </w:rPr>
      </w:pPr>
      <w:r w:rsidRPr="0082220E">
        <w:rPr>
          <w:color w:val="1F497D" w:themeColor="text2"/>
        </w:rPr>
        <w:t xml:space="preserve">Building engaging school cultures </w:t>
      </w:r>
    </w:p>
    <w:p w:rsidR="0000799B" w:rsidRDefault="00FD136F" w:rsidP="008E421B">
      <w:pPr>
        <w:pStyle w:val="BodyText"/>
        <w:rPr>
          <w:color w:val="1F497D" w:themeColor="text2"/>
        </w:rPr>
      </w:pPr>
      <w:r w:rsidRPr="0082220E">
        <w:rPr>
          <w:color w:val="1F497D" w:themeColor="text2"/>
        </w:rPr>
        <w:t>These areas of good practice are deeply interconnected. For example, many of the strategies which can be applied to strengthening teaching and learning relationships and to support individual students rely on connections with communities, and are best supported by a whole of school approach</w:t>
      </w:r>
      <w:r w:rsidR="008E421B" w:rsidRPr="0082220E">
        <w:rPr>
          <w:color w:val="1F497D" w:themeColor="text2"/>
        </w:rPr>
        <w:t xml:space="preserve"> to building an engaging school culture</w:t>
      </w:r>
      <w:r w:rsidRPr="0082220E">
        <w:rPr>
          <w:color w:val="1F497D" w:themeColor="text2"/>
        </w:rPr>
        <w:t xml:space="preserve">. Therefore, efforts to improve practice in one area will often result in a strengthening of the qualities of good practice within other areas. </w:t>
      </w:r>
    </w:p>
    <w:p w:rsidR="00AC164D" w:rsidRPr="0082220E" w:rsidRDefault="00AC164D" w:rsidP="008E421B">
      <w:pPr>
        <w:pStyle w:val="BodyText"/>
        <w:rPr>
          <w:rFonts w:cstheme="minorHAnsi"/>
          <w:color w:val="1F497D" w:themeColor="text2"/>
          <w:sz w:val="18"/>
          <w:lang w:eastAsia="en-AU"/>
        </w:rPr>
      </w:pPr>
      <w:r>
        <w:rPr>
          <w:color w:val="1F497D" w:themeColor="text2"/>
        </w:rPr>
        <w:t>Each area of good practice is outline in more detail on the following page.</w:t>
      </w:r>
    </w:p>
    <w:p w:rsidR="0000799B" w:rsidRPr="0082220E" w:rsidRDefault="0000799B" w:rsidP="00AC164D">
      <w:pPr>
        <w:pStyle w:val="BodyText"/>
        <w:pBdr>
          <w:bottom w:val="single" w:sz="24" w:space="1" w:color="1F497D" w:themeColor="text2"/>
        </w:pBdr>
        <w:spacing w:before="0"/>
        <w:jc w:val="center"/>
        <w:rPr>
          <w:rFonts w:cstheme="minorHAnsi"/>
          <w:noProof/>
          <w:color w:val="1F497D" w:themeColor="text2"/>
          <w:sz w:val="20"/>
          <w:lang w:eastAsia="en-AU"/>
        </w:rPr>
      </w:pPr>
    </w:p>
    <w:p w:rsidR="00961612" w:rsidRPr="0082220E" w:rsidRDefault="00961612" w:rsidP="00052FCF">
      <w:pPr>
        <w:pStyle w:val="BodyText"/>
        <w:spacing w:before="0"/>
        <w:jc w:val="center"/>
        <w:rPr>
          <w:rFonts w:cstheme="minorHAnsi"/>
          <w:b/>
          <w:noProof/>
          <w:color w:val="1F497D" w:themeColor="text2"/>
          <w:sz w:val="18"/>
          <w:szCs w:val="18"/>
          <w:lang w:eastAsia="en-AU"/>
        </w:rPr>
      </w:pPr>
    </w:p>
    <w:p w:rsidR="00961612" w:rsidRPr="0082220E" w:rsidRDefault="00961612" w:rsidP="00052FCF">
      <w:pPr>
        <w:pStyle w:val="BodyText"/>
        <w:spacing w:before="0"/>
        <w:jc w:val="center"/>
        <w:rPr>
          <w:rFonts w:cstheme="minorHAnsi"/>
          <w:b/>
          <w:noProof/>
          <w:color w:val="1F497D" w:themeColor="text2"/>
          <w:sz w:val="20"/>
          <w:lang w:eastAsia="en-AU"/>
        </w:rPr>
        <w:sectPr w:rsidR="00961612" w:rsidRPr="0082220E" w:rsidSect="00893017">
          <w:type w:val="continuous"/>
          <w:pgSz w:w="23814" w:h="16839" w:orient="landscape" w:code="8"/>
          <w:pgMar w:top="851" w:right="1440" w:bottom="1080" w:left="1440" w:header="708" w:footer="708" w:gutter="0"/>
          <w:cols w:num="3" w:space="708"/>
          <w:docGrid w:linePitch="360"/>
        </w:sectPr>
      </w:pPr>
    </w:p>
    <w:p w:rsidR="00961612" w:rsidRPr="0082220E" w:rsidRDefault="0082220E" w:rsidP="0082220E">
      <w:pPr>
        <w:pStyle w:val="Heading1"/>
        <w:pBdr>
          <w:bottom w:val="single" w:sz="24" w:space="1" w:color="1F497D" w:themeColor="text2"/>
        </w:pBdr>
        <w:rPr>
          <w:rFonts w:asciiTheme="minorHAnsi" w:hAnsiTheme="minorHAnsi"/>
          <w:color w:val="1F497D" w:themeColor="text2"/>
          <w:sz w:val="36"/>
        </w:rPr>
      </w:pPr>
      <w:r w:rsidRPr="0082220E">
        <w:rPr>
          <w:rFonts w:asciiTheme="minorHAnsi" w:hAnsiTheme="minorHAnsi"/>
          <w:color w:val="1F497D" w:themeColor="text2"/>
          <w:sz w:val="36"/>
        </w:rPr>
        <w:lastRenderedPageBreak/>
        <w:t>ACT</w:t>
      </w:r>
      <w:r w:rsidRPr="0082220E">
        <w:rPr>
          <w:rFonts w:asciiTheme="minorHAnsi" w:hAnsiTheme="minorHAnsi"/>
          <w:sz w:val="36"/>
        </w:rPr>
        <w:t xml:space="preserve"> </w:t>
      </w:r>
      <w:r w:rsidR="00961612" w:rsidRPr="0082220E">
        <w:rPr>
          <w:rFonts w:asciiTheme="minorHAnsi" w:hAnsiTheme="minorHAnsi"/>
          <w:color w:val="1F497D" w:themeColor="text2"/>
          <w:sz w:val="36"/>
        </w:rPr>
        <w:t xml:space="preserve">Engaging Schools </w:t>
      </w:r>
      <w:r w:rsidR="00847F92" w:rsidRPr="0082220E">
        <w:rPr>
          <w:rFonts w:asciiTheme="minorHAnsi" w:hAnsiTheme="minorHAnsi"/>
          <w:color w:val="1F497D" w:themeColor="text2"/>
          <w:sz w:val="36"/>
        </w:rPr>
        <w:t>Discussion Paper</w:t>
      </w:r>
      <w:r w:rsidR="00961612" w:rsidRPr="0082220E">
        <w:rPr>
          <w:rFonts w:asciiTheme="minorHAnsi" w:hAnsiTheme="minorHAnsi"/>
          <w:color w:val="1F497D" w:themeColor="text2"/>
          <w:sz w:val="36"/>
        </w:rPr>
        <w:t>: Areas of Good Practic</w:t>
      </w:r>
      <w:r w:rsidR="00DB1ADE" w:rsidRPr="0082220E">
        <w:rPr>
          <w:rFonts w:asciiTheme="minorHAnsi" w:hAnsiTheme="minorHAnsi"/>
          <w:color w:val="1F497D" w:themeColor="text2"/>
          <w:sz w:val="36"/>
        </w:rPr>
        <w:t>e</w:t>
      </w:r>
    </w:p>
    <w:p w:rsidR="00847F92" w:rsidRPr="007C2212" w:rsidRDefault="00847F92" w:rsidP="00847F92">
      <w:pPr>
        <w:pStyle w:val="Heading2"/>
        <w:rPr>
          <w:rFonts w:asciiTheme="minorHAnsi" w:hAnsiTheme="minorHAnsi"/>
          <w:sz w:val="24"/>
        </w:rPr>
      </w:pPr>
      <w:r w:rsidRPr="007C2212">
        <w:rPr>
          <w:rFonts w:asciiTheme="minorHAnsi" w:hAnsiTheme="minorHAnsi"/>
          <w:sz w:val="24"/>
        </w:rPr>
        <w:t>The areas of good practice outlined in the Engaging Schools Discussion Paper are outlined below.</w:t>
      </w:r>
    </w:p>
    <w:p w:rsidR="00847F92" w:rsidRPr="0082220E" w:rsidRDefault="00847F92" w:rsidP="00847F92">
      <w:pPr>
        <w:pStyle w:val="Heading3"/>
        <w:rPr>
          <w:rFonts w:asciiTheme="minorHAnsi" w:hAnsiTheme="minorHAnsi"/>
          <w:sz w:val="24"/>
        </w:rPr>
      </w:pPr>
      <w:r w:rsidRPr="0082220E">
        <w:rPr>
          <w:rFonts w:asciiTheme="minorHAnsi" w:hAnsiTheme="minorHAnsi"/>
          <w:sz w:val="24"/>
        </w:rPr>
        <w:t>Strengthening Relationships</w:t>
      </w:r>
    </w:p>
    <w:p w:rsidR="00847F92" w:rsidRPr="0082220E" w:rsidRDefault="00847F92" w:rsidP="00847F92">
      <w:pPr>
        <w:rPr>
          <w:sz w:val="24"/>
        </w:rPr>
      </w:pPr>
      <w:r w:rsidRPr="0082220E">
        <w:rPr>
          <w:sz w:val="24"/>
        </w:rPr>
        <w:t>Research shows that the quality of supportive relationships a student forms with adults within their learning environment is a key determinant of student’s willingness and ability to engage with their school, and their learning.</w:t>
      </w:r>
    </w:p>
    <w:p w:rsidR="00847F92" w:rsidRPr="0082220E" w:rsidRDefault="00847F92" w:rsidP="00847F92">
      <w:pPr>
        <w:rPr>
          <w:sz w:val="24"/>
        </w:rPr>
      </w:pPr>
      <w:r w:rsidRPr="0082220E">
        <w:rPr>
          <w:sz w:val="24"/>
        </w:rPr>
        <w:t xml:space="preserve">Schools that engage all of their students through strong teaching and learning relationships demonstrate good practice within four interrelated areas.  These engaging schools: </w:t>
      </w:r>
    </w:p>
    <w:p w:rsidR="00847F92" w:rsidRPr="0082220E" w:rsidRDefault="00847F92" w:rsidP="00847F92">
      <w:pPr>
        <w:pStyle w:val="ListParagraph"/>
        <w:numPr>
          <w:ilvl w:val="0"/>
          <w:numId w:val="30"/>
        </w:numPr>
        <w:rPr>
          <w:sz w:val="24"/>
        </w:rPr>
      </w:pPr>
      <w:r w:rsidRPr="0082220E">
        <w:rPr>
          <w:sz w:val="24"/>
        </w:rPr>
        <w:t>Systematically cultivate good relationships between students and teachers, and clearly state and reinforce their expectations of these relationships</w:t>
      </w:r>
    </w:p>
    <w:p w:rsidR="00847F92" w:rsidRPr="0082220E" w:rsidRDefault="00847F92" w:rsidP="00847F92">
      <w:pPr>
        <w:pStyle w:val="ListParagraph"/>
        <w:numPr>
          <w:ilvl w:val="0"/>
          <w:numId w:val="30"/>
        </w:numPr>
        <w:rPr>
          <w:sz w:val="24"/>
        </w:rPr>
      </w:pPr>
      <w:r w:rsidRPr="0082220E">
        <w:rPr>
          <w:sz w:val="24"/>
        </w:rPr>
        <w:t>Create forums and opportunities for student voice to shape the school environment, decision making, and teaching and learning practices</w:t>
      </w:r>
    </w:p>
    <w:p w:rsidR="00847F92" w:rsidRPr="0082220E" w:rsidRDefault="00847F92" w:rsidP="00847F92">
      <w:pPr>
        <w:pStyle w:val="ListParagraph"/>
        <w:numPr>
          <w:ilvl w:val="0"/>
          <w:numId w:val="30"/>
        </w:numPr>
        <w:rPr>
          <w:sz w:val="24"/>
        </w:rPr>
      </w:pPr>
      <w:r w:rsidRPr="0082220E">
        <w:rPr>
          <w:sz w:val="24"/>
        </w:rPr>
        <w:t>Support student self-determination in learning through the collaborative development of classroom, assessment and feedback processes, which respond to students’ abilities and interests</w:t>
      </w:r>
    </w:p>
    <w:p w:rsidR="00847F92" w:rsidRPr="0082220E" w:rsidRDefault="00847F92" w:rsidP="00847F92">
      <w:pPr>
        <w:pStyle w:val="ListParagraph"/>
        <w:numPr>
          <w:ilvl w:val="0"/>
          <w:numId w:val="30"/>
        </w:numPr>
        <w:rPr>
          <w:sz w:val="24"/>
        </w:rPr>
      </w:pPr>
      <w:r w:rsidRPr="0082220E">
        <w:rPr>
          <w:sz w:val="24"/>
        </w:rPr>
        <w:t>Dedicate time and resources to these priorities.</w:t>
      </w:r>
    </w:p>
    <w:p w:rsidR="00847F92" w:rsidRPr="0082220E" w:rsidRDefault="00847F92" w:rsidP="00847F92">
      <w:pPr>
        <w:pStyle w:val="Heading3"/>
        <w:rPr>
          <w:rFonts w:asciiTheme="minorHAnsi" w:hAnsiTheme="minorHAnsi"/>
          <w:sz w:val="24"/>
        </w:rPr>
      </w:pPr>
      <w:r w:rsidRPr="0082220E">
        <w:rPr>
          <w:rFonts w:asciiTheme="minorHAnsi" w:hAnsiTheme="minorHAnsi"/>
          <w:sz w:val="24"/>
        </w:rPr>
        <w:t>Valuing, understanding and having high expectations of every student</w:t>
      </w:r>
    </w:p>
    <w:p w:rsidR="00847F92" w:rsidRPr="0082220E" w:rsidRDefault="00847F92" w:rsidP="00847F92">
      <w:pPr>
        <w:rPr>
          <w:sz w:val="24"/>
        </w:rPr>
      </w:pPr>
      <w:r w:rsidRPr="0082220E">
        <w:rPr>
          <w:sz w:val="24"/>
        </w:rPr>
        <w:t>Valuing, understanding and having high expectations of every student means that schools treat students as individual learners, and build their approach around empowering individual learners to learn. An engaging school encourages students to have high expectations for themselves and shows it has high expectations for all its students.</w:t>
      </w:r>
    </w:p>
    <w:p w:rsidR="00847F92" w:rsidRPr="0082220E" w:rsidRDefault="00847F92" w:rsidP="00847F92">
      <w:pPr>
        <w:rPr>
          <w:sz w:val="24"/>
        </w:rPr>
      </w:pPr>
      <w:r w:rsidRPr="0082220E">
        <w:rPr>
          <w:sz w:val="24"/>
        </w:rPr>
        <w:t>Schools that engage all of their students by valuing, understanding and having high expectations of every student demonstrate good practice within five interrelated areas.  Engaging schools:</w:t>
      </w:r>
    </w:p>
    <w:p w:rsidR="00847F92" w:rsidRPr="0082220E" w:rsidRDefault="00847F92" w:rsidP="00847F92">
      <w:pPr>
        <w:pStyle w:val="ListParagraph"/>
        <w:numPr>
          <w:ilvl w:val="0"/>
          <w:numId w:val="31"/>
        </w:numPr>
        <w:rPr>
          <w:sz w:val="24"/>
        </w:rPr>
      </w:pPr>
      <w:r w:rsidRPr="0082220E">
        <w:rPr>
          <w:sz w:val="24"/>
        </w:rPr>
        <w:t>Provide quality learning programs that offer a rich and varied curriculum for all students, showing that the school wants to connect with all students, regardless of their background or circumstances</w:t>
      </w:r>
    </w:p>
    <w:p w:rsidR="00847F92" w:rsidRPr="0082220E" w:rsidRDefault="00847F92" w:rsidP="00847F92">
      <w:pPr>
        <w:pStyle w:val="ListParagraph"/>
        <w:numPr>
          <w:ilvl w:val="0"/>
          <w:numId w:val="31"/>
        </w:numPr>
        <w:rPr>
          <w:sz w:val="24"/>
        </w:rPr>
      </w:pPr>
      <w:r w:rsidRPr="0082220E">
        <w:rPr>
          <w:sz w:val="24"/>
        </w:rPr>
        <w:t>Make explicit their high expectations of all students, that school work is valuable, and that the student’s strengths and interests are worthwhile</w:t>
      </w:r>
    </w:p>
    <w:p w:rsidR="00847F92" w:rsidRPr="0082220E" w:rsidRDefault="00847F92" w:rsidP="00847F92">
      <w:pPr>
        <w:pStyle w:val="ListParagraph"/>
        <w:numPr>
          <w:ilvl w:val="0"/>
          <w:numId w:val="31"/>
        </w:numPr>
        <w:rPr>
          <w:sz w:val="24"/>
        </w:rPr>
      </w:pPr>
      <w:r w:rsidRPr="0082220E">
        <w:rPr>
          <w:sz w:val="24"/>
        </w:rPr>
        <w:t>Consistently apply the principles of good pedagogy, and are creative about how to deliver ambitious learning outcomes for students with different interests and abilities</w:t>
      </w:r>
    </w:p>
    <w:p w:rsidR="00847F92" w:rsidRPr="0082220E" w:rsidRDefault="00847F92" w:rsidP="00847F92">
      <w:pPr>
        <w:pStyle w:val="ListParagraph"/>
        <w:numPr>
          <w:ilvl w:val="0"/>
          <w:numId w:val="31"/>
        </w:numPr>
        <w:rPr>
          <w:sz w:val="24"/>
        </w:rPr>
      </w:pPr>
      <w:r w:rsidRPr="0082220E">
        <w:rPr>
          <w:sz w:val="24"/>
        </w:rPr>
        <w:t>Respond creatively to design and develop flexible learning and educational program options for students whose needs are not met in traditional classroom settings</w:t>
      </w:r>
    </w:p>
    <w:p w:rsidR="00847F92" w:rsidRPr="0082220E" w:rsidRDefault="00847F92" w:rsidP="00847F92">
      <w:pPr>
        <w:pStyle w:val="ListParagraph"/>
        <w:numPr>
          <w:ilvl w:val="0"/>
          <w:numId w:val="31"/>
        </w:numPr>
        <w:rPr>
          <w:sz w:val="24"/>
        </w:rPr>
      </w:pPr>
      <w:r w:rsidRPr="0082220E">
        <w:rPr>
          <w:sz w:val="24"/>
        </w:rPr>
        <w:t>Understand students in a holistic way, incorporating an understanding of their learning and wellbeing as being influenced by factors both within and external to the school.</w:t>
      </w:r>
    </w:p>
    <w:p w:rsidR="00847F92" w:rsidRPr="0082220E" w:rsidRDefault="00847F92" w:rsidP="00847F92">
      <w:pPr>
        <w:rPr>
          <w:sz w:val="24"/>
        </w:rPr>
      </w:pPr>
    </w:p>
    <w:p w:rsidR="00847F92" w:rsidRPr="0082220E" w:rsidRDefault="00847F92" w:rsidP="00847F92">
      <w:pPr>
        <w:pStyle w:val="Heading3"/>
        <w:rPr>
          <w:rFonts w:asciiTheme="minorHAnsi" w:hAnsiTheme="minorHAnsi"/>
          <w:sz w:val="24"/>
        </w:rPr>
      </w:pPr>
      <w:r w:rsidRPr="0082220E">
        <w:rPr>
          <w:rFonts w:asciiTheme="minorHAnsi" w:hAnsiTheme="minorHAnsi"/>
          <w:sz w:val="24"/>
        </w:rPr>
        <w:t xml:space="preserve">Enriching connections with communities </w:t>
      </w:r>
    </w:p>
    <w:p w:rsidR="00847F92" w:rsidRPr="0082220E" w:rsidRDefault="00847F92" w:rsidP="00847F92">
      <w:pPr>
        <w:rPr>
          <w:sz w:val="24"/>
        </w:rPr>
      </w:pPr>
      <w:r w:rsidRPr="0082220E">
        <w:rPr>
          <w:sz w:val="24"/>
        </w:rPr>
        <w:t>Enriching connections with communities means that schools see themselves as part of a broader community, and purposefully create opportunities for community members to reach into the school, as well as for the school to reach out to community members.</w:t>
      </w:r>
    </w:p>
    <w:p w:rsidR="00847F92" w:rsidRPr="0082220E" w:rsidRDefault="00847F92" w:rsidP="00847F92">
      <w:pPr>
        <w:rPr>
          <w:sz w:val="24"/>
        </w:rPr>
      </w:pPr>
      <w:r w:rsidRPr="0082220E">
        <w:rPr>
          <w:sz w:val="24"/>
        </w:rPr>
        <w:t>Schools that engage all of their students by enriching their relationships with communities demonstrate good practice within three interrelated areas.  Engaging schools:</w:t>
      </w:r>
    </w:p>
    <w:p w:rsidR="00847F92" w:rsidRPr="0082220E" w:rsidRDefault="00847F92" w:rsidP="00847F92">
      <w:pPr>
        <w:pStyle w:val="ListParagraph"/>
        <w:numPr>
          <w:ilvl w:val="0"/>
          <w:numId w:val="32"/>
        </w:numPr>
        <w:rPr>
          <w:sz w:val="24"/>
        </w:rPr>
      </w:pPr>
      <w:r w:rsidRPr="0082220E">
        <w:rPr>
          <w:sz w:val="24"/>
        </w:rPr>
        <w:t xml:space="preserve">Develop a two way relationship, where the school reaches out to communities, and community members reach into the school </w:t>
      </w:r>
    </w:p>
    <w:p w:rsidR="00847F92" w:rsidRPr="0082220E" w:rsidRDefault="00847F92" w:rsidP="00847F92">
      <w:pPr>
        <w:pStyle w:val="ListParagraph"/>
        <w:numPr>
          <w:ilvl w:val="0"/>
          <w:numId w:val="32"/>
        </w:numPr>
        <w:rPr>
          <w:sz w:val="24"/>
        </w:rPr>
      </w:pPr>
      <w:r w:rsidRPr="0082220E">
        <w:rPr>
          <w:sz w:val="24"/>
        </w:rPr>
        <w:t xml:space="preserve">Break down barriers for families to help them to engage with the school, and participate in and shape their children’s education </w:t>
      </w:r>
    </w:p>
    <w:p w:rsidR="00847F92" w:rsidRPr="0082220E" w:rsidRDefault="00847F92" w:rsidP="00847F92">
      <w:pPr>
        <w:pStyle w:val="ListParagraph"/>
        <w:numPr>
          <w:ilvl w:val="0"/>
          <w:numId w:val="32"/>
        </w:numPr>
        <w:rPr>
          <w:sz w:val="24"/>
        </w:rPr>
      </w:pPr>
      <w:r w:rsidRPr="0082220E">
        <w:rPr>
          <w:sz w:val="24"/>
        </w:rPr>
        <w:t>Recognise their school as an integral part of their broader community, and present a welcoming face to the community.</w:t>
      </w:r>
    </w:p>
    <w:p w:rsidR="00847F92" w:rsidRPr="0082220E" w:rsidRDefault="00847F92" w:rsidP="00847F92">
      <w:pPr>
        <w:pStyle w:val="Heading3"/>
        <w:rPr>
          <w:rFonts w:asciiTheme="minorHAnsi" w:hAnsiTheme="minorHAnsi"/>
          <w:sz w:val="24"/>
        </w:rPr>
      </w:pPr>
      <w:r w:rsidRPr="0082220E">
        <w:rPr>
          <w:rFonts w:asciiTheme="minorHAnsi" w:hAnsiTheme="minorHAnsi"/>
          <w:sz w:val="24"/>
        </w:rPr>
        <w:t>Building an engaging school culture</w:t>
      </w:r>
    </w:p>
    <w:p w:rsidR="00847F92" w:rsidRPr="0082220E" w:rsidRDefault="00847F92" w:rsidP="00847F92">
      <w:pPr>
        <w:rPr>
          <w:sz w:val="24"/>
        </w:rPr>
      </w:pPr>
      <w:r w:rsidRPr="0082220E">
        <w:rPr>
          <w:sz w:val="24"/>
        </w:rPr>
        <w:t>A whole of school approach to innovation and engagement aligns the school’s values, systems, culture and actions to generate and sustain the good practices which create an engaging school.</w:t>
      </w:r>
    </w:p>
    <w:p w:rsidR="00847F92" w:rsidRPr="0082220E" w:rsidRDefault="00847F92" w:rsidP="00847F92">
      <w:pPr>
        <w:rPr>
          <w:sz w:val="24"/>
        </w:rPr>
      </w:pPr>
      <w:r w:rsidRPr="0082220E">
        <w:rPr>
          <w:sz w:val="24"/>
        </w:rPr>
        <w:t>Schools that create a sense of belonging or identification with the school by students and staff demonstrate good practice in all aspects of 'building an engaging school culture'.  Particularly, good practice within five interrelated areas is identified in the literature and through consultations in the ACT. Specifically, engaging schools:</w:t>
      </w:r>
    </w:p>
    <w:p w:rsidR="00847F92" w:rsidRPr="0082220E" w:rsidRDefault="00847F92" w:rsidP="00847F92">
      <w:pPr>
        <w:pStyle w:val="ListParagraph"/>
        <w:numPr>
          <w:ilvl w:val="0"/>
          <w:numId w:val="33"/>
        </w:numPr>
        <w:rPr>
          <w:sz w:val="24"/>
        </w:rPr>
      </w:pPr>
      <w:r w:rsidRPr="0082220E">
        <w:rPr>
          <w:sz w:val="24"/>
        </w:rPr>
        <w:t>Develop a clear vision and values that underpin everything that the school does</w:t>
      </w:r>
    </w:p>
    <w:p w:rsidR="00847F92" w:rsidRPr="0082220E" w:rsidRDefault="00847F92" w:rsidP="00847F92">
      <w:pPr>
        <w:pStyle w:val="ListParagraph"/>
        <w:numPr>
          <w:ilvl w:val="0"/>
          <w:numId w:val="33"/>
        </w:numPr>
        <w:rPr>
          <w:sz w:val="24"/>
        </w:rPr>
      </w:pPr>
      <w:r w:rsidRPr="0082220E">
        <w:rPr>
          <w:sz w:val="24"/>
        </w:rPr>
        <w:t>Effectively coordinate learning and wellbeing elements of education for individual students</w:t>
      </w:r>
    </w:p>
    <w:p w:rsidR="00847F92" w:rsidRPr="0082220E" w:rsidRDefault="00847F92" w:rsidP="001F386D">
      <w:pPr>
        <w:pStyle w:val="ListParagraph"/>
        <w:numPr>
          <w:ilvl w:val="0"/>
          <w:numId w:val="32"/>
        </w:numPr>
        <w:rPr>
          <w:sz w:val="24"/>
        </w:rPr>
      </w:pPr>
      <w:r w:rsidRPr="0082220E">
        <w:rPr>
          <w:sz w:val="24"/>
        </w:rPr>
        <w:t>Creatively use and improve the school's physical and learning environment</w:t>
      </w:r>
    </w:p>
    <w:p w:rsidR="00847F92" w:rsidRPr="0082220E" w:rsidRDefault="00847F92" w:rsidP="00847F92">
      <w:pPr>
        <w:pStyle w:val="ListParagraph"/>
        <w:numPr>
          <w:ilvl w:val="0"/>
          <w:numId w:val="33"/>
        </w:numPr>
        <w:rPr>
          <w:sz w:val="24"/>
        </w:rPr>
      </w:pPr>
      <w:r w:rsidRPr="0082220E">
        <w:rPr>
          <w:sz w:val="24"/>
        </w:rPr>
        <w:t xml:space="preserve">Have consistent approaches to behaviour support that focuses on creating a safe, supportive and inclusive school environment. </w:t>
      </w:r>
    </w:p>
    <w:p w:rsidR="00847F92" w:rsidRPr="0082220E" w:rsidRDefault="00847F92" w:rsidP="00847F92">
      <w:pPr>
        <w:pStyle w:val="ListParagraph"/>
        <w:numPr>
          <w:ilvl w:val="0"/>
          <w:numId w:val="33"/>
        </w:numPr>
        <w:rPr>
          <w:sz w:val="24"/>
        </w:rPr>
      </w:pPr>
      <w:r w:rsidRPr="0082220E">
        <w:rPr>
          <w:sz w:val="24"/>
        </w:rPr>
        <w:t>Focus on what is possible, and proactively take risks in order to achieve results</w:t>
      </w:r>
    </w:p>
    <w:p w:rsidR="00847F92" w:rsidRPr="0082220E" w:rsidRDefault="00847F92" w:rsidP="00847F92"/>
    <w:p w:rsidR="007C2212" w:rsidRDefault="007C2212" w:rsidP="0082220E">
      <w:pPr>
        <w:pStyle w:val="Heading2"/>
        <w:rPr>
          <w:rFonts w:asciiTheme="minorHAnsi" w:hAnsiTheme="minorHAnsi"/>
          <w:lang w:eastAsia="en-AU"/>
        </w:rPr>
      </w:pPr>
    </w:p>
    <w:p w:rsidR="00961612" w:rsidRPr="0082220E" w:rsidRDefault="0082220E" w:rsidP="007C2212">
      <w:pPr>
        <w:pStyle w:val="Heading2"/>
        <w:pBdr>
          <w:top w:val="single" w:sz="24" w:space="1" w:color="1F497D" w:themeColor="text2"/>
        </w:pBdr>
        <w:rPr>
          <w:rFonts w:asciiTheme="minorHAnsi" w:hAnsiTheme="minorHAnsi"/>
          <w:lang w:eastAsia="en-AU"/>
        </w:rPr>
      </w:pPr>
      <w:r w:rsidRPr="0082220E">
        <w:rPr>
          <w:rFonts w:asciiTheme="minorHAnsi" w:hAnsiTheme="minorHAnsi"/>
          <w:lang w:eastAsia="en-AU"/>
        </w:rPr>
        <w:t>For more information:</w:t>
      </w:r>
    </w:p>
    <w:p w:rsidR="0082220E" w:rsidRDefault="0082220E" w:rsidP="0082220E">
      <w:pPr>
        <w:rPr>
          <w:lang w:eastAsia="en-AU"/>
        </w:rPr>
      </w:pPr>
      <w:r w:rsidRPr="0082220E">
        <w:rPr>
          <w:lang w:eastAsia="en-AU"/>
        </w:rPr>
        <w:t xml:space="preserve">Please </w:t>
      </w:r>
      <w:r w:rsidR="00AC164D">
        <w:rPr>
          <w:lang w:eastAsia="en-AU"/>
        </w:rPr>
        <w:t xml:space="preserve">call 6207 7991 or </w:t>
      </w:r>
      <w:r w:rsidRPr="0082220E">
        <w:rPr>
          <w:lang w:eastAsia="en-AU"/>
        </w:rPr>
        <w:t>email EngagingSchools@act.gov.au</w:t>
      </w:r>
    </w:p>
    <w:p w:rsidR="007C2212" w:rsidRPr="0082220E" w:rsidRDefault="007C2212" w:rsidP="0082220E">
      <w:pPr>
        <w:rPr>
          <w:lang w:eastAsia="en-AU"/>
        </w:rPr>
      </w:pPr>
    </w:p>
    <w:sectPr w:rsidR="007C2212" w:rsidRPr="0082220E" w:rsidSect="00847F92">
      <w:pgSz w:w="23814" w:h="16839" w:orient="landscape" w:code="8"/>
      <w:pgMar w:top="1440" w:right="1440" w:bottom="1440" w:left="144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2212" w:rsidRDefault="007C2212" w:rsidP="00B31968">
      <w:pPr>
        <w:spacing w:after="0" w:line="240" w:lineRule="auto"/>
      </w:pPr>
      <w:r>
        <w:separator/>
      </w:r>
    </w:p>
  </w:endnote>
  <w:endnote w:type="continuationSeparator" w:id="0">
    <w:p w:rsidR="007C2212" w:rsidRDefault="007C2212" w:rsidP="00B319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Italic">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2212" w:rsidRDefault="007C2212" w:rsidP="00B31968">
      <w:pPr>
        <w:spacing w:after="0" w:line="240" w:lineRule="auto"/>
      </w:pPr>
      <w:r>
        <w:separator/>
      </w:r>
    </w:p>
  </w:footnote>
  <w:footnote w:type="continuationSeparator" w:id="0">
    <w:p w:rsidR="007C2212" w:rsidRDefault="007C2212" w:rsidP="00B3196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D1726"/>
    <w:multiLevelType w:val="hybridMultilevel"/>
    <w:tmpl w:val="8DF6AB3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90254F4"/>
    <w:multiLevelType w:val="hybridMultilevel"/>
    <w:tmpl w:val="B6C2AC6C"/>
    <w:lvl w:ilvl="0" w:tplc="0C09000D">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34098"/>
    <w:multiLevelType w:val="hybridMultilevel"/>
    <w:tmpl w:val="73D8A000"/>
    <w:lvl w:ilvl="0" w:tplc="0C09000D">
      <w:start w:val="1"/>
      <w:numFmt w:val="bullet"/>
      <w:lvlText w:val=""/>
      <w:lvlJc w:val="left"/>
      <w:pPr>
        <w:ind w:left="720" w:hanging="360"/>
      </w:pPr>
      <w:rPr>
        <w:rFonts w:ascii="Wingdings" w:hAnsi="Wingding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EB32465"/>
    <w:multiLevelType w:val="hybridMultilevel"/>
    <w:tmpl w:val="D874544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5465427"/>
    <w:multiLevelType w:val="hybridMultilevel"/>
    <w:tmpl w:val="6B9248C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8C32DA6"/>
    <w:multiLevelType w:val="hybridMultilevel"/>
    <w:tmpl w:val="00786A6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DB5730F"/>
    <w:multiLevelType w:val="hybridMultilevel"/>
    <w:tmpl w:val="AEF0D026"/>
    <w:lvl w:ilvl="0" w:tplc="0C09000D">
      <w:start w:val="1"/>
      <w:numFmt w:val="bullet"/>
      <w:lvlText w:val=""/>
      <w:lvlJc w:val="left"/>
      <w:pPr>
        <w:ind w:left="-720" w:hanging="360"/>
      </w:pPr>
      <w:rPr>
        <w:rFonts w:ascii="Wingdings" w:hAnsi="Wingdings" w:hint="default"/>
      </w:rPr>
    </w:lvl>
    <w:lvl w:ilvl="1" w:tplc="0C090019" w:tentative="1">
      <w:start w:val="1"/>
      <w:numFmt w:val="lowerLetter"/>
      <w:lvlText w:val="%2."/>
      <w:lvlJc w:val="left"/>
      <w:pPr>
        <w:ind w:left="0" w:hanging="360"/>
      </w:pPr>
    </w:lvl>
    <w:lvl w:ilvl="2" w:tplc="0C09001B" w:tentative="1">
      <w:start w:val="1"/>
      <w:numFmt w:val="lowerRoman"/>
      <w:lvlText w:val="%3."/>
      <w:lvlJc w:val="right"/>
      <w:pPr>
        <w:ind w:left="720" w:hanging="180"/>
      </w:pPr>
    </w:lvl>
    <w:lvl w:ilvl="3" w:tplc="0C09000F" w:tentative="1">
      <w:start w:val="1"/>
      <w:numFmt w:val="decimal"/>
      <w:lvlText w:val="%4."/>
      <w:lvlJc w:val="left"/>
      <w:pPr>
        <w:ind w:left="1440" w:hanging="360"/>
      </w:pPr>
    </w:lvl>
    <w:lvl w:ilvl="4" w:tplc="0C090019" w:tentative="1">
      <w:start w:val="1"/>
      <w:numFmt w:val="lowerLetter"/>
      <w:lvlText w:val="%5."/>
      <w:lvlJc w:val="left"/>
      <w:pPr>
        <w:ind w:left="2160" w:hanging="360"/>
      </w:pPr>
    </w:lvl>
    <w:lvl w:ilvl="5" w:tplc="0C09001B" w:tentative="1">
      <w:start w:val="1"/>
      <w:numFmt w:val="lowerRoman"/>
      <w:lvlText w:val="%6."/>
      <w:lvlJc w:val="right"/>
      <w:pPr>
        <w:ind w:left="2880" w:hanging="180"/>
      </w:pPr>
    </w:lvl>
    <w:lvl w:ilvl="6" w:tplc="0C09000F" w:tentative="1">
      <w:start w:val="1"/>
      <w:numFmt w:val="decimal"/>
      <w:lvlText w:val="%7."/>
      <w:lvlJc w:val="left"/>
      <w:pPr>
        <w:ind w:left="3600" w:hanging="360"/>
      </w:pPr>
    </w:lvl>
    <w:lvl w:ilvl="7" w:tplc="0C090019" w:tentative="1">
      <w:start w:val="1"/>
      <w:numFmt w:val="lowerLetter"/>
      <w:lvlText w:val="%8."/>
      <w:lvlJc w:val="left"/>
      <w:pPr>
        <w:ind w:left="4320" w:hanging="360"/>
      </w:pPr>
    </w:lvl>
    <w:lvl w:ilvl="8" w:tplc="0C09001B" w:tentative="1">
      <w:start w:val="1"/>
      <w:numFmt w:val="lowerRoman"/>
      <w:lvlText w:val="%9."/>
      <w:lvlJc w:val="right"/>
      <w:pPr>
        <w:ind w:left="5040" w:hanging="180"/>
      </w:pPr>
    </w:lvl>
  </w:abstractNum>
  <w:abstractNum w:abstractNumId="7" w15:restartNumberingAfterBreak="0">
    <w:nsid w:val="263461CC"/>
    <w:multiLevelType w:val="hybridMultilevel"/>
    <w:tmpl w:val="4B86A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7AD504C"/>
    <w:multiLevelType w:val="hybridMultilevel"/>
    <w:tmpl w:val="7B3295EA"/>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31177F88"/>
    <w:multiLevelType w:val="hybridMultilevel"/>
    <w:tmpl w:val="91EED1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14A0FA1"/>
    <w:multiLevelType w:val="singleLevel"/>
    <w:tmpl w:val="318E960A"/>
    <w:lvl w:ilvl="0">
      <w:start w:val="1"/>
      <w:numFmt w:val="bullet"/>
      <w:lvlText w:val=""/>
      <w:lvlJc w:val="left"/>
      <w:pPr>
        <w:tabs>
          <w:tab w:val="num" w:pos="340"/>
        </w:tabs>
        <w:ind w:left="340" w:hanging="340"/>
      </w:pPr>
      <w:rPr>
        <w:rFonts w:ascii="Symbol" w:hAnsi="Symbol" w:hint="default"/>
        <w:color w:val="4F81BD" w:themeColor="accent1"/>
        <w:sz w:val="22"/>
      </w:rPr>
    </w:lvl>
  </w:abstractNum>
  <w:abstractNum w:abstractNumId="11" w15:restartNumberingAfterBreak="0">
    <w:nsid w:val="322864E3"/>
    <w:multiLevelType w:val="hybridMultilevel"/>
    <w:tmpl w:val="5E74FEB2"/>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6AA6875"/>
    <w:multiLevelType w:val="hybridMultilevel"/>
    <w:tmpl w:val="39247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CA30377"/>
    <w:multiLevelType w:val="hybridMultilevel"/>
    <w:tmpl w:val="3B1400CC"/>
    <w:lvl w:ilvl="0" w:tplc="0C09000F">
      <w:start w:val="1"/>
      <w:numFmt w:val="decimal"/>
      <w:lvlText w:val="%1."/>
      <w:lvlJc w:val="left"/>
      <w:pPr>
        <w:ind w:left="720" w:hanging="72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409A1266"/>
    <w:multiLevelType w:val="hybridMultilevel"/>
    <w:tmpl w:val="32B490D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2126090"/>
    <w:multiLevelType w:val="hybridMultilevel"/>
    <w:tmpl w:val="FD30A790"/>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31951ED"/>
    <w:multiLevelType w:val="hybridMultilevel"/>
    <w:tmpl w:val="65F03EFE"/>
    <w:lvl w:ilvl="0" w:tplc="D140163A">
      <w:numFmt w:val="bullet"/>
      <w:lvlText w:val="•"/>
      <w:lvlJc w:val="left"/>
      <w:pPr>
        <w:ind w:left="720" w:hanging="360"/>
      </w:pPr>
      <w:rPr>
        <w:rFonts w:ascii="Calibri,Italic" w:eastAsiaTheme="minorHAnsi" w:hAnsi="Calibri,Italic" w:cs="Calibri,Ital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454660D4"/>
    <w:multiLevelType w:val="hybridMultilevel"/>
    <w:tmpl w:val="F0CEC338"/>
    <w:lvl w:ilvl="0" w:tplc="D140163A">
      <w:numFmt w:val="bullet"/>
      <w:lvlText w:val="•"/>
      <w:lvlJc w:val="left"/>
      <w:pPr>
        <w:ind w:left="720" w:hanging="360"/>
      </w:pPr>
      <w:rPr>
        <w:rFonts w:ascii="Calibri,Italic" w:eastAsiaTheme="minorHAnsi" w:hAnsi="Calibri,Italic" w:cs="Calibri,Ital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CC3D4A"/>
    <w:multiLevelType w:val="hybridMultilevel"/>
    <w:tmpl w:val="DCF64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30F2438"/>
    <w:multiLevelType w:val="hybridMultilevel"/>
    <w:tmpl w:val="9B70C3C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5DC25BB"/>
    <w:multiLevelType w:val="hybridMultilevel"/>
    <w:tmpl w:val="9B70C3CA"/>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FB0404F"/>
    <w:multiLevelType w:val="hybridMultilevel"/>
    <w:tmpl w:val="AC3ACED2"/>
    <w:lvl w:ilvl="0" w:tplc="0C09000D">
      <w:start w:val="1"/>
      <w:numFmt w:val="bullet"/>
      <w:lvlText w:val=""/>
      <w:lvlJc w:val="left"/>
      <w:pPr>
        <w:ind w:left="720" w:hanging="720"/>
      </w:pPr>
      <w:rPr>
        <w:rFonts w:ascii="Wingdings" w:hAnsi="Wingding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2" w15:restartNumberingAfterBreak="0">
    <w:nsid w:val="60142A1A"/>
    <w:multiLevelType w:val="hybridMultilevel"/>
    <w:tmpl w:val="E4FAE8B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1FD050C"/>
    <w:multiLevelType w:val="hybridMultilevel"/>
    <w:tmpl w:val="7D7C8754"/>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ADB22E1"/>
    <w:multiLevelType w:val="hybridMultilevel"/>
    <w:tmpl w:val="9C5E4084"/>
    <w:lvl w:ilvl="0" w:tplc="D140163A">
      <w:numFmt w:val="bullet"/>
      <w:lvlText w:val="•"/>
      <w:lvlJc w:val="left"/>
      <w:pPr>
        <w:ind w:left="720" w:hanging="360"/>
      </w:pPr>
      <w:rPr>
        <w:rFonts w:ascii="Calibri,Italic" w:eastAsiaTheme="minorHAnsi" w:hAnsi="Calibri,Italic" w:cs="Calibri,Italic"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DC85410"/>
    <w:multiLevelType w:val="hybridMultilevel"/>
    <w:tmpl w:val="7A3CBA04"/>
    <w:lvl w:ilvl="0" w:tplc="0C09000D">
      <w:start w:val="1"/>
      <w:numFmt w:val="bullet"/>
      <w:lvlText w:val=""/>
      <w:lvlJc w:val="left"/>
      <w:pPr>
        <w:ind w:left="1440" w:hanging="72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E8F23A4"/>
    <w:multiLevelType w:val="hybridMultilevel"/>
    <w:tmpl w:val="B6AA44E2"/>
    <w:lvl w:ilvl="0" w:tplc="D8107444">
      <w:numFmt w:val="bullet"/>
      <w:lvlText w:val="•"/>
      <w:lvlJc w:val="left"/>
      <w:pPr>
        <w:ind w:left="720" w:hanging="36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12E4B55"/>
    <w:multiLevelType w:val="hybridMultilevel"/>
    <w:tmpl w:val="C5A04450"/>
    <w:lvl w:ilvl="0" w:tplc="A29CDFE4">
      <w:numFmt w:val="bullet"/>
      <w:lvlText w:val="•"/>
      <w:lvlJc w:val="left"/>
      <w:pPr>
        <w:ind w:left="1080" w:hanging="720"/>
      </w:pPr>
      <w:rPr>
        <w:rFonts w:ascii="Calibri" w:eastAsia="Times New Roman" w:hAnsi="Calibri"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7EC7A05"/>
    <w:multiLevelType w:val="hybridMultilevel"/>
    <w:tmpl w:val="C250329C"/>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B6522D8"/>
    <w:multiLevelType w:val="hybridMultilevel"/>
    <w:tmpl w:val="D5E2BE50"/>
    <w:lvl w:ilvl="0" w:tplc="0C090019">
      <w:start w:val="1"/>
      <w:numFmt w:val="lowerLetter"/>
      <w:lvlText w:val="%1."/>
      <w:lvlJc w:val="left"/>
      <w:pPr>
        <w:ind w:left="720" w:hanging="360"/>
      </w:pPr>
      <w:rPr>
        <w:rFonts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D6A2FF5"/>
    <w:multiLevelType w:val="hybridMultilevel"/>
    <w:tmpl w:val="308E2F66"/>
    <w:lvl w:ilvl="0" w:tplc="0C09000D">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EE27B09"/>
    <w:multiLevelType w:val="hybridMultilevel"/>
    <w:tmpl w:val="62A6D332"/>
    <w:lvl w:ilvl="0" w:tplc="6908BD44">
      <w:numFmt w:val="bullet"/>
      <w:lvlText w:val="•"/>
      <w:lvlJc w:val="left"/>
      <w:pPr>
        <w:ind w:left="720" w:hanging="720"/>
      </w:pPr>
      <w:rPr>
        <w:rFonts w:ascii="Calibri" w:eastAsia="Times New Roman" w:hAnsi="Calibri" w:cs="Times New Roman"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2" w15:restartNumberingAfterBreak="0">
    <w:nsid w:val="7F6E60F7"/>
    <w:multiLevelType w:val="hybridMultilevel"/>
    <w:tmpl w:val="6EC2A38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2"/>
  </w:num>
  <w:num w:numId="2">
    <w:abstractNumId w:val="17"/>
  </w:num>
  <w:num w:numId="3">
    <w:abstractNumId w:val="24"/>
  </w:num>
  <w:num w:numId="4">
    <w:abstractNumId w:val="16"/>
  </w:num>
  <w:num w:numId="5">
    <w:abstractNumId w:val="0"/>
  </w:num>
  <w:num w:numId="6">
    <w:abstractNumId w:val="11"/>
  </w:num>
  <w:num w:numId="7">
    <w:abstractNumId w:val="22"/>
  </w:num>
  <w:num w:numId="8">
    <w:abstractNumId w:val="26"/>
  </w:num>
  <w:num w:numId="9">
    <w:abstractNumId w:val="23"/>
  </w:num>
  <w:num w:numId="10">
    <w:abstractNumId w:val="10"/>
  </w:num>
  <w:num w:numId="11">
    <w:abstractNumId w:val="29"/>
  </w:num>
  <w:num w:numId="12">
    <w:abstractNumId w:val="8"/>
  </w:num>
  <w:num w:numId="13">
    <w:abstractNumId w:val="4"/>
  </w:num>
  <w:num w:numId="14">
    <w:abstractNumId w:val="30"/>
  </w:num>
  <w:num w:numId="15">
    <w:abstractNumId w:val="5"/>
  </w:num>
  <w:num w:numId="16">
    <w:abstractNumId w:val="15"/>
  </w:num>
  <w:num w:numId="17">
    <w:abstractNumId w:val="32"/>
  </w:num>
  <w:num w:numId="18">
    <w:abstractNumId w:val="19"/>
  </w:num>
  <w:num w:numId="19">
    <w:abstractNumId w:val="20"/>
  </w:num>
  <w:num w:numId="20">
    <w:abstractNumId w:val="6"/>
  </w:num>
  <w:num w:numId="21">
    <w:abstractNumId w:val="2"/>
  </w:num>
  <w:num w:numId="22">
    <w:abstractNumId w:val="1"/>
  </w:num>
  <w:num w:numId="23">
    <w:abstractNumId w:val="3"/>
  </w:num>
  <w:num w:numId="24">
    <w:abstractNumId w:val="31"/>
  </w:num>
  <w:num w:numId="25">
    <w:abstractNumId w:val="13"/>
  </w:num>
  <w:num w:numId="26">
    <w:abstractNumId w:val="21"/>
  </w:num>
  <w:num w:numId="27">
    <w:abstractNumId w:val="28"/>
  </w:num>
  <w:num w:numId="28">
    <w:abstractNumId w:val="27"/>
  </w:num>
  <w:num w:numId="29">
    <w:abstractNumId w:val="25"/>
  </w:num>
  <w:num w:numId="30">
    <w:abstractNumId w:val="7"/>
  </w:num>
  <w:num w:numId="31">
    <w:abstractNumId w:val="14"/>
  </w:num>
  <w:num w:numId="32">
    <w:abstractNumId w:val="9"/>
  </w:num>
  <w:num w:numId="33">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720"/>
  <w:evenAndOddHeaders/>
  <w:drawingGridHorizontalSpacing w:val="110"/>
  <w:displayHorizontalDrawingGridEvery w:val="2"/>
  <w:characterSpacingControl w:val="doNotCompress"/>
  <w:hdrShapeDefaults>
    <o:shapedefaults v:ext="edit" spidmax="8193" style="mso-width-relative:margin;mso-height-relative:margin" fillcolor="white" strokecolor="none [3204]">
      <v:fill color="white"/>
      <v:stroke dashstyle="1 1" color="none [3204]" weight="2pt"/>
      <o:colormenu v:ext="edit" fillcolor="none [3204]" strokecolor="none [3212]" shadow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3E7"/>
    <w:rsid w:val="00002BD1"/>
    <w:rsid w:val="0000799B"/>
    <w:rsid w:val="00045A34"/>
    <w:rsid w:val="00052FCF"/>
    <w:rsid w:val="00062839"/>
    <w:rsid w:val="000771EE"/>
    <w:rsid w:val="0013547B"/>
    <w:rsid w:val="0013634C"/>
    <w:rsid w:val="0017757A"/>
    <w:rsid w:val="001908CF"/>
    <w:rsid w:val="001A3461"/>
    <w:rsid w:val="001B3C63"/>
    <w:rsid w:val="001C08CF"/>
    <w:rsid w:val="001D1B8C"/>
    <w:rsid w:val="001D1D43"/>
    <w:rsid w:val="001D3D6F"/>
    <w:rsid w:val="001E0832"/>
    <w:rsid w:val="001F386D"/>
    <w:rsid w:val="00235DB6"/>
    <w:rsid w:val="00253503"/>
    <w:rsid w:val="00275A4F"/>
    <w:rsid w:val="00293200"/>
    <w:rsid w:val="002F1BB4"/>
    <w:rsid w:val="00331A7D"/>
    <w:rsid w:val="00341F2E"/>
    <w:rsid w:val="00346ABC"/>
    <w:rsid w:val="003847AC"/>
    <w:rsid w:val="003B3429"/>
    <w:rsid w:val="003C27D0"/>
    <w:rsid w:val="003E46E8"/>
    <w:rsid w:val="003E484C"/>
    <w:rsid w:val="0043390A"/>
    <w:rsid w:val="0045157E"/>
    <w:rsid w:val="0045443F"/>
    <w:rsid w:val="00481167"/>
    <w:rsid w:val="004A554D"/>
    <w:rsid w:val="004F1358"/>
    <w:rsid w:val="004F3402"/>
    <w:rsid w:val="005108A4"/>
    <w:rsid w:val="00513C8D"/>
    <w:rsid w:val="005905B5"/>
    <w:rsid w:val="005C09ED"/>
    <w:rsid w:val="005D52A6"/>
    <w:rsid w:val="00636E99"/>
    <w:rsid w:val="006D670E"/>
    <w:rsid w:val="006E0DF6"/>
    <w:rsid w:val="006E18CD"/>
    <w:rsid w:val="0077242C"/>
    <w:rsid w:val="007933CA"/>
    <w:rsid w:val="00797D9E"/>
    <w:rsid w:val="007C2212"/>
    <w:rsid w:val="00807C6F"/>
    <w:rsid w:val="0082220E"/>
    <w:rsid w:val="008375C1"/>
    <w:rsid w:val="008413E3"/>
    <w:rsid w:val="00847F92"/>
    <w:rsid w:val="008537E9"/>
    <w:rsid w:val="008662A2"/>
    <w:rsid w:val="0087700C"/>
    <w:rsid w:val="00877700"/>
    <w:rsid w:val="00893017"/>
    <w:rsid w:val="008B2504"/>
    <w:rsid w:val="008E421B"/>
    <w:rsid w:val="008F438B"/>
    <w:rsid w:val="009261E1"/>
    <w:rsid w:val="009279C9"/>
    <w:rsid w:val="00961612"/>
    <w:rsid w:val="009653E7"/>
    <w:rsid w:val="009E7203"/>
    <w:rsid w:val="00A3635C"/>
    <w:rsid w:val="00A84E47"/>
    <w:rsid w:val="00AC164D"/>
    <w:rsid w:val="00AC31A0"/>
    <w:rsid w:val="00AD6FAA"/>
    <w:rsid w:val="00AE1CEC"/>
    <w:rsid w:val="00AF4E9F"/>
    <w:rsid w:val="00B02159"/>
    <w:rsid w:val="00B058D4"/>
    <w:rsid w:val="00B07C67"/>
    <w:rsid w:val="00B279EC"/>
    <w:rsid w:val="00B31968"/>
    <w:rsid w:val="00B3617D"/>
    <w:rsid w:val="00B42D64"/>
    <w:rsid w:val="00B7375D"/>
    <w:rsid w:val="00B9016C"/>
    <w:rsid w:val="00BA1144"/>
    <w:rsid w:val="00BD4D91"/>
    <w:rsid w:val="00BE600B"/>
    <w:rsid w:val="00C13CFB"/>
    <w:rsid w:val="00C41872"/>
    <w:rsid w:val="00C806D8"/>
    <w:rsid w:val="00C859AE"/>
    <w:rsid w:val="00CC1D1C"/>
    <w:rsid w:val="00CE6F1F"/>
    <w:rsid w:val="00D737E0"/>
    <w:rsid w:val="00D82E5B"/>
    <w:rsid w:val="00DB1ADE"/>
    <w:rsid w:val="00DB2B14"/>
    <w:rsid w:val="00DD5E66"/>
    <w:rsid w:val="00DF7C05"/>
    <w:rsid w:val="00E33C89"/>
    <w:rsid w:val="00E41E6B"/>
    <w:rsid w:val="00E619C3"/>
    <w:rsid w:val="00EA00D2"/>
    <w:rsid w:val="00EA0F3F"/>
    <w:rsid w:val="00EF17E3"/>
    <w:rsid w:val="00F51656"/>
    <w:rsid w:val="00F72BEA"/>
    <w:rsid w:val="00F829FA"/>
    <w:rsid w:val="00FB5DB1"/>
    <w:rsid w:val="00FD136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8193" style="mso-width-relative:margin;mso-height-relative:margin" fillcolor="white" strokecolor="none [3204]">
      <v:fill color="white"/>
      <v:stroke dashstyle="1 1" color="none [3204]" weight="2pt"/>
      <o:colormenu v:ext="edit" fillcolor="none [3204]" strokecolor="none [3212]" shadowcolor="none"/>
    </o:shapedefaults>
    <o:shapelayout v:ext="edit">
      <o:idmap v:ext="edit" data="1"/>
    </o:shapelayout>
  </w:shapeDefaults>
  <w:decimalSymbol w:val="."/>
  <w:listSeparator w:val=","/>
  <w15:docId w15:val="{F338A9EC-8A65-4F2D-9A58-9C06E1B8D7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2839"/>
  </w:style>
  <w:style w:type="paragraph" w:styleId="Heading1">
    <w:name w:val="heading 1"/>
    <w:basedOn w:val="Normal"/>
    <w:next w:val="Normal"/>
    <w:link w:val="Heading1Char"/>
    <w:uiPriority w:val="9"/>
    <w:qFormat/>
    <w:rsid w:val="00B319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B3196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D82E5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D82E5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319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1968"/>
  </w:style>
  <w:style w:type="paragraph" w:styleId="Footer">
    <w:name w:val="footer"/>
    <w:basedOn w:val="Normal"/>
    <w:link w:val="FooterChar"/>
    <w:uiPriority w:val="99"/>
    <w:semiHidden/>
    <w:unhideWhenUsed/>
    <w:rsid w:val="00B31968"/>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B31968"/>
  </w:style>
  <w:style w:type="character" w:customStyle="1" w:styleId="Heading1Char">
    <w:name w:val="Heading 1 Char"/>
    <w:basedOn w:val="DefaultParagraphFont"/>
    <w:link w:val="Heading1"/>
    <w:uiPriority w:val="9"/>
    <w:rsid w:val="00B31968"/>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B31968"/>
    <w:rPr>
      <w:rFonts w:asciiTheme="majorHAnsi" w:eastAsiaTheme="majorEastAsia" w:hAnsiTheme="majorHAnsi" w:cstheme="majorBidi"/>
      <w:b/>
      <w:bCs/>
      <w:color w:val="4F81BD" w:themeColor="accent1"/>
      <w:sz w:val="26"/>
      <w:szCs w:val="26"/>
    </w:rPr>
  </w:style>
  <w:style w:type="paragraph" w:styleId="BodyText">
    <w:name w:val="Body Text"/>
    <w:basedOn w:val="Normal"/>
    <w:link w:val="BodyTextChar"/>
    <w:qFormat/>
    <w:rsid w:val="00D82E5B"/>
    <w:pPr>
      <w:spacing w:before="120" w:after="120" w:line="240" w:lineRule="auto"/>
      <w:jc w:val="both"/>
    </w:pPr>
    <w:rPr>
      <w:rFonts w:eastAsia="Times New Roman" w:cs="Times New Roman"/>
    </w:rPr>
  </w:style>
  <w:style w:type="character" w:customStyle="1" w:styleId="BodyTextChar">
    <w:name w:val="Body Text Char"/>
    <w:basedOn w:val="DefaultParagraphFont"/>
    <w:link w:val="BodyText"/>
    <w:rsid w:val="00D82E5B"/>
    <w:rPr>
      <w:rFonts w:eastAsia="Times New Roman" w:cs="Times New Roman"/>
    </w:rPr>
  </w:style>
  <w:style w:type="character" w:customStyle="1" w:styleId="Heading3Char">
    <w:name w:val="Heading 3 Char"/>
    <w:basedOn w:val="DefaultParagraphFont"/>
    <w:link w:val="Heading3"/>
    <w:uiPriority w:val="9"/>
    <w:rsid w:val="00D82E5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D82E5B"/>
    <w:rPr>
      <w:rFonts w:asciiTheme="majorHAnsi" w:eastAsiaTheme="majorEastAsia" w:hAnsiTheme="majorHAnsi" w:cstheme="majorBidi"/>
      <w:b/>
      <w:bCs/>
      <w:i/>
      <w:iCs/>
      <w:color w:val="4F81BD" w:themeColor="accent1"/>
    </w:rPr>
  </w:style>
  <w:style w:type="paragraph" w:styleId="ListParagraph">
    <w:name w:val="List Paragraph"/>
    <w:aliases w:val="Bullet Level 1"/>
    <w:basedOn w:val="Normal"/>
    <w:link w:val="ListParagraphChar"/>
    <w:uiPriority w:val="34"/>
    <w:qFormat/>
    <w:rsid w:val="003B3429"/>
    <w:pPr>
      <w:ind w:left="720"/>
      <w:contextualSpacing/>
    </w:pPr>
  </w:style>
  <w:style w:type="paragraph" w:customStyle="1" w:styleId="Graphic">
    <w:name w:val="Graphic"/>
    <w:basedOn w:val="Normal"/>
    <w:next w:val="BodyText"/>
    <w:rsid w:val="00BD4D91"/>
    <w:pPr>
      <w:pBdr>
        <w:top w:val="single" w:sz="4" w:space="1" w:color="auto"/>
        <w:left w:val="single" w:sz="4" w:space="1" w:color="auto"/>
        <w:bottom w:val="single" w:sz="4" w:space="1" w:color="auto"/>
        <w:right w:val="single" w:sz="4" w:space="1" w:color="auto"/>
      </w:pBdr>
      <w:spacing w:before="120" w:after="120" w:line="240" w:lineRule="auto"/>
      <w:jc w:val="center"/>
    </w:pPr>
    <w:rPr>
      <w:rFonts w:eastAsia="Times New Roman" w:cs="Times New Roman"/>
      <w:szCs w:val="20"/>
    </w:rPr>
  </w:style>
  <w:style w:type="paragraph" w:styleId="Signature">
    <w:name w:val="Signature"/>
    <w:next w:val="Graphic"/>
    <w:link w:val="SignatureChar"/>
    <w:uiPriority w:val="99"/>
    <w:semiHidden/>
    <w:unhideWhenUsed/>
    <w:rsid w:val="00BD4D91"/>
    <w:pPr>
      <w:spacing w:after="0" w:line="240" w:lineRule="auto"/>
      <w:ind w:left="4252"/>
    </w:pPr>
    <w:rPr>
      <w:lang w:eastAsia="en-AU"/>
    </w:rPr>
  </w:style>
  <w:style w:type="character" w:customStyle="1" w:styleId="SignatureChar">
    <w:name w:val="Signature Char"/>
    <w:basedOn w:val="DefaultParagraphFont"/>
    <w:link w:val="Signature"/>
    <w:uiPriority w:val="99"/>
    <w:semiHidden/>
    <w:rsid w:val="00BD4D91"/>
  </w:style>
  <w:style w:type="character" w:customStyle="1" w:styleId="ListParagraphChar">
    <w:name w:val="List Paragraph Char"/>
    <w:aliases w:val="Bullet Level 1 Char"/>
    <w:basedOn w:val="DefaultParagraphFont"/>
    <w:link w:val="ListParagraph"/>
    <w:uiPriority w:val="34"/>
    <w:rsid w:val="00BD4D91"/>
  </w:style>
  <w:style w:type="character" w:styleId="CommentReference">
    <w:name w:val="annotation reference"/>
    <w:basedOn w:val="DefaultParagraphFont"/>
    <w:rsid w:val="003847AC"/>
    <w:rPr>
      <w:sz w:val="16"/>
      <w:szCs w:val="16"/>
    </w:rPr>
  </w:style>
  <w:style w:type="paragraph" w:styleId="CommentText">
    <w:name w:val="annotation text"/>
    <w:basedOn w:val="Normal"/>
    <w:link w:val="CommentTextChar"/>
    <w:rsid w:val="003847AC"/>
    <w:pPr>
      <w:spacing w:before="120" w:after="120" w:line="240" w:lineRule="auto"/>
    </w:pPr>
    <w:rPr>
      <w:rFonts w:eastAsia="Times New Roman" w:cs="Times New Roman"/>
      <w:szCs w:val="20"/>
    </w:rPr>
  </w:style>
  <w:style w:type="character" w:customStyle="1" w:styleId="CommentTextChar">
    <w:name w:val="Comment Text Char"/>
    <w:basedOn w:val="DefaultParagraphFont"/>
    <w:link w:val="CommentText"/>
    <w:rsid w:val="003847AC"/>
    <w:rPr>
      <w:rFonts w:eastAsia="Times New Roman" w:cs="Times New Roman"/>
      <w:szCs w:val="20"/>
    </w:rPr>
  </w:style>
  <w:style w:type="paragraph" w:styleId="BalloonText">
    <w:name w:val="Balloon Text"/>
    <w:basedOn w:val="Normal"/>
    <w:link w:val="BalloonTextChar"/>
    <w:uiPriority w:val="99"/>
    <w:semiHidden/>
    <w:unhideWhenUsed/>
    <w:rsid w:val="003847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847AC"/>
    <w:rPr>
      <w:rFonts w:ascii="Tahoma" w:hAnsi="Tahoma" w:cs="Tahoma"/>
      <w:sz w:val="16"/>
      <w:szCs w:val="16"/>
    </w:rPr>
  </w:style>
  <w:style w:type="character" w:styleId="EndnoteReference">
    <w:name w:val="endnote reference"/>
    <w:basedOn w:val="DefaultParagraphFont"/>
    <w:rsid w:val="003847AC"/>
    <w:rPr>
      <w:vertAlign w:val="superscript"/>
    </w:rPr>
  </w:style>
  <w:style w:type="paragraph" w:styleId="EndnoteText">
    <w:name w:val="endnote text"/>
    <w:basedOn w:val="Normal"/>
    <w:link w:val="EndnoteTextChar"/>
    <w:rsid w:val="003847AC"/>
    <w:pPr>
      <w:spacing w:after="0" w:line="240" w:lineRule="auto"/>
    </w:pPr>
    <w:rPr>
      <w:rFonts w:eastAsia="Times New Roman" w:cs="Times New Roman"/>
      <w:sz w:val="20"/>
      <w:szCs w:val="20"/>
    </w:rPr>
  </w:style>
  <w:style w:type="character" w:customStyle="1" w:styleId="EndnoteTextChar">
    <w:name w:val="Endnote Text Char"/>
    <w:basedOn w:val="DefaultParagraphFont"/>
    <w:link w:val="EndnoteText"/>
    <w:rsid w:val="003847AC"/>
    <w:rPr>
      <w:rFonts w:eastAsia="Times New Roman" w:cs="Times New Roman"/>
      <w:sz w:val="20"/>
      <w:szCs w:val="20"/>
    </w:rPr>
  </w:style>
  <w:style w:type="character" w:styleId="Hyperlink">
    <w:name w:val="Hyperlink"/>
    <w:basedOn w:val="DefaultParagraphFont"/>
    <w:uiPriority w:val="99"/>
    <w:unhideWhenUsed/>
    <w:rsid w:val="00C13C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B34010-E382-4596-8797-544C3CC9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BFB40423</Template>
  <TotalTime>1</TotalTime>
  <Pages>12</Pages>
  <Words>1506</Words>
  <Characters>8589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InTACT</Company>
  <LinksUpToDate>false</LinksUpToDate>
  <CharactersWithSpaces>10075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Iain Barr</dc:creator>
  <cp:lastModifiedBy>Liu, Lijing</cp:lastModifiedBy>
  <cp:revision>2</cp:revision>
  <cp:lastPrinted>2013-07-30T04:54:00Z</cp:lastPrinted>
  <dcterms:created xsi:type="dcterms:W3CDTF">2017-11-03T04:23:00Z</dcterms:created>
  <dcterms:modified xsi:type="dcterms:W3CDTF">2017-11-03T04:23:00Z</dcterms:modified>
</cp:coreProperties>
</file>