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412B" w:rsidRDefault="00F0412B" w:rsidP="00F0412B">
      <w:pPr>
        <w:rPr>
          <w:rFonts w:asciiTheme="minorHAnsi" w:hAnsiTheme="minorHAnsi" w:cstheme="minorHAnsi"/>
        </w:rPr>
      </w:pPr>
    </w:p>
    <w:p w:rsidR="00F0412B" w:rsidRDefault="00F0412B" w:rsidP="00F0412B"/>
    <w:tbl>
      <w:tblPr>
        <w:tblW w:w="9362" w:type="dxa"/>
        <w:jc w:val="center"/>
        <w:tblCellSpacing w:w="0" w:type="dxa"/>
        <w:shd w:val="clear" w:color="auto" w:fill="F2F2F2"/>
        <w:tblCellMar>
          <w:left w:w="0" w:type="dxa"/>
          <w:right w:w="0" w:type="dxa"/>
        </w:tblCellMar>
        <w:tblLook w:val="04A0" w:firstRow="1" w:lastRow="0" w:firstColumn="1" w:lastColumn="0" w:noHBand="0" w:noVBand="1"/>
      </w:tblPr>
      <w:tblGrid>
        <w:gridCol w:w="1945"/>
        <w:gridCol w:w="1335"/>
        <w:gridCol w:w="6995"/>
        <w:gridCol w:w="25"/>
      </w:tblGrid>
      <w:tr w:rsidR="00F0412B" w:rsidTr="00C600AD">
        <w:trPr>
          <w:tblCellSpacing w:w="0" w:type="dxa"/>
          <w:jc w:val="center"/>
        </w:trPr>
        <w:tc>
          <w:tcPr>
            <w:tcW w:w="1446" w:type="dxa"/>
            <w:shd w:val="clear" w:color="auto" w:fill="5C5C5C"/>
            <w:tcMar>
              <w:top w:w="225" w:type="dxa"/>
              <w:left w:w="465" w:type="dxa"/>
              <w:bottom w:w="225" w:type="dxa"/>
              <w:right w:w="0" w:type="dxa"/>
            </w:tcMar>
            <w:vAlign w:val="center"/>
            <w:hideMark/>
          </w:tcPr>
          <w:p w:rsidR="00F0412B" w:rsidRDefault="00F0412B" w:rsidP="00C600AD"/>
        </w:tc>
        <w:tc>
          <w:tcPr>
            <w:tcW w:w="665" w:type="dxa"/>
            <w:shd w:val="clear" w:color="auto" w:fill="5C5C5C"/>
            <w:tcMar>
              <w:top w:w="225" w:type="dxa"/>
              <w:left w:w="645" w:type="dxa"/>
              <w:bottom w:w="225" w:type="dxa"/>
              <w:right w:w="0" w:type="dxa"/>
            </w:tcMar>
            <w:vAlign w:val="center"/>
            <w:hideMark/>
          </w:tcPr>
          <w:p w:rsidR="00F0412B" w:rsidRDefault="00F0412B" w:rsidP="00C600AD">
            <w:pPr>
              <w:ind w:left="-2100"/>
              <w:rPr>
                <w:rFonts w:ascii="Times New Roman" w:eastAsia="Times New Roman" w:hAnsi="Times New Roman" w:cs="Times New Roman"/>
                <w:sz w:val="20"/>
                <w:szCs w:val="20"/>
                <w:lang w:eastAsia="en-AU"/>
              </w:rPr>
            </w:pPr>
          </w:p>
        </w:tc>
        <w:tc>
          <w:tcPr>
            <w:tcW w:w="7251" w:type="dxa"/>
            <w:gridSpan w:val="2"/>
            <w:shd w:val="clear" w:color="auto" w:fill="5C5C5C"/>
            <w:tcMar>
              <w:top w:w="225" w:type="dxa"/>
              <w:left w:w="0" w:type="dxa"/>
              <w:bottom w:w="225" w:type="dxa"/>
              <w:right w:w="375" w:type="dxa"/>
            </w:tcMar>
            <w:vAlign w:val="center"/>
            <w:hideMark/>
          </w:tcPr>
          <w:p w:rsidR="00F0412B" w:rsidRDefault="00F0412B" w:rsidP="00C600AD">
            <w:pPr>
              <w:spacing w:before="100" w:beforeAutospacing="1" w:after="100" w:afterAutospacing="1"/>
              <w:ind w:left="-1137"/>
              <w:jc w:val="right"/>
              <w:rPr>
                <w:color w:val="FFFFFF"/>
                <w:sz w:val="20"/>
                <w:szCs w:val="20"/>
                <w:lang w:eastAsia="en-AU"/>
              </w:rPr>
            </w:pPr>
            <w:r>
              <w:rPr>
                <w:noProof/>
                <w:color w:val="000000"/>
              </w:rPr>
              <w:drawing>
                <wp:inline distT="0" distB="0" distL="0" distR="0" wp14:anchorId="6230F627" wp14:editId="0B60328D">
                  <wp:extent cx="209550" cy="2095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color w:val="000000"/>
              </w:rPr>
              <w:drawing>
                <wp:inline distT="0" distB="0" distL="0" distR="0" wp14:anchorId="048012C8" wp14:editId="405D480A">
                  <wp:extent cx="209550" cy="2095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noProof/>
                <w:color w:val="000000"/>
              </w:rPr>
              <w:drawing>
                <wp:inline distT="0" distB="0" distL="0" distR="0" wp14:anchorId="55A1891D" wp14:editId="31160370">
                  <wp:extent cx="209550" cy="2095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F0412B" w:rsidTr="00C600AD">
        <w:trPr>
          <w:gridAfter w:val="1"/>
          <w:wAfter w:w="712" w:type="dxa"/>
          <w:tblCellSpacing w:w="0" w:type="dxa"/>
          <w:jc w:val="center"/>
        </w:trPr>
        <w:tc>
          <w:tcPr>
            <w:tcW w:w="8650" w:type="dxa"/>
            <w:gridSpan w:val="3"/>
            <w:shd w:val="clear" w:color="auto" w:fill="342682"/>
            <w:vAlign w:val="center"/>
            <w:hideMark/>
          </w:tcPr>
          <w:p w:rsidR="00F0412B" w:rsidRDefault="00F0412B" w:rsidP="00C600AD">
            <w:pPr>
              <w:rPr>
                <w:color w:val="333132"/>
              </w:rPr>
            </w:pPr>
            <w:r>
              <w:rPr>
                <w:noProof/>
                <w:color w:val="333132"/>
              </w:rPr>
              <w:drawing>
                <wp:inline distT="0" distB="0" distL="0" distR="0" wp14:anchorId="348EBABA" wp14:editId="629E3FA5">
                  <wp:extent cx="6524625" cy="1862836"/>
                  <wp:effectExtent l="0" t="0" r="0" b="0"/>
                  <wp:docPr id="76" name="Picture 76" descr="Children's Education and Care Assurance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Education and Care Assurance Alert"/>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538701" cy="1866855"/>
                          </a:xfrm>
                          <a:prstGeom prst="rect">
                            <a:avLst/>
                          </a:prstGeom>
                          <a:noFill/>
                          <a:ln>
                            <a:noFill/>
                          </a:ln>
                        </pic:spPr>
                      </pic:pic>
                    </a:graphicData>
                  </a:graphic>
                </wp:inline>
              </w:drawing>
            </w:r>
          </w:p>
        </w:tc>
      </w:tr>
    </w:tbl>
    <w:p w:rsidR="00F0412B" w:rsidRDefault="00F0412B" w:rsidP="00F0412B"/>
    <w:tbl>
      <w:tblPr>
        <w:tblW w:w="10260" w:type="dxa"/>
        <w:jc w:val="center"/>
        <w:tblCellSpacing w:w="0" w:type="dxa"/>
        <w:shd w:val="clear" w:color="auto" w:fill="F2F2F2"/>
        <w:tblCellMar>
          <w:left w:w="0" w:type="dxa"/>
          <w:right w:w="0" w:type="dxa"/>
        </w:tblCellMar>
        <w:tblLook w:val="04A0" w:firstRow="1" w:lastRow="0" w:firstColumn="1" w:lastColumn="0" w:noHBand="0" w:noVBand="1"/>
      </w:tblPr>
      <w:tblGrid>
        <w:gridCol w:w="10406"/>
      </w:tblGrid>
      <w:tr w:rsidR="00F0412B" w:rsidTr="00C600AD">
        <w:trPr>
          <w:trHeight w:val="2960"/>
          <w:tblCellSpacing w:w="0" w:type="dxa"/>
          <w:jc w:val="center"/>
        </w:trPr>
        <w:tc>
          <w:tcPr>
            <w:tcW w:w="0" w:type="auto"/>
            <w:shd w:val="clear" w:color="auto" w:fill="F2F2F2"/>
            <w:tcMar>
              <w:top w:w="300" w:type="dxa"/>
              <w:left w:w="750" w:type="dxa"/>
              <w:bottom w:w="375" w:type="dxa"/>
              <w:right w:w="630" w:type="dxa"/>
            </w:tcMar>
            <w:vAlign w:val="center"/>
          </w:tcPr>
          <w:p w:rsidR="00F0412B" w:rsidRDefault="00F0412B" w:rsidP="00C600AD">
            <w:pPr>
              <w:spacing w:before="150" w:line="300" w:lineRule="exact"/>
            </w:pPr>
            <w:r>
              <w:rPr>
                <w:i/>
                <w:iCs/>
                <w:color w:val="222222"/>
                <w:sz w:val="20"/>
                <w:szCs w:val="20"/>
                <w:lang w:eastAsia="en-AU"/>
              </w:rPr>
              <w:t>The Children’s Education and Care Assurance Update links professionals, providers and educators with news, resources and information that supports quality outcomes for children in ACT education and care services</w:t>
            </w:r>
          </w:p>
          <w:p w:rsidR="00F0412B" w:rsidRDefault="00F0412B" w:rsidP="00C600AD">
            <w:pPr>
              <w:spacing w:before="100" w:beforeAutospacing="1" w:after="100" w:afterAutospacing="1" w:line="400" w:lineRule="atLeast"/>
            </w:pPr>
            <w:r>
              <w:rPr>
                <w:rFonts w:ascii="Arial" w:hAnsi="Arial" w:cs="Arial"/>
                <w:b/>
                <w:bCs/>
                <w:color w:val="2A987A"/>
                <w:sz w:val="32"/>
                <w:szCs w:val="32"/>
                <w:lang w:eastAsia="en-AU"/>
              </w:rPr>
              <w:t>27 May 2020</w:t>
            </w:r>
          </w:p>
          <w:p w:rsidR="00F0412B" w:rsidRDefault="00F0412B" w:rsidP="00C600AD">
            <w:pPr>
              <w:pStyle w:val="NoSpacing"/>
              <w:spacing w:line="276" w:lineRule="auto"/>
              <w:rPr>
                <w:b/>
                <w:bCs/>
                <w:color w:val="313131"/>
                <w:sz w:val="28"/>
                <w:szCs w:val="28"/>
                <w:lang w:eastAsia="en-AU"/>
              </w:rPr>
            </w:pPr>
            <w:r>
              <w:rPr>
                <w:b/>
                <w:bCs/>
                <w:color w:val="313131"/>
                <w:sz w:val="28"/>
                <w:szCs w:val="28"/>
                <w:lang w:eastAsia="en-AU"/>
              </w:rPr>
              <w:t xml:space="preserve">Ethical decision making during difficult times </w:t>
            </w:r>
          </w:p>
          <w:p w:rsidR="00F0412B" w:rsidRDefault="00F0412B" w:rsidP="00C600AD">
            <w:pPr>
              <w:pStyle w:val="NoSpacing"/>
              <w:spacing w:line="276" w:lineRule="auto"/>
              <w:rPr>
                <w:color w:val="000000"/>
              </w:rPr>
            </w:pPr>
            <w:r>
              <w:rPr>
                <w:color w:val="000000"/>
              </w:rPr>
              <w:t xml:space="preserve">Many ACT education and care providers, leaders and educators have and continue to make decisions about competing and complex priorities during the COVID-19 pandemic. To provide additional support to you and your team CECA has commissioned Catharine </w:t>
            </w:r>
            <w:proofErr w:type="spellStart"/>
            <w:r>
              <w:rPr>
                <w:color w:val="000000"/>
              </w:rPr>
              <w:t>Hydon</w:t>
            </w:r>
            <w:proofErr w:type="spellEnd"/>
            <w:r>
              <w:rPr>
                <w:color w:val="000000"/>
              </w:rPr>
              <w:t xml:space="preserve"> and Early Childhood Australia to deliver this free </w:t>
            </w:r>
            <w:r>
              <w:rPr>
                <w:i/>
                <w:iCs/>
                <w:color w:val="000000"/>
              </w:rPr>
              <w:t>Making difficult decisions – choosing the right thing to do to move forward</w:t>
            </w:r>
            <w:r>
              <w:rPr>
                <w:color w:val="000000"/>
              </w:rPr>
              <w:t xml:space="preserve"> professional learning resource. In this video Catharine </w:t>
            </w:r>
            <w:proofErr w:type="spellStart"/>
            <w:r>
              <w:rPr>
                <w:color w:val="000000"/>
              </w:rPr>
              <w:t>Hydon</w:t>
            </w:r>
            <w:proofErr w:type="spellEnd"/>
            <w:r>
              <w:rPr>
                <w:color w:val="000000"/>
              </w:rPr>
              <w:t xml:space="preserve"> and Dr Kate </w:t>
            </w:r>
            <w:proofErr w:type="spellStart"/>
            <w:r>
              <w:rPr>
                <w:color w:val="000000"/>
              </w:rPr>
              <w:t>Highfield</w:t>
            </w:r>
            <w:proofErr w:type="spellEnd"/>
            <w:r>
              <w:rPr>
                <w:color w:val="000000"/>
              </w:rPr>
              <w:t xml:space="preserve"> share ideas that can assist with ethical decision making during these difficult times. </w:t>
            </w:r>
          </w:p>
          <w:p w:rsidR="00F0412B" w:rsidRDefault="00F0412B" w:rsidP="00C600AD">
            <w:pPr>
              <w:spacing w:before="100" w:beforeAutospacing="1"/>
              <w:rPr>
                <w:b/>
                <w:bCs/>
                <w:color w:val="313131"/>
                <w:sz w:val="28"/>
                <w:szCs w:val="28"/>
                <w:lang w:eastAsia="en-AU"/>
              </w:rPr>
            </w:pPr>
            <w:r>
              <w:rPr>
                <w:noProof/>
                <w:color w:val="000000"/>
              </w:rPr>
              <w:drawing>
                <wp:inline distT="0" distB="0" distL="0" distR="0" wp14:anchorId="6BFC811E" wp14:editId="50F2567B">
                  <wp:extent cx="5731510" cy="3189605"/>
                  <wp:effectExtent l="0" t="0" r="0" b="0"/>
                  <wp:docPr id="75" name="Picture 7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3189605"/>
                          </a:xfrm>
                          <a:prstGeom prst="rect">
                            <a:avLst/>
                          </a:prstGeom>
                          <a:noFill/>
                          <a:ln>
                            <a:noFill/>
                          </a:ln>
                        </pic:spPr>
                      </pic:pic>
                    </a:graphicData>
                  </a:graphic>
                </wp:inline>
              </w:drawing>
            </w:r>
          </w:p>
          <w:p w:rsidR="00F0412B" w:rsidRDefault="00F0412B" w:rsidP="00C600AD">
            <w:pPr>
              <w:spacing w:before="100" w:beforeAutospacing="1"/>
              <w:rPr>
                <w:b/>
                <w:bCs/>
                <w:sz w:val="28"/>
                <w:szCs w:val="28"/>
                <w:lang w:eastAsia="en-AU"/>
              </w:rPr>
            </w:pPr>
            <w:r w:rsidRPr="00F0412B">
              <w:rPr>
                <w:b/>
                <w:bCs/>
                <w:sz w:val="28"/>
                <w:szCs w:val="28"/>
                <w:lang w:eastAsia="en-AU"/>
              </w:rPr>
              <w:t xml:space="preserve">Australian Health Protection Principal Committee (AHPPC) statement on early childhood and learning centres in response to COVID-19 </w:t>
            </w:r>
          </w:p>
          <w:p w:rsidR="00F0412B" w:rsidRPr="00F0412B" w:rsidRDefault="00F0412B" w:rsidP="00C600AD">
            <w:pPr>
              <w:spacing w:before="100" w:beforeAutospacing="1"/>
              <w:rPr>
                <w:b/>
                <w:bCs/>
                <w:sz w:val="28"/>
                <w:szCs w:val="28"/>
                <w:lang w:eastAsia="en-AU"/>
              </w:rPr>
            </w:pPr>
          </w:p>
          <w:p w:rsidR="00F0412B" w:rsidRDefault="00F0412B" w:rsidP="00C600AD">
            <w:pPr>
              <w:rPr>
                <w:lang w:eastAsia="en-AU"/>
              </w:rPr>
            </w:pPr>
            <w:r>
              <w:rPr>
                <w:color w:val="000000"/>
                <w:lang w:eastAsia="en-AU"/>
              </w:rPr>
              <w:t xml:space="preserve">AHPPC have recently provided further advice and clarification to complement AHPPC’s initial </w:t>
            </w:r>
            <w:hyperlink r:id="rId11" w:history="1">
              <w:r>
                <w:rPr>
                  <w:rStyle w:val="Hyperlink"/>
                </w:rPr>
                <w:t>statement</w:t>
              </w:r>
            </w:hyperlink>
            <w:r>
              <w:rPr>
                <w:color w:val="313131"/>
                <w:lang w:eastAsia="en-AU"/>
              </w:rPr>
              <w:t xml:space="preserve"> </w:t>
            </w:r>
            <w:r>
              <w:rPr>
                <w:color w:val="000000"/>
                <w:lang w:eastAsia="en-AU"/>
              </w:rPr>
              <w:t xml:space="preserve">published on 6 April 2020 about COVID-19 for education and care services.  </w:t>
            </w:r>
            <w:r>
              <w:rPr>
                <w:color w:val="000000"/>
                <w:lang w:val="en" w:eastAsia="en-AU"/>
              </w:rPr>
              <w:t xml:space="preserve">On 25 May 2020 AHPPC provided further </w:t>
            </w:r>
            <w:hyperlink r:id="rId12" w:history="1">
              <w:r>
                <w:rPr>
                  <w:rStyle w:val="Hyperlink"/>
                </w:rPr>
                <w:t>clarification</w:t>
              </w:r>
              <w:r>
                <w:rPr>
                  <w:rStyle w:val="Hyperlink"/>
                  <w:color w:val="000000"/>
                </w:rPr>
                <w:t xml:space="preserve"> </w:t>
              </w:r>
            </w:hyperlink>
            <w:r>
              <w:rPr>
                <w:color w:val="000000"/>
                <w:lang w:val="en" w:eastAsia="en-AU"/>
              </w:rPr>
              <w:t xml:space="preserve">to complement AHPPC’s statement for education and care services which reinforces that unwell staff, children and visitors should not attend any education and care service. </w:t>
            </w:r>
            <w:r>
              <w:rPr>
                <w:color w:val="000000"/>
                <w:lang w:eastAsia="en-AU"/>
              </w:rPr>
              <w:t xml:space="preserve"> Children, </w:t>
            </w:r>
            <w:proofErr w:type="gramStart"/>
            <w:r>
              <w:rPr>
                <w:color w:val="000000"/>
                <w:lang w:eastAsia="en-AU"/>
              </w:rPr>
              <w:t>staff</w:t>
            </w:r>
            <w:proofErr w:type="gramEnd"/>
            <w:r>
              <w:rPr>
                <w:color w:val="000000"/>
                <w:lang w:eastAsia="en-AU"/>
              </w:rPr>
              <w:t xml:space="preserve"> and parents should use appropriate hand and respiratory hygiene and services should use an enhanced cleaning regimen.</w:t>
            </w:r>
          </w:p>
          <w:p w:rsidR="00F0412B" w:rsidRDefault="00F0412B" w:rsidP="00C600AD">
            <w:pPr>
              <w:spacing w:before="100" w:beforeAutospacing="1"/>
            </w:pPr>
            <w:r>
              <w:rPr>
                <w:color w:val="000000"/>
                <w:lang w:eastAsia="en-AU"/>
              </w:rPr>
              <w:t xml:space="preserve">AHPPC has identified that the ‘venue density rule’ of no more than 1 person per 4 square metres is not appropriate or practical in education and care services, nor is maintaining 1.5m between children. This extends to rooms, </w:t>
            </w:r>
            <w:proofErr w:type="gramStart"/>
            <w:r>
              <w:rPr>
                <w:color w:val="000000"/>
                <w:lang w:eastAsia="en-AU"/>
              </w:rPr>
              <w:t>corridors</w:t>
            </w:r>
            <w:proofErr w:type="gramEnd"/>
            <w:r>
              <w:rPr>
                <w:color w:val="000000"/>
                <w:lang w:eastAsia="en-AU"/>
              </w:rPr>
              <w:t xml:space="preserve"> and outdoor play areas. This advice applies to children interacting with other children, </w:t>
            </w:r>
            <w:proofErr w:type="gramStart"/>
            <w:r>
              <w:rPr>
                <w:color w:val="000000"/>
                <w:lang w:eastAsia="en-AU"/>
              </w:rPr>
              <w:t>and also</w:t>
            </w:r>
            <w:proofErr w:type="gramEnd"/>
            <w:r>
              <w:rPr>
                <w:color w:val="000000"/>
                <w:lang w:eastAsia="en-AU"/>
              </w:rPr>
              <w:t xml:space="preserve"> to adults providing care or interacting with children in this environment. For m</w:t>
            </w:r>
            <w:r>
              <w:rPr>
                <w:color w:val="000000"/>
              </w:rPr>
              <w:t>ore information visit the Australian Government Department of Health website.</w:t>
            </w:r>
          </w:p>
          <w:p w:rsidR="00F0412B" w:rsidRDefault="00F0412B" w:rsidP="00C600AD"/>
          <w:p w:rsidR="00F0412B" w:rsidRDefault="00F0412B" w:rsidP="00C600AD">
            <w:pPr>
              <w:rPr>
                <w:b/>
                <w:bCs/>
                <w:color w:val="000000"/>
                <w:sz w:val="28"/>
                <w:szCs w:val="28"/>
                <w:lang w:eastAsia="en-AU"/>
              </w:rPr>
            </w:pPr>
            <w:r>
              <w:rPr>
                <w:b/>
                <w:bCs/>
                <w:color w:val="000000"/>
                <w:sz w:val="28"/>
                <w:szCs w:val="28"/>
                <w:lang w:eastAsia="en-AU"/>
              </w:rPr>
              <w:t>Keeping up to date with CECA</w:t>
            </w:r>
          </w:p>
          <w:p w:rsidR="00F0412B" w:rsidRDefault="00F0412B" w:rsidP="00C600AD">
            <w:r>
              <w:rPr>
                <w:color w:val="000000"/>
              </w:rPr>
              <w:t xml:space="preserve">ACT providers, service leaders and educators are encouraged to keep up to date with information from CECA by visiting our </w:t>
            </w:r>
            <w:hyperlink r:id="rId13" w:history="1">
              <w:r>
                <w:rPr>
                  <w:rStyle w:val="Hyperlink"/>
                </w:rPr>
                <w:t>website</w:t>
              </w:r>
            </w:hyperlink>
            <w:r>
              <w:rPr>
                <w:color w:val="000000"/>
              </w:rPr>
              <w:t xml:space="preserve"> on a regular basis. Information including our Frequently Asked Questions are updated to support the ACT education and care community. CECA also share regular information, resources and news from the </w:t>
            </w:r>
            <w:hyperlink r:id="rId14" w:history="1">
              <w:r>
                <w:rPr>
                  <w:rStyle w:val="Hyperlink"/>
                </w:rPr>
                <w:t>CECA Facebook</w:t>
              </w:r>
            </w:hyperlink>
            <w:r>
              <w:rPr>
                <w:color w:val="000000"/>
              </w:rPr>
              <w:t xml:space="preserve"> page. </w:t>
            </w:r>
          </w:p>
          <w:p w:rsidR="00F0412B" w:rsidRDefault="00F0412B" w:rsidP="00C600AD">
            <w:pPr>
              <w:rPr>
                <w:b/>
                <w:bCs/>
                <w:color w:val="000000"/>
                <w:sz w:val="28"/>
                <w:szCs w:val="28"/>
                <w:lang w:eastAsia="en-AU"/>
              </w:rPr>
            </w:pPr>
          </w:p>
          <w:p w:rsidR="00F0412B" w:rsidRDefault="00F0412B" w:rsidP="00C600AD">
            <w:r>
              <w:rPr>
                <w:color w:val="000000"/>
              </w:rPr>
              <w:t xml:space="preserve">CECA distribute alerts, notifications, updates and the Talking Quality publication to provider and service contacts recorded in National Quality Assurance Information Technology System (NQAITS). Please ensure that email details are accurate. Additional email contacts can be added to CECA’s distribution list by request; please send a request in writing to </w:t>
            </w:r>
            <w:hyperlink r:id="rId15" w:history="1">
              <w:r>
                <w:rPr>
                  <w:rStyle w:val="Hyperlink"/>
                </w:rPr>
                <w:t>CECA@act.gov.au</w:t>
              </w:r>
            </w:hyperlink>
            <w:r>
              <w:rPr>
                <w:color w:val="000000"/>
              </w:rPr>
              <w:t xml:space="preserve"> to register. If you have already requested to be included on CECA’s email distribution list there is no need to do this again. </w:t>
            </w:r>
          </w:p>
          <w:p w:rsidR="00F0412B" w:rsidRDefault="00F0412B" w:rsidP="00C600AD"/>
          <w:p w:rsidR="00F0412B" w:rsidRDefault="00F0412B" w:rsidP="00C600AD">
            <w:pPr>
              <w:rPr>
                <w:color w:val="000000"/>
              </w:rPr>
            </w:pPr>
            <w:r>
              <w:rPr>
                <w:color w:val="000000"/>
              </w:rPr>
              <w:t>Thank you for your ongoing commitment to children and families in the ACT and surrounding NSW regions.</w:t>
            </w:r>
          </w:p>
          <w:p w:rsidR="00F0412B" w:rsidRDefault="00F0412B" w:rsidP="00C600AD">
            <w:pPr>
              <w:rPr>
                <w:color w:val="000000"/>
                <w:lang w:eastAsia="en-AU"/>
              </w:rPr>
            </w:pPr>
          </w:p>
          <w:p w:rsidR="00F0412B" w:rsidRDefault="00F0412B" w:rsidP="00C600AD">
            <w:pPr>
              <w:rPr>
                <w:sz w:val="20"/>
                <w:szCs w:val="20"/>
              </w:rPr>
            </w:pPr>
            <w:r>
              <w:rPr>
                <w:color w:val="000000"/>
                <w:sz w:val="20"/>
                <w:szCs w:val="20"/>
                <w:lang w:eastAsia="en-AU"/>
              </w:rPr>
              <w:t xml:space="preserve">For enquires in relation to this notification please call CECA on (02) 6207 1114 or email </w:t>
            </w:r>
            <w:hyperlink r:id="rId16" w:history="1">
              <w:r>
                <w:rPr>
                  <w:rStyle w:val="Hyperlink"/>
                  <w:color w:val="0000FF"/>
                  <w:sz w:val="20"/>
                  <w:szCs w:val="20"/>
                </w:rPr>
                <w:t>CECA@ACT.gov.au</w:t>
              </w:r>
            </w:hyperlink>
            <w:r>
              <w:rPr>
                <w:color w:val="000000"/>
                <w:sz w:val="20"/>
                <w:szCs w:val="20"/>
                <w:u w:val="single"/>
              </w:rPr>
              <w:t>.</w:t>
            </w:r>
            <w:r>
              <w:rPr>
                <w:color w:val="000000"/>
                <w:sz w:val="20"/>
                <w:szCs w:val="20"/>
              </w:rPr>
              <w:t xml:space="preserve"> </w:t>
            </w:r>
          </w:p>
          <w:p w:rsidR="00F0412B" w:rsidRDefault="00F0412B" w:rsidP="00C600AD">
            <w:pPr>
              <w:jc w:val="center"/>
            </w:pPr>
          </w:p>
          <w:p w:rsidR="00F0412B" w:rsidRDefault="00F0412B" w:rsidP="00C600AD">
            <w:pPr>
              <w:jc w:val="center"/>
              <w:rPr>
                <w:color w:val="767171"/>
                <w:sz w:val="20"/>
                <w:szCs w:val="20"/>
                <w:lang w:eastAsia="en-AU"/>
              </w:rPr>
            </w:pPr>
            <w:r>
              <w:rPr>
                <w:color w:val="767171"/>
                <w:sz w:val="20"/>
                <w:szCs w:val="20"/>
                <w:lang w:eastAsia="en-AU"/>
              </w:rPr>
              <w:t xml:space="preserve">This email has been authorised by the ACT Regulatory Authority (CECA). </w:t>
            </w:r>
          </w:p>
          <w:p w:rsidR="00F0412B" w:rsidRDefault="00F0412B" w:rsidP="00C600AD">
            <w:pPr>
              <w:jc w:val="center"/>
              <w:rPr>
                <w:color w:val="767171"/>
                <w:lang w:eastAsia="en-AU"/>
              </w:rPr>
            </w:pPr>
            <w:r>
              <w:rPr>
                <w:color w:val="767171"/>
                <w:sz w:val="20"/>
                <w:szCs w:val="20"/>
                <w:lang w:eastAsia="en-AU"/>
              </w:rPr>
              <w:t>CECA are responsible for administering the National Quality Framework within the ACT</w:t>
            </w:r>
            <w:r>
              <w:rPr>
                <w:color w:val="767171"/>
                <w:lang w:eastAsia="en-AU"/>
              </w:rPr>
              <w:t>.</w:t>
            </w:r>
          </w:p>
        </w:tc>
      </w:tr>
    </w:tbl>
    <w:p w:rsidR="00F0412B" w:rsidRDefault="00F0412B" w:rsidP="00F0412B">
      <w:pPr>
        <w:rPr>
          <w:color w:val="333132"/>
        </w:rPr>
      </w:pPr>
    </w:p>
    <w:tbl>
      <w:tblPr>
        <w:tblW w:w="10488" w:type="dxa"/>
        <w:jc w:val="center"/>
        <w:tblCellSpacing w:w="0" w:type="dxa"/>
        <w:shd w:val="clear" w:color="auto" w:fill="FFFFFF"/>
        <w:tblCellMar>
          <w:left w:w="0" w:type="dxa"/>
          <w:right w:w="0" w:type="dxa"/>
        </w:tblCellMar>
        <w:tblLook w:val="04A0" w:firstRow="1" w:lastRow="0" w:firstColumn="1" w:lastColumn="0" w:noHBand="0" w:noVBand="1"/>
      </w:tblPr>
      <w:tblGrid>
        <w:gridCol w:w="10510"/>
      </w:tblGrid>
      <w:tr w:rsidR="00F0412B" w:rsidRPr="00A922E8" w:rsidTr="00C600AD">
        <w:trPr>
          <w:trHeight w:val="671"/>
          <w:tblCellSpacing w:w="0" w:type="dxa"/>
          <w:jc w:val="center"/>
        </w:trPr>
        <w:tc>
          <w:tcPr>
            <w:tcW w:w="10439" w:type="dxa"/>
            <w:shd w:val="clear" w:color="auto" w:fill="5C5C5C"/>
            <w:vAlign w:val="center"/>
            <w:hideMark/>
          </w:tcPr>
          <w:tbl>
            <w:tblPr>
              <w:tblW w:w="10510" w:type="dxa"/>
              <w:jc w:val="center"/>
              <w:tblCellSpacing w:w="0" w:type="dxa"/>
              <w:shd w:val="clear" w:color="auto" w:fill="FFFFFF"/>
              <w:tblCellMar>
                <w:left w:w="0" w:type="dxa"/>
                <w:right w:w="0" w:type="dxa"/>
              </w:tblCellMar>
              <w:tblLook w:val="04A0" w:firstRow="1" w:lastRow="0" w:firstColumn="1" w:lastColumn="0" w:noHBand="0" w:noVBand="1"/>
            </w:tblPr>
            <w:tblGrid>
              <w:gridCol w:w="4139"/>
              <w:gridCol w:w="88"/>
              <w:gridCol w:w="6283"/>
            </w:tblGrid>
            <w:tr w:rsidR="00F0412B" w:rsidRPr="00A922E8" w:rsidTr="00C600AD">
              <w:trPr>
                <w:gridAfter w:val="2"/>
                <w:wAfter w:w="6371" w:type="dxa"/>
                <w:trHeight w:val="76"/>
                <w:tblCellSpacing w:w="0" w:type="dxa"/>
                <w:jc w:val="center"/>
              </w:trPr>
              <w:tc>
                <w:tcPr>
                  <w:tcW w:w="0" w:type="auto"/>
                  <w:shd w:val="clear" w:color="auto" w:fill="5C5C5C"/>
                  <w:vAlign w:val="center"/>
                  <w:hideMark/>
                </w:tcPr>
                <w:p w:rsidR="00F0412B" w:rsidRPr="00A922E8" w:rsidRDefault="00F0412B" w:rsidP="00C600AD">
                  <w:pPr>
                    <w:rPr>
                      <w:rFonts w:asciiTheme="minorHAnsi" w:eastAsia="Times New Roman" w:hAnsiTheme="minorHAnsi" w:cstheme="minorHAnsi"/>
                      <w:sz w:val="20"/>
                      <w:szCs w:val="20"/>
                      <w:lang w:eastAsia="en-AU"/>
                    </w:rPr>
                  </w:pPr>
                </w:p>
              </w:tc>
            </w:tr>
            <w:tr w:rsidR="00F0412B" w:rsidRPr="00A922E8" w:rsidTr="00C600AD">
              <w:trPr>
                <w:trHeight w:val="543"/>
                <w:tblCellSpacing w:w="0" w:type="dxa"/>
                <w:jc w:val="center"/>
              </w:trPr>
              <w:tc>
                <w:tcPr>
                  <w:tcW w:w="0" w:type="auto"/>
                  <w:shd w:val="clear" w:color="auto" w:fill="5C5C5C"/>
                  <w:tcMar>
                    <w:top w:w="120" w:type="dxa"/>
                    <w:left w:w="630" w:type="dxa"/>
                    <w:bottom w:w="120" w:type="dxa"/>
                    <w:right w:w="0" w:type="dxa"/>
                  </w:tcMar>
                  <w:vAlign w:val="center"/>
                  <w:hideMark/>
                </w:tcPr>
                <w:p w:rsidR="00F0412B" w:rsidRPr="00A922E8" w:rsidRDefault="00F0412B" w:rsidP="00C600AD">
                  <w:pPr>
                    <w:pStyle w:val="NormalWeb"/>
                    <w:rPr>
                      <w:rFonts w:asciiTheme="minorHAnsi" w:hAnsiTheme="minorHAnsi" w:cstheme="minorHAnsi"/>
                      <w:color w:val="FFFFFF"/>
                      <w:sz w:val="20"/>
                      <w:szCs w:val="20"/>
                    </w:rPr>
                  </w:pPr>
                  <w:r w:rsidRPr="00A922E8">
                    <w:rPr>
                      <w:rFonts w:asciiTheme="minorHAnsi" w:hAnsiTheme="minorHAnsi" w:cstheme="minorHAnsi"/>
                      <w:noProof/>
                      <w:color w:val="0000FF"/>
                      <w:sz w:val="20"/>
                      <w:szCs w:val="20"/>
                    </w:rPr>
                    <w:drawing>
                      <wp:inline distT="0" distB="0" distL="0" distR="0" wp14:anchorId="7BEC8CD0" wp14:editId="3CE3097D">
                        <wp:extent cx="1085850" cy="352425"/>
                        <wp:effectExtent l="0" t="0" r="0" b="0"/>
                        <wp:docPr id="93" name="Picture 93" descr="faceboo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p>
              </w:tc>
              <w:tc>
                <w:tcPr>
                  <w:tcW w:w="0" w:type="auto"/>
                  <w:shd w:val="clear" w:color="auto" w:fill="5C5C5C"/>
                  <w:tcMar>
                    <w:top w:w="120" w:type="dxa"/>
                    <w:left w:w="0" w:type="dxa"/>
                    <w:bottom w:w="120" w:type="dxa"/>
                    <w:right w:w="0" w:type="dxa"/>
                  </w:tcMar>
                  <w:vAlign w:val="center"/>
                  <w:hideMark/>
                </w:tcPr>
                <w:p w:rsidR="00F0412B" w:rsidRPr="00A922E8" w:rsidRDefault="00F0412B" w:rsidP="00C600AD">
                  <w:pPr>
                    <w:jc w:val="center"/>
                    <w:rPr>
                      <w:rFonts w:asciiTheme="minorHAnsi" w:hAnsiTheme="minorHAnsi" w:cstheme="minorHAnsi"/>
                      <w:color w:val="333132"/>
                    </w:rPr>
                  </w:pPr>
                  <w:r w:rsidRPr="00A922E8">
                    <w:rPr>
                      <w:rFonts w:asciiTheme="minorHAnsi" w:hAnsiTheme="minorHAnsi" w:cstheme="minorHAnsi"/>
                      <w:color w:val="333132"/>
                    </w:rPr>
                    <w:t> </w:t>
                  </w:r>
                </w:p>
              </w:tc>
              <w:tc>
                <w:tcPr>
                  <w:tcW w:w="6283" w:type="dxa"/>
                  <w:shd w:val="clear" w:color="auto" w:fill="5C5C5C"/>
                  <w:tcMar>
                    <w:top w:w="120" w:type="dxa"/>
                    <w:left w:w="0" w:type="dxa"/>
                    <w:bottom w:w="120" w:type="dxa"/>
                    <w:right w:w="525" w:type="dxa"/>
                  </w:tcMar>
                  <w:vAlign w:val="center"/>
                  <w:hideMark/>
                </w:tcPr>
                <w:p w:rsidR="00F0412B" w:rsidRPr="00A922E8" w:rsidRDefault="00F0412B" w:rsidP="00C600AD">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6CEFD90C" wp14:editId="48669CFE">
                        <wp:extent cx="1895475" cy="647700"/>
                        <wp:effectExtent l="0" t="0" r="0" b="0"/>
                        <wp:docPr id="94" name="Picture 94"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pect, Integrity, Collaboration and Innovation, the ACTPS Values and Signature Behaivou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5475" cy="647700"/>
                                </a:xfrm>
                                <a:prstGeom prst="rect">
                                  <a:avLst/>
                                </a:prstGeom>
                                <a:noFill/>
                                <a:ln>
                                  <a:noFill/>
                                </a:ln>
                              </pic:spPr>
                            </pic:pic>
                          </a:graphicData>
                        </a:graphic>
                      </wp:inline>
                    </w:drawing>
                  </w:r>
                </w:p>
              </w:tc>
            </w:tr>
          </w:tbl>
          <w:p w:rsidR="00F0412B" w:rsidRPr="00A922E8" w:rsidRDefault="00F0412B" w:rsidP="00C600AD">
            <w:pPr>
              <w:jc w:val="center"/>
              <w:rPr>
                <w:rFonts w:asciiTheme="minorHAnsi" w:eastAsia="Times New Roman" w:hAnsiTheme="minorHAnsi" w:cstheme="minorHAnsi"/>
                <w:sz w:val="20"/>
                <w:szCs w:val="20"/>
                <w:lang w:eastAsia="en-AU"/>
              </w:rPr>
            </w:pPr>
          </w:p>
        </w:tc>
      </w:tr>
      <w:tr w:rsidR="00F0412B" w:rsidTr="00C600AD">
        <w:trPr>
          <w:trHeight w:val="60"/>
          <w:tblCellSpacing w:w="0" w:type="dxa"/>
          <w:jc w:val="center"/>
        </w:trPr>
        <w:tc>
          <w:tcPr>
            <w:tcW w:w="10488" w:type="dxa"/>
            <w:shd w:val="clear" w:color="auto" w:fill="5C5C5C"/>
            <w:vAlign w:val="center"/>
          </w:tcPr>
          <w:p w:rsidR="00F0412B" w:rsidRDefault="00F0412B" w:rsidP="00C600AD">
            <w:pPr>
              <w:rPr>
                <w:color w:val="333132"/>
              </w:rPr>
            </w:pPr>
          </w:p>
        </w:tc>
      </w:tr>
    </w:tbl>
    <w:p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2B"/>
    <w:rsid w:val="001C49DD"/>
    <w:rsid w:val="001E4B11"/>
    <w:rsid w:val="00380DFB"/>
    <w:rsid w:val="005354E5"/>
    <w:rsid w:val="00694CF8"/>
    <w:rsid w:val="00A5783B"/>
    <w:rsid w:val="00F041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8C60"/>
  <w15:chartTrackingRefBased/>
  <w15:docId w15:val="{62567ED0-DA73-4DB8-B235-14CE9221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12B"/>
    <w:rPr>
      <w:color w:val="0563C1"/>
      <w:u w:val="single"/>
    </w:rPr>
  </w:style>
  <w:style w:type="paragraph" w:styleId="NormalWeb">
    <w:name w:val="Normal (Web)"/>
    <w:basedOn w:val="Normal"/>
    <w:uiPriority w:val="99"/>
    <w:semiHidden/>
    <w:unhideWhenUsed/>
    <w:rsid w:val="00F0412B"/>
    <w:pPr>
      <w:spacing w:before="100" w:beforeAutospacing="1" w:after="100" w:afterAutospacing="1"/>
    </w:pPr>
    <w:rPr>
      <w:lang w:eastAsia="en-AU"/>
    </w:rPr>
  </w:style>
  <w:style w:type="paragraph" w:styleId="NoSpacing">
    <w:name w:val="No Spacing"/>
    <w:basedOn w:val="Normal"/>
    <w:uiPriority w:val="1"/>
    <w:qFormat/>
    <w:rsid w:val="00F04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vimeo.com%2F420908202%2F6d74c558e6&amp;data=02%7C01%7C%7C6a0ce2ad436743b8e24908d8007a3957%7Cb46c190803344236b978585ee88e4199%7C0%7C0%7C637259872235435788&amp;sdata=6vfigR2Ad%2B4%2BYcjm%2Bd%2BJPBuQeBN7huVKfUILi314lgI%3D&amp;reserved=0" TargetMode="External"/><Relationship Id="rId13" Type="http://schemas.openxmlformats.org/officeDocument/2006/relationships/hyperlink" Target="https://www.education.act.gov.au/early-childhood/information-on-novel-coronavirus-covid-19-for-early-childhood" TargetMode="External"/><Relationship Id="rId1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cid:image002.jpg@01D63441.ED572C00" TargetMode="External"/><Relationship Id="rId12" Type="http://schemas.openxmlformats.org/officeDocument/2006/relationships/hyperlink" Target="https://www.health.gov.au/news/australian-health-protection-principal-committee-ahppc-statement-on-early-childhood-and-learning-centres?fbclid=IwAR0b8M6kWyF8QfHbfCfq5dpEkQvErs1XPcZ4sW6-ISqMQ-9lQvobUN0Dr_E"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mailto:CECA@ACT.gov.a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health.gov.au/news/australian-health-protection-principal-committee-ahppc-coronavirus-covid-19-statement-on-3-april-2020" TargetMode="External"/><Relationship Id="rId5" Type="http://schemas.openxmlformats.org/officeDocument/2006/relationships/image" Target="cid:image001.gif@01D63441.ED572C00" TargetMode="External"/><Relationship Id="rId15" Type="http://schemas.openxmlformats.org/officeDocument/2006/relationships/hyperlink" Target="mailto:CECA@act.gov.au" TargetMode="External"/><Relationship Id="rId10" Type="http://schemas.openxmlformats.org/officeDocument/2006/relationships/image" Target="cid:image004.jpg@01D63441.EDBE2B30"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3.jpeg"/><Relationship Id="rId14" Type="http://schemas.openxmlformats.org/officeDocument/2006/relationships/hyperlink" Target="https://www.facebook.com/CECA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Wang, Zhenxing</cp:lastModifiedBy>
  <cp:revision>1</cp:revision>
  <dcterms:created xsi:type="dcterms:W3CDTF">2020-11-20T05:26:00Z</dcterms:created>
  <dcterms:modified xsi:type="dcterms:W3CDTF">2020-11-20T05:26:00Z</dcterms:modified>
</cp:coreProperties>
</file>