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4C6A3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76BF5308">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27B53642" w14:textId="68AF94C0" w:rsidR="00937A95" w:rsidRPr="003C1867" w:rsidRDefault="004C6A33" w:rsidP="003C1867">
      <w:pPr>
        <w:ind w:left="1440"/>
        <w:rPr>
          <w:rFonts w:ascii="Arial" w:hAnsi="Arial" w:cs="Arial"/>
          <w:b/>
          <w:bCs/>
          <w:color w:val="FFFFFF" w:themeColor="background1"/>
          <w:sz w:val="70"/>
          <w:szCs w:val="70"/>
        </w:rPr>
      </w:pPr>
      <w:r>
        <w:rPr>
          <w:rFonts w:ascii="Arial" w:hAnsi="Arial" w:cs="Arial"/>
          <w:b/>
          <w:bCs/>
          <w:color w:val="FFFFFF" w:themeColor="background1"/>
          <w:sz w:val="70"/>
          <w:szCs w:val="70"/>
        </w:rPr>
        <w:t>Reportable Conduct Scheme Procedures</w:t>
      </w:r>
    </w:p>
    <w:p w14:paraId="0F3B39C9" w14:textId="47C1FD33" w:rsidR="00937A95" w:rsidRDefault="00937A95" w:rsidP="00041F2C">
      <w:pPr>
        <w:pStyle w:val="IntroParagraph"/>
        <w:spacing w:before="0" w:after="0"/>
        <w:ind w:left="1440"/>
        <w:rPr>
          <w:color w:val="FFFFFF" w:themeColor="background1"/>
        </w:rPr>
      </w:pPr>
    </w:p>
    <w:p w14:paraId="2138AC6A" w14:textId="77777777" w:rsidR="004C6A33" w:rsidRDefault="004C6A33" w:rsidP="00041F2C">
      <w:pPr>
        <w:pStyle w:val="IntroParagraph"/>
        <w:spacing w:before="0" w:after="0"/>
        <w:ind w:left="1440"/>
        <w:rPr>
          <w:color w:val="FFFFFF" w:themeColor="background1"/>
        </w:rPr>
      </w:pPr>
    </w:p>
    <w:p w14:paraId="757827D5" w14:textId="77777777" w:rsidR="004C6A33" w:rsidRDefault="004C6A33" w:rsidP="00041F2C">
      <w:pPr>
        <w:pStyle w:val="IntroParagraph"/>
        <w:spacing w:before="0" w:after="0"/>
        <w:ind w:left="1440"/>
        <w:rPr>
          <w:color w:val="FFFFFF" w:themeColor="background1"/>
        </w:rPr>
      </w:pPr>
    </w:p>
    <w:p w14:paraId="2EE55EF6" w14:textId="77777777" w:rsidR="004C6A33" w:rsidRDefault="004C6A33" w:rsidP="00041F2C">
      <w:pPr>
        <w:pStyle w:val="IntroParagraph"/>
        <w:spacing w:before="0" w:after="0"/>
        <w:ind w:left="1440"/>
        <w:rPr>
          <w:color w:val="FFFFFF" w:themeColor="background1"/>
        </w:rPr>
      </w:pPr>
    </w:p>
    <w:p w14:paraId="284C661C" w14:textId="77777777" w:rsidR="004C6A33" w:rsidRPr="00222C35" w:rsidRDefault="004C6A33"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09DE6269" w14:textId="77777777" w:rsidR="00643D74" w:rsidRPr="00297E07"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6CFDA9AD" w14:textId="77777777" w:rsidR="00263283" w:rsidRPr="00FC71E8" w:rsidRDefault="00263283" w:rsidP="00FC71E8">
      <w:pPr>
        <w:pStyle w:val="Heading2"/>
        <w:rPr>
          <w:b w:val="0"/>
          <w:bCs/>
        </w:rPr>
      </w:pPr>
      <w:bookmarkStart w:id="0" w:name="_Toc181350649"/>
      <w:r w:rsidRPr="00FC71E8">
        <w:rPr>
          <w:b w:val="0"/>
          <w:bCs/>
        </w:rPr>
        <w:lastRenderedPageBreak/>
        <w:t>Document Information</w:t>
      </w:r>
      <w:bookmarkEnd w:id="0"/>
    </w:p>
    <w:p w14:paraId="5A634CA7" w14:textId="3DEC4168" w:rsidR="00263283" w:rsidRDefault="00263283" w:rsidP="00263283">
      <w:pPr>
        <w:pStyle w:val="Boxed1Text"/>
        <w:spacing w:before="240" w:after="120"/>
        <w:rPr>
          <w:lang w:eastAsia="en-AU"/>
        </w:rPr>
      </w:pPr>
      <w:bookmarkStart w:id="1" w:name="_Hlk180504164"/>
      <w:r w:rsidRPr="009A705A">
        <w:rPr>
          <w:b/>
          <w:bCs/>
          <w:lang w:eastAsia="en-AU"/>
        </w:rPr>
        <w:t>Procedure Identifier:</w:t>
      </w:r>
      <w:r w:rsidR="004C6A33">
        <w:rPr>
          <w:lang w:eastAsia="en-AU"/>
        </w:rPr>
        <w:t xml:space="preserve"> 00039/01</w:t>
      </w:r>
    </w:p>
    <w:p w14:paraId="2E8097C8" w14:textId="508C2897" w:rsidR="00263283" w:rsidRDefault="00B6480D" w:rsidP="00263283">
      <w:pPr>
        <w:pStyle w:val="Boxed1Text"/>
        <w:spacing w:before="240" w:after="120"/>
        <w:rPr>
          <w:lang w:eastAsia="en-AU"/>
        </w:rPr>
      </w:pPr>
      <w:r>
        <w:rPr>
          <w:b/>
          <w:bCs/>
          <w:lang w:eastAsia="en-AU"/>
        </w:rPr>
        <w:t xml:space="preserve">Published: </w:t>
      </w:r>
      <w:r w:rsidRPr="00B6480D">
        <w:rPr>
          <w:lang w:eastAsia="en-AU"/>
        </w:rPr>
        <w:t>February 2025</w:t>
      </w:r>
    </w:p>
    <w:p w14:paraId="164BA9D4" w14:textId="6E86D725" w:rsidR="00263283" w:rsidRDefault="00263283" w:rsidP="00263283">
      <w:pPr>
        <w:pStyle w:val="Boxed1Text"/>
        <w:spacing w:before="240" w:after="120"/>
        <w:rPr>
          <w:lang w:eastAsia="en-AU"/>
        </w:rPr>
      </w:pPr>
      <w:r>
        <w:rPr>
          <w:b/>
          <w:bCs/>
          <w:lang w:eastAsia="en-AU"/>
        </w:rPr>
        <w:t xml:space="preserve">Endorsed by: </w:t>
      </w:r>
      <w:r w:rsidR="004C6A33">
        <w:rPr>
          <w:lang w:eastAsia="en-AU"/>
        </w:rPr>
        <w:t>Executive Governance Committee</w:t>
      </w:r>
    </w:p>
    <w:p w14:paraId="6FBED925" w14:textId="2E3307CF" w:rsidR="00263283" w:rsidRDefault="00263283" w:rsidP="00263283">
      <w:pPr>
        <w:pStyle w:val="Boxed1Text"/>
        <w:spacing w:before="240" w:after="120"/>
        <w:rPr>
          <w:lang w:eastAsia="en-AU"/>
        </w:rPr>
      </w:pPr>
      <w:r w:rsidRPr="009A705A">
        <w:rPr>
          <w:b/>
          <w:bCs/>
          <w:lang w:eastAsia="en-AU"/>
        </w:rPr>
        <w:t xml:space="preserve">Review </w:t>
      </w:r>
      <w:r>
        <w:rPr>
          <w:b/>
          <w:bCs/>
          <w:lang w:eastAsia="en-AU"/>
        </w:rPr>
        <w:t>d</w:t>
      </w:r>
      <w:r w:rsidRPr="009A705A">
        <w:rPr>
          <w:b/>
          <w:bCs/>
          <w:lang w:eastAsia="en-AU"/>
        </w:rPr>
        <w:t>ate:</w:t>
      </w:r>
      <w:r>
        <w:rPr>
          <w:lang w:eastAsia="en-AU"/>
        </w:rPr>
        <w:t xml:space="preserve"> </w:t>
      </w:r>
      <w:r w:rsidR="009C1DA6">
        <w:rPr>
          <w:color w:val="auto"/>
          <w:lang w:eastAsia="en-AU"/>
        </w:rPr>
        <w:t>6 March</w:t>
      </w:r>
      <w:r w:rsidR="00303995" w:rsidRPr="00303995">
        <w:rPr>
          <w:color w:val="auto"/>
          <w:lang w:eastAsia="en-AU"/>
        </w:rPr>
        <w:t xml:space="preserve"> 20</w:t>
      </w:r>
      <w:r w:rsidR="009C1DA6">
        <w:rPr>
          <w:color w:val="auto"/>
          <w:lang w:eastAsia="en-AU"/>
        </w:rPr>
        <w:t>30</w:t>
      </w:r>
    </w:p>
    <w:p w14:paraId="079D43F3" w14:textId="77777777" w:rsidR="00263283" w:rsidRPr="008F5308" w:rsidRDefault="00263283" w:rsidP="00263283">
      <w:pPr>
        <w:pStyle w:val="Boxed1Text"/>
        <w:spacing w:before="240" w:after="120"/>
      </w:pPr>
      <w:bookmarkStart w:id="2" w:name="_Hlk180504227"/>
      <w:bookmarkEnd w:id="1"/>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Cs w:val="20"/>
        </w:rPr>
        <w:id w:val="1725109492"/>
        <w:docPartObj>
          <w:docPartGallery w:val="Table of Contents"/>
          <w:docPartUnique/>
        </w:docPartObj>
      </w:sdtPr>
      <w:sdtEndPr>
        <w:rPr>
          <w:noProof/>
        </w:rPr>
      </w:sdtEndPr>
      <w:sdtContent>
        <w:p w14:paraId="4E6A092B" w14:textId="3C7B4FF9" w:rsidR="007E0EC2" w:rsidRPr="004C6A33" w:rsidRDefault="00AA2EBA" w:rsidP="00AA2EBA">
          <w:pPr>
            <w:pStyle w:val="TableCaption"/>
            <w:rPr>
              <w:rStyle w:val="Heading2Char"/>
              <w:rFonts w:ascii="Calibri" w:hAnsi="Calibri"/>
              <w:bCs w:val="0"/>
              <w:snapToGrid/>
              <w:color w:val="auto"/>
              <w:sz w:val="22"/>
            </w:rPr>
          </w:pPr>
          <w:r w:rsidRPr="00FC71E8">
            <w:rPr>
              <w:rStyle w:val="Heading2Char"/>
              <w:rFonts w:eastAsiaTheme="majorEastAsia"/>
            </w:rPr>
            <w:t>C</w:t>
          </w:r>
          <w:r w:rsidR="00FC71E8">
            <w:rPr>
              <w:rStyle w:val="Heading2Char"/>
              <w:rFonts w:eastAsiaTheme="majorEastAsia"/>
            </w:rPr>
            <w:t>ontents</w:t>
          </w:r>
        </w:p>
        <w:p w14:paraId="4BBB140B" w14:textId="2ED72795" w:rsidR="00606F70" w:rsidRDefault="007E0EC2">
          <w:pPr>
            <w:pStyle w:val="TOC2"/>
            <w:tabs>
              <w:tab w:val="right" w:leader="dot" w:pos="9629"/>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81350649" w:history="1">
            <w:r w:rsidR="00606F70" w:rsidRPr="006B5541">
              <w:rPr>
                <w:rStyle w:val="Hyperlink"/>
                <w:bCs/>
                <w:noProof/>
              </w:rPr>
              <w:t>Document Information</w:t>
            </w:r>
            <w:r w:rsidR="00606F70">
              <w:rPr>
                <w:noProof/>
                <w:webHidden/>
              </w:rPr>
              <w:tab/>
            </w:r>
            <w:r w:rsidR="00606F70">
              <w:rPr>
                <w:noProof/>
                <w:webHidden/>
              </w:rPr>
              <w:fldChar w:fldCharType="begin"/>
            </w:r>
            <w:r w:rsidR="00606F70">
              <w:rPr>
                <w:noProof/>
                <w:webHidden/>
              </w:rPr>
              <w:instrText xml:space="preserve"> PAGEREF _Toc181350649 \h </w:instrText>
            </w:r>
            <w:r w:rsidR="00606F70">
              <w:rPr>
                <w:noProof/>
                <w:webHidden/>
              </w:rPr>
            </w:r>
            <w:r w:rsidR="00606F70">
              <w:rPr>
                <w:noProof/>
                <w:webHidden/>
              </w:rPr>
              <w:fldChar w:fldCharType="separate"/>
            </w:r>
            <w:r w:rsidR="00845245">
              <w:rPr>
                <w:noProof/>
                <w:webHidden/>
              </w:rPr>
              <w:t>2</w:t>
            </w:r>
            <w:r w:rsidR="00606F70">
              <w:rPr>
                <w:noProof/>
                <w:webHidden/>
              </w:rPr>
              <w:fldChar w:fldCharType="end"/>
            </w:r>
          </w:hyperlink>
        </w:p>
        <w:p w14:paraId="62FCBA51" w14:textId="331A7AE1"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0" w:history="1">
            <w:r w:rsidRPr="006B5541">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Overview</w:t>
            </w:r>
            <w:r>
              <w:rPr>
                <w:noProof/>
                <w:webHidden/>
              </w:rPr>
              <w:tab/>
            </w:r>
            <w:r>
              <w:rPr>
                <w:noProof/>
                <w:webHidden/>
              </w:rPr>
              <w:fldChar w:fldCharType="begin"/>
            </w:r>
            <w:r>
              <w:rPr>
                <w:noProof/>
                <w:webHidden/>
              </w:rPr>
              <w:instrText xml:space="preserve"> PAGEREF _Toc181350650 \h </w:instrText>
            </w:r>
            <w:r>
              <w:rPr>
                <w:noProof/>
                <w:webHidden/>
              </w:rPr>
            </w:r>
            <w:r>
              <w:rPr>
                <w:noProof/>
                <w:webHidden/>
              </w:rPr>
              <w:fldChar w:fldCharType="separate"/>
            </w:r>
            <w:r w:rsidR="00845245">
              <w:rPr>
                <w:noProof/>
                <w:webHidden/>
              </w:rPr>
              <w:t>3</w:t>
            </w:r>
            <w:r>
              <w:rPr>
                <w:noProof/>
                <w:webHidden/>
              </w:rPr>
              <w:fldChar w:fldCharType="end"/>
            </w:r>
          </w:hyperlink>
        </w:p>
        <w:p w14:paraId="1484AAD7" w14:textId="34F61CD4"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1" w:history="1">
            <w:r w:rsidRPr="006B5541">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Rationale</w:t>
            </w:r>
            <w:r>
              <w:rPr>
                <w:noProof/>
                <w:webHidden/>
              </w:rPr>
              <w:tab/>
            </w:r>
            <w:r>
              <w:rPr>
                <w:noProof/>
                <w:webHidden/>
              </w:rPr>
              <w:fldChar w:fldCharType="begin"/>
            </w:r>
            <w:r>
              <w:rPr>
                <w:noProof/>
                <w:webHidden/>
              </w:rPr>
              <w:instrText xml:space="preserve"> PAGEREF _Toc181350651 \h </w:instrText>
            </w:r>
            <w:r>
              <w:rPr>
                <w:noProof/>
                <w:webHidden/>
              </w:rPr>
            </w:r>
            <w:r>
              <w:rPr>
                <w:noProof/>
                <w:webHidden/>
              </w:rPr>
              <w:fldChar w:fldCharType="separate"/>
            </w:r>
            <w:r w:rsidR="00845245">
              <w:rPr>
                <w:noProof/>
                <w:webHidden/>
              </w:rPr>
              <w:t>3</w:t>
            </w:r>
            <w:r>
              <w:rPr>
                <w:noProof/>
                <w:webHidden/>
              </w:rPr>
              <w:fldChar w:fldCharType="end"/>
            </w:r>
          </w:hyperlink>
        </w:p>
        <w:p w14:paraId="409AC5C9" w14:textId="77936700"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2" w:history="1">
            <w:r w:rsidRPr="006B5541">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Roles and Responsibilities</w:t>
            </w:r>
            <w:r>
              <w:rPr>
                <w:noProof/>
                <w:webHidden/>
              </w:rPr>
              <w:tab/>
            </w:r>
            <w:r>
              <w:rPr>
                <w:noProof/>
                <w:webHidden/>
              </w:rPr>
              <w:fldChar w:fldCharType="begin"/>
            </w:r>
            <w:r>
              <w:rPr>
                <w:noProof/>
                <w:webHidden/>
              </w:rPr>
              <w:instrText xml:space="preserve"> PAGEREF _Toc181350652 \h </w:instrText>
            </w:r>
            <w:r>
              <w:rPr>
                <w:noProof/>
                <w:webHidden/>
              </w:rPr>
            </w:r>
            <w:r>
              <w:rPr>
                <w:noProof/>
                <w:webHidden/>
              </w:rPr>
              <w:fldChar w:fldCharType="separate"/>
            </w:r>
            <w:r w:rsidR="00845245">
              <w:rPr>
                <w:noProof/>
                <w:webHidden/>
              </w:rPr>
              <w:t>4</w:t>
            </w:r>
            <w:r>
              <w:rPr>
                <w:noProof/>
                <w:webHidden/>
              </w:rPr>
              <w:fldChar w:fldCharType="end"/>
            </w:r>
          </w:hyperlink>
        </w:p>
        <w:p w14:paraId="0CA27508" w14:textId="0C47815D"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3" w:history="1">
            <w:r w:rsidRPr="006B5541">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Procedures</w:t>
            </w:r>
            <w:r>
              <w:rPr>
                <w:noProof/>
                <w:webHidden/>
              </w:rPr>
              <w:tab/>
            </w:r>
            <w:r>
              <w:rPr>
                <w:noProof/>
                <w:webHidden/>
              </w:rPr>
              <w:fldChar w:fldCharType="begin"/>
            </w:r>
            <w:r>
              <w:rPr>
                <w:noProof/>
                <w:webHidden/>
              </w:rPr>
              <w:instrText xml:space="preserve"> PAGEREF _Toc181350653 \h </w:instrText>
            </w:r>
            <w:r>
              <w:rPr>
                <w:noProof/>
                <w:webHidden/>
              </w:rPr>
            </w:r>
            <w:r>
              <w:rPr>
                <w:noProof/>
                <w:webHidden/>
              </w:rPr>
              <w:fldChar w:fldCharType="separate"/>
            </w:r>
            <w:r w:rsidR="00845245">
              <w:rPr>
                <w:noProof/>
                <w:webHidden/>
              </w:rPr>
              <w:t>5</w:t>
            </w:r>
            <w:r>
              <w:rPr>
                <w:noProof/>
                <w:webHidden/>
              </w:rPr>
              <w:fldChar w:fldCharType="end"/>
            </w:r>
          </w:hyperlink>
        </w:p>
        <w:p w14:paraId="4F70728C" w14:textId="5E08167E"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7" w:history="1">
            <w:r w:rsidRPr="006B5541">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Contact</w:t>
            </w:r>
            <w:r>
              <w:rPr>
                <w:noProof/>
                <w:webHidden/>
              </w:rPr>
              <w:tab/>
            </w:r>
            <w:r>
              <w:rPr>
                <w:noProof/>
                <w:webHidden/>
              </w:rPr>
              <w:fldChar w:fldCharType="begin"/>
            </w:r>
            <w:r>
              <w:rPr>
                <w:noProof/>
                <w:webHidden/>
              </w:rPr>
              <w:instrText xml:space="preserve"> PAGEREF _Toc181350657 \h </w:instrText>
            </w:r>
            <w:r>
              <w:rPr>
                <w:noProof/>
                <w:webHidden/>
              </w:rPr>
            </w:r>
            <w:r>
              <w:rPr>
                <w:noProof/>
                <w:webHidden/>
              </w:rPr>
              <w:fldChar w:fldCharType="separate"/>
            </w:r>
            <w:r w:rsidR="00845245">
              <w:rPr>
                <w:noProof/>
                <w:webHidden/>
              </w:rPr>
              <w:t>10</w:t>
            </w:r>
            <w:r>
              <w:rPr>
                <w:noProof/>
                <w:webHidden/>
              </w:rPr>
              <w:fldChar w:fldCharType="end"/>
            </w:r>
          </w:hyperlink>
        </w:p>
        <w:p w14:paraId="27E73901" w14:textId="13A20D71"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59" w:history="1">
            <w:r w:rsidRPr="006B5541">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Feedback</w:t>
            </w:r>
            <w:r>
              <w:rPr>
                <w:noProof/>
                <w:webHidden/>
              </w:rPr>
              <w:tab/>
            </w:r>
            <w:r>
              <w:rPr>
                <w:noProof/>
                <w:webHidden/>
              </w:rPr>
              <w:fldChar w:fldCharType="begin"/>
            </w:r>
            <w:r>
              <w:rPr>
                <w:noProof/>
                <w:webHidden/>
              </w:rPr>
              <w:instrText xml:space="preserve"> PAGEREF _Toc181350659 \h </w:instrText>
            </w:r>
            <w:r>
              <w:rPr>
                <w:noProof/>
                <w:webHidden/>
              </w:rPr>
            </w:r>
            <w:r>
              <w:rPr>
                <w:noProof/>
                <w:webHidden/>
              </w:rPr>
              <w:fldChar w:fldCharType="separate"/>
            </w:r>
            <w:r w:rsidR="00845245">
              <w:rPr>
                <w:noProof/>
                <w:webHidden/>
              </w:rPr>
              <w:t>10</w:t>
            </w:r>
            <w:r>
              <w:rPr>
                <w:noProof/>
                <w:webHidden/>
              </w:rPr>
              <w:fldChar w:fldCharType="end"/>
            </w:r>
          </w:hyperlink>
        </w:p>
        <w:p w14:paraId="6C82B487" w14:textId="54330071" w:rsidR="00606F70" w:rsidRDefault="00606F70">
          <w:pPr>
            <w:pStyle w:val="TOC3"/>
            <w:tabs>
              <w:tab w:val="left" w:pos="960"/>
              <w:tab w:val="right" w:leader="dot" w:pos="9629"/>
            </w:tabs>
            <w:rPr>
              <w:rFonts w:asciiTheme="minorHAnsi" w:eastAsiaTheme="minorEastAsia" w:hAnsiTheme="minorHAnsi" w:cstheme="minorBidi"/>
              <w:noProof/>
              <w:kern w:val="2"/>
              <w:sz w:val="24"/>
              <w:szCs w:val="24"/>
              <w:lang w:eastAsia="en-AU"/>
              <w14:ligatures w14:val="standardContextual"/>
            </w:rPr>
          </w:pPr>
          <w:hyperlink w:anchor="_Toc181350662" w:history="1">
            <w:r w:rsidRPr="006B5541">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6B5541">
              <w:rPr>
                <w:rStyle w:val="Hyperlink"/>
                <w:noProof/>
              </w:rPr>
              <w:t>References</w:t>
            </w:r>
            <w:r>
              <w:rPr>
                <w:noProof/>
                <w:webHidden/>
              </w:rPr>
              <w:tab/>
            </w:r>
            <w:r>
              <w:rPr>
                <w:noProof/>
                <w:webHidden/>
              </w:rPr>
              <w:fldChar w:fldCharType="begin"/>
            </w:r>
            <w:r>
              <w:rPr>
                <w:noProof/>
                <w:webHidden/>
              </w:rPr>
              <w:instrText xml:space="preserve"> PAGEREF _Toc181350662 \h </w:instrText>
            </w:r>
            <w:r>
              <w:rPr>
                <w:noProof/>
                <w:webHidden/>
              </w:rPr>
            </w:r>
            <w:r>
              <w:rPr>
                <w:noProof/>
                <w:webHidden/>
              </w:rPr>
              <w:fldChar w:fldCharType="separate"/>
            </w:r>
            <w:r w:rsidR="00845245">
              <w:rPr>
                <w:noProof/>
                <w:webHidden/>
              </w:rPr>
              <w:t>10</w:t>
            </w:r>
            <w:r>
              <w:rPr>
                <w:noProof/>
                <w:webHidden/>
              </w:rPr>
              <w:fldChar w:fldCharType="end"/>
            </w:r>
          </w:hyperlink>
        </w:p>
        <w:p w14:paraId="54EE9C5F" w14:textId="6D547EB9"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3" w:name="_Toc169530489"/>
    </w:p>
    <w:p w14:paraId="66FE6426" w14:textId="77777777" w:rsidR="00FC71E8" w:rsidRDefault="00FC71E8" w:rsidP="008F5308">
      <w:pPr>
        <w:rPr>
          <w:rFonts w:eastAsiaTheme="minorEastAsia" w:cstheme="minorBidi"/>
          <w:sz w:val="20"/>
          <w:highlight w:val="lightGray"/>
        </w:rPr>
      </w:pPr>
    </w:p>
    <w:p w14:paraId="4ECF1BE3" w14:textId="77777777" w:rsidR="00FC71E8" w:rsidRDefault="00FC71E8" w:rsidP="008F5308">
      <w:pPr>
        <w:rPr>
          <w:rFonts w:eastAsiaTheme="minorEastAsia" w:cstheme="minorBidi"/>
          <w:sz w:val="20"/>
          <w:highlight w:val="lightGray"/>
        </w:rPr>
      </w:pPr>
    </w:p>
    <w:p w14:paraId="517801E0" w14:textId="77777777" w:rsidR="00DB66EC" w:rsidRPr="004C6A33" w:rsidRDefault="00DB66EC" w:rsidP="004C6A33">
      <w:pPr>
        <w:pStyle w:val="Tabletext"/>
        <w:spacing w:before="200" w:after="200"/>
        <w:rPr>
          <w:rFonts w:eastAsiaTheme="minorEastAsia" w:cstheme="minorBidi"/>
          <w:highlight w:val="lightGray"/>
          <w:lang w:eastAsia="en-US"/>
        </w:rPr>
      </w:pPr>
    </w:p>
    <w:p w14:paraId="06D442ED" w14:textId="44F8AAA1"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Australian Capital Territ</w:t>
      </w:r>
      <w:r w:rsidRPr="004C6A33">
        <w:rPr>
          <w:rFonts w:eastAsiaTheme="minorEastAsia" w:cstheme="minorBidi"/>
          <w:color w:val="000000" w:themeColor="text1"/>
          <w:sz w:val="20"/>
          <w:highlight w:val="lightGray"/>
        </w:rPr>
        <w:t>ory 202</w:t>
      </w:r>
      <w:r w:rsidR="008B10B6">
        <w:rPr>
          <w:rFonts w:eastAsiaTheme="minorEastAsia" w:cstheme="minorBidi"/>
          <w:color w:val="000000" w:themeColor="text1"/>
          <w:sz w:val="20"/>
          <w:highlight w:val="lightGray"/>
        </w:rPr>
        <w:t>5</w:t>
      </w:r>
    </w:p>
    <w:p w14:paraId="1818437C" w14:textId="0E41C4D8" w:rsidR="008F5308" w:rsidRPr="00AB38A3" w:rsidRDefault="008F5308" w:rsidP="008F5308">
      <w:pPr>
        <w:rPr>
          <w:rFonts w:eastAsiaTheme="minorEastAsia" w:cstheme="minorBidi"/>
          <w:sz w:val="20"/>
          <w:highlight w:val="lightGray"/>
        </w:rPr>
      </w:pPr>
      <w:bookmarkStart w:id="4" w:name="_Hlk180504182"/>
      <w:r w:rsidRPr="00AB38A3">
        <w:rPr>
          <w:rFonts w:eastAsiaTheme="minorEastAsia" w:cstheme="minorBidi"/>
          <w:sz w:val="20"/>
          <w:highlight w:val="lightGray"/>
        </w:rPr>
        <w:t>This w</w:t>
      </w:r>
      <w:r w:rsidRPr="004C6A33">
        <w:rPr>
          <w:rFonts w:eastAsiaTheme="minorEastAsia" w:cstheme="minorBidi"/>
          <w:color w:val="000000" w:themeColor="text1"/>
          <w:sz w:val="20"/>
          <w:highlight w:val="lightGray"/>
        </w:rPr>
        <w:t>ork</w:t>
      </w:r>
      <w:r w:rsidR="00BF6300" w:rsidRPr="004C6A33">
        <w:rPr>
          <w:rFonts w:eastAsiaTheme="minorEastAsia" w:cstheme="minorBidi"/>
          <w:color w:val="000000" w:themeColor="text1"/>
          <w:sz w:val="20"/>
          <w:highlight w:val="lightGray"/>
        </w:rPr>
        <w:t>,</w:t>
      </w:r>
      <w:r w:rsidRPr="004C6A33">
        <w:rPr>
          <w:rFonts w:eastAsiaTheme="minorEastAsia" w:cstheme="minorBidi"/>
          <w:color w:val="000000" w:themeColor="text1"/>
          <w:sz w:val="20"/>
          <w:highlight w:val="lightGray"/>
        </w:rPr>
        <w:t xml:space="preserve"> </w:t>
      </w:r>
      <w:r w:rsidR="004C6A33" w:rsidRPr="004C6A33">
        <w:rPr>
          <w:rFonts w:eastAsiaTheme="minorEastAsia" w:cstheme="minorBidi"/>
          <w:color w:val="000000" w:themeColor="text1"/>
          <w:sz w:val="20"/>
          <w:highlight w:val="lightGray"/>
        </w:rPr>
        <w:t>Reportable Conduct Scheme Procedures</w:t>
      </w:r>
      <w:r w:rsidR="00BF6300" w:rsidRPr="004C6A33">
        <w:rPr>
          <w:rFonts w:eastAsiaTheme="minorEastAsia" w:cstheme="minorBidi"/>
          <w:color w:val="000000" w:themeColor="text1"/>
          <w:sz w:val="20"/>
          <w:highlight w:val="lightGray"/>
        </w:rPr>
        <w:t xml:space="preserve">, is </w:t>
      </w:r>
      <w:r w:rsidRPr="004C6A33">
        <w:rPr>
          <w:rFonts w:eastAsiaTheme="minorEastAsia" w:cstheme="minorBidi"/>
          <w:color w:val="000000" w:themeColor="text1"/>
          <w:sz w:val="20"/>
          <w:highlight w:val="lightGray"/>
        </w:rPr>
        <w:t xml:space="preserve">licensed under a </w:t>
      </w:r>
      <w:hyperlink r:id="rId19" w:history="1">
        <w:r w:rsidRPr="004C6A33">
          <w:rPr>
            <w:rFonts w:eastAsiaTheme="minorEastAsia" w:cstheme="minorBidi"/>
            <w:color w:val="000000" w:themeColor="text1"/>
            <w:sz w:val="20"/>
            <w:highlight w:val="lightGray"/>
          </w:rPr>
          <w:t>Creative Commons Attribution 4.0 licence</w:t>
        </w:r>
      </w:hyperlink>
      <w:r w:rsidRPr="004C6A33">
        <w:rPr>
          <w:rFonts w:eastAsiaTheme="minorEastAsia" w:cstheme="minorBidi"/>
          <w:color w:val="000000" w:themeColor="text1"/>
          <w:sz w:val="20"/>
          <w:highlight w:val="lightGray"/>
        </w:rPr>
        <w:t>. You are free to re</w:t>
      </w:r>
      <w:r w:rsidRPr="004C6A33">
        <w:rPr>
          <w:rFonts w:eastAsiaTheme="minorEastAsia" w:cstheme="minorBidi"/>
          <w:color w:val="000000" w:themeColor="text1"/>
          <w:sz w:val="20"/>
          <w:highlight w:val="lightGray"/>
        </w:rPr>
        <w:noBreakHyphen/>
        <w:t>use the work under that licence, on the co</w:t>
      </w:r>
      <w:r w:rsidRPr="00AB38A3">
        <w:rPr>
          <w:rFonts w:eastAsiaTheme="minorEastAsia" w:cstheme="minorBidi"/>
          <w:sz w:val="20"/>
          <w:highlight w:val="lightGray"/>
        </w:rPr>
        <w:t>ndition that you credit the Australian Capital Territory Government as author, indicate if changes were made and comply with the other licence terms.</w:t>
      </w:r>
    </w:p>
    <w:p w14:paraId="75E1A72A" w14:textId="77777777" w:rsidR="008F5308"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66CB319B" w14:textId="77777777" w:rsidR="004C6A33" w:rsidRDefault="004C6A33" w:rsidP="008F5308">
      <w:pPr>
        <w:rPr>
          <w:rFonts w:eastAsiaTheme="minorEastAsia" w:cstheme="minorBidi"/>
          <w:sz w:val="20"/>
          <w:highlight w:val="lightGray"/>
        </w:rPr>
      </w:pPr>
    </w:p>
    <w:bookmarkEnd w:id="4"/>
    <w:p w14:paraId="0D4BAF07" w14:textId="44371D86" w:rsidR="008F5308" w:rsidRPr="00303995" w:rsidRDefault="008F5308" w:rsidP="00303995">
      <w:pPr>
        <w:pStyle w:val="Header"/>
        <w:tabs>
          <w:tab w:val="clear" w:pos="4153"/>
          <w:tab w:val="clear" w:pos="8306"/>
        </w:tabs>
        <w:rPr>
          <w:szCs w:val="24"/>
        </w:rPr>
      </w:pPr>
      <w:r w:rsidRPr="00303995">
        <w:rPr>
          <w:szCs w:val="24"/>
        </w:rPr>
        <w:lastRenderedPageBreak/>
        <w:t xml:space="preserve">This procedure must be read in conjunction with </w:t>
      </w:r>
      <w:r w:rsidR="00950F0B" w:rsidRPr="00303995">
        <w:rPr>
          <w:szCs w:val="24"/>
        </w:rPr>
        <w:t>Reportable Conduct Scheme Policy</w:t>
      </w:r>
    </w:p>
    <w:p w14:paraId="1E9F087E" w14:textId="0376E591" w:rsidR="000C438C" w:rsidRDefault="000C438C" w:rsidP="00D53454">
      <w:pPr>
        <w:pStyle w:val="Heading3"/>
      </w:pPr>
      <w:bookmarkStart w:id="5" w:name="_Toc181350650"/>
      <w:r>
        <w:t>Overview</w:t>
      </w:r>
      <w:bookmarkEnd w:id="5"/>
    </w:p>
    <w:bookmarkEnd w:id="3"/>
    <w:p w14:paraId="0FECD2BC" w14:textId="77777777" w:rsidR="00303995" w:rsidRPr="007B0AF3" w:rsidRDefault="00303995" w:rsidP="00303995">
      <w:pPr>
        <w:pStyle w:val="Policy-BodyText"/>
        <w:tabs>
          <w:tab w:val="clear" w:pos="567"/>
          <w:tab w:val="num" w:pos="7371"/>
        </w:tabs>
        <w:spacing w:after="80" w:line="240" w:lineRule="auto"/>
      </w:pPr>
      <w:r>
        <w:t xml:space="preserve">These procedures will enable all Directorate employees and volunteers to understand and meet their responsibilities under the </w:t>
      </w:r>
      <w:hyperlink r:id="rId20" w:history="1">
        <w:hyperlink r:id="rId21" w:history="1">
          <w:r w:rsidRPr="37C1CAEB">
            <w:rPr>
              <w:rStyle w:val="Hyperlink"/>
              <w:rFonts w:cs="Calibri"/>
            </w:rPr>
            <w:t>ACT Reportable Conduct Scheme</w:t>
          </w:r>
        </w:hyperlink>
      </w:hyperlink>
      <w:r>
        <w:t xml:space="preserve"> (the Scheme).</w:t>
      </w:r>
    </w:p>
    <w:p w14:paraId="3C80AD42" w14:textId="0DA08E6B" w:rsidR="009266DD" w:rsidRPr="00A72DE0" w:rsidRDefault="00645587" w:rsidP="00063F15">
      <w:pPr>
        <w:pStyle w:val="Heading3"/>
      </w:pPr>
      <w:bookmarkStart w:id="6" w:name="_Toc181350651"/>
      <w:r w:rsidRPr="00A72DE0">
        <w:t>Rationale</w:t>
      </w:r>
      <w:bookmarkEnd w:id="6"/>
    </w:p>
    <w:p w14:paraId="605C2A12" w14:textId="77777777" w:rsidR="00303995" w:rsidRPr="00296C77" w:rsidRDefault="00303995" w:rsidP="00303995">
      <w:pPr>
        <w:pStyle w:val="NumberedBodyText"/>
        <w:rPr>
          <w:rFonts w:asciiTheme="minorHAnsi" w:hAnsiTheme="minorHAnsi" w:cstheme="minorHAnsi"/>
          <w:color w:val="000000" w:themeColor="text1"/>
          <w:sz w:val="24"/>
          <w:szCs w:val="24"/>
        </w:rPr>
      </w:pPr>
      <w:r w:rsidRPr="00303995">
        <w:rPr>
          <w:rFonts w:asciiTheme="minorHAnsi" w:hAnsiTheme="minorHAnsi" w:cstheme="minorHAnsi"/>
          <w:sz w:val="24"/>
          <w:szCs w:val="24"/>
        </w:rPr>
        <w:t xml:space="preserve">These procedures, in conjunction with the </w:t>
      </w:r>
      <w:r w:rsidRPr="00303995">
        <w:rPr>
          <w:rFonts w:asciiTheme="minorHAnsi" w:hAnsiTheme="minorHAnsi" w:cstheme="minorHAnsi"/>
          <w:i/>
          <w:iCs/>
          <w:sz w:val="24"/>
          <w:szCs w:val="24"/>
        </w:rPr>
        <w:t>EDU Reportable Conduct Scheme Policy</w:t>
      </w:r>
      <w:r w:rsidRPr="00303995">
        <w:rPr>
          <w:rFonts w:asciiTheme="minorHAnsi" w:hAnsiTheme="minorHAnsi" w:cstheme="minorHAnsi"/>
          <w:sz w:val="24"/>
          <w:szCs w:val="24"/>
        </w:rPr>
        <w:t xml:space="preserve">, support the intent of the Scheme as defined in Section 17E of the </w:t>
      </w:r>
      <w:hyperlink r:id="rId22" w:history="1">
        <w:r w:rsidRPr="00303995">
          <w:rPr>
            <w:rStyle w:val="Hyperlink"/>
            <w:rFonts w:asciiTheme="minorHAnsi" w:hAnsiTheme="minorHAnsi" w:cstheme="minorHAnsi"/>
            <w:i/>
            <w:sz w:val="24"/>
            <w:szCs w:val="24"/>
          </w:rPr>
          <w:t>Ombudsman Act 1989</w:t>
        </w:r>
      </w:hyperlink>
      <w:r w:rsidRPr="00303995">
        <w:rPr>
          <w:rFonts w:asciiTheme="minorHAnsi" w:hAnsiTheme="minorHAnsi" w:cstheme="minorHAnsi"/>
          <w:sz w:val="24"/>
          <w:szCs w:val="24"/>
        </w:rPr>
        <w:t>.</w:t>
      </w:r>
    </w:p>
    <w:p w14:paraId="797CA9FB" w14:textId="77777777" w:rsidR="00296C77" w:rsidRPr="00303995" w:rsidRDefault="00296C77" w:rsidP="00296C77">
      <w:pPr>
        <w:pStyle w:val="NumberedBodyText"/>
        <w:numPr>
          <w:ilvl w:val="0"/>
          <w:numId w:val="0"/>
        </w:numPr>
        <w:ind w:left="851"/>
        <w:rPr>
          <w:rFonts w:asciiTheme="minorHAnsi" w:hAnsiTheme="minorHAnsi" w:cstheme="minorHAnsi"/>
          <w:color w:val="000000" w:themeColor="text1"/>
          <w:sz w:val="24"/>
          <w:szCs w:val="24"/>
        </w:rPr>
      </w:pPr>
    </w:p>
    <w:p w14:paraId="4B4C49DA" w14:textId="77777777" w:rsidR="00303995" w:rsidRDefault="00303995" w:rsidP="00303995">
      <w:pPr>
        <w:pStyle w:val="NumberedBodyText"/>
        <w:rPr>
          <w:rStyle w:val="Hyperlink"/>
          <w:rFonts w:asciiTheme="minorHAnsi" w:hAnsiTheme="minorHAnsi" w:cstheme="minorHAnsi"/>
          <w:color w:val="000000" w:themeColor="text1"/>
          <w:sz w:val="24"/>
          <w:szCs w:val="24"/>
          <w:u w:val="none"/>
        </w:rPr>
      </w:pPr>
      <w:r w:rsidRPr="00303995">
        <w:rPr>
          <w:rStyle w:val="Hyperlink"/>
          <w:rFonts w:asciiTheme="minorHAnsi" w:hAnsiTheme="minorHAnsi" w:cstheme="minorHAnsi"/>
          <w:color w:val="000000" w:themeColor="text1"/>
          <w:sz w:val="24"/>
          <w:szCs w:val="24"/>
          <w:u w:val="none"/>
        </w:rPr>
        <w:t xml:space="preserve">The Scheme will, through the provisions of oversight, build on the capacity of organisations in the ACT to respond appropriately and effectively to allegations of abuse, mistreatment or neglect of </w:t>
      </w:r>
      <w:r w:rsidRPr="00303995">
        <w:rPr>
          <w:rFonts w:asciiTheme="minorHAnsi" w:hAnsiTheme="minorHAnsi" w:cstheme="minorHAnsi"/>
          <w:sz w:val="24"/>
          <w:szCs w:val="24"/>
        </w:rPr>
        <w:t>children</w:t>
      </w:r>
      <w:r w:rsidRPr="00303995">
        <w:rPr>
          <w:rStyle w:val="Hyperlink"/>
          <w:rFonts w:asciiTheme="minorHAnsi" w:hAnsiTheme="minorHAnsi" w:cstheme="minorHAnsi"/>
          <w:color w:val="000000" w:themeColor="text1"/>
          <w:sz w:val="24"/>
          <w:szCs w:val="24"/>
          <w:u w:val="none"/>
        </w:rPr>
        <w:t xml:space="preserve"> in their care, and will be a key feature of child-safe organisations. </w:t>
      </w:r>
    </w:p>
    <w:p w14:paraId="001F5C69" w14:textId="77777777" w:rsidR="00296C77" w:rsidRPr="00303995" w:rsidRDefault="00296C77" w:rsidP="00296C77">
      <w:pPr>
        <w:pStyle w:val="NumberedBodyText"/>
        <w:numPr>
          <w:ilvl w:val="0"/>
          <w:numId w:val="0"/>
        </w:numPr>
        <w:rPr>
          <w:rStyle w:val="Hyperlink"/>
          <w:rFonts w:asciiTheme="minorHAnsi" w:hAnsiTheme="minorHAnsi" w:cstheme="minorHAnsi"/>
          <w:color w:val="000000" w:themeColor="text1"/>
          <w:sz w:val="24"/>
          <w:szCs w:val="24"/>
          <w:u w:val="none"/>
        </w:rPr>
      </w:pPr>
    </w:p>
    <w:p w14:paraId="2744A8BB" w14:textId="77777777" w:rsidR="00303995" w:rsidRPr="00303995" w:rsidRDefault="00303995" w:rsidP="00303995">
      <w:pPr>
        <w:pStyle w:val="NumberedBodyText"/>
        <w:rPr>
          <w:rStyle w:val="Hyperlink"/>
          <w:rFonts w:asciiTheme="minorHAnsi" w:hAnsiTheme="minorHAnsi" w:cstheme="minorHAnsi"/>
          <w:color w:val="000000" w:themeColor="text1"/>
          <w:sz w:val="24"/>
          <w:szCs w:val="24"/>
          <w:u w:val="none"/>
        </w:rPr>
      </w:pPr>
      <w:r w:rsidRPr="00303995">
        <w:rPr>
          <w:rStyle w:val="Hyperlink"/>
          <w:rFonts w:asciiTheme="minorHAnsi" w:hAnsiTheme="minorHAnsi" w:cstheme="minorHAnsi"/>
          <w:color w:val="000000" w:themeColor="text1"/>
          <w:sz w:val="24"/>
          <w:szCs w:val="24"/>
          <w:u w:val="none"/>
        </w:rPr>
        <w:t>The Scheme’s primary purpose is to provide oversight of investigations into employee conduct when a child’s safety or wellbeing is at risk, providing an additional level of monitoring and enhancing public confidence in the outcomes of investigations.</w:t>
      </w:r>
    </w:p>
    <w:p w14:paraId="66892E8C" w14:textId="77777777" w:rsidR="00303995" w:rsidRDefault="00303995" w:rsidP="00303995">
      <w:pPr>
        <w:pStyle w:val="NumberedBodyText"/>
        <w:rPr>
          <w:rStyle w:val="Hyperlink"/>
          <w:rFonts w:asciiTheme="minorHAnsi" w:hAnsiTheme="minorHAnsi" w:cstheme="minorHAnsi"/>
          <w:color w:val="000000" w:themeColor="text1"/>
          <w:sz w:val="24"/>
          <w:szCs w:val="24"/>
          <w:u w:val="none"/>
        </w:rPr>
      </w:pPr>
      <w:r w:rsidRPr="00303995">
        <w:rPr>
          <w:rStyle w:val="Hyperlink"/>
          <w:rFonts w:asciiTheme="minorHAnsi" w:hAnsiTheme="minorHAnsi" w:cstheme="minorHAnsi"/>
          <w:color w:val="000000" w:themeColor="text1"/>
          <w:sz w:val="24"/>
          <w:szCs w:val="24"/>
          <w:u w:val="none"/>
        </w:rPr>
        <w:t xml:space="preserve">The Scheme is an employment-based child protection measure designed to ensure allegations and convictions against employees, related to abuse and misconduct against children, are identified and acted on appropriately. </w:t>
      </w:r>
    </w:p>
    <w:p w14:paraId="05654086" w14:textId="77777777" w:rsidR="00296C77" w:rsidRPr="00303995" w:rsidRDefault="00296C77" w:rsidP="00296C77">
      <w:pPr>
        <w:pStyle w:val="NumberedBodyText"/>
        <w:numPr>
          <w:ilvl w:val="0"/>
          <w:numId w:val="0"/>
        </w:numPr>
        <w:ind w:left="851"/>
        <w:rPr>
          <w:rStyle w:val="Hyperlink"/>
          <w:rFonts w:asciiTheme="minorHAnsi" w:hAnsiTheme="minorHAnsi" w:cstheme="minorHAnsi"/>
          <w:color w:val="000000" w:themeColor="text1"/>
          <w:sz w:val="24"/>
          <w:szCs w:val="24"/>
          <w:u w:val="none"/>
        </w:rPr>
      </w:pPr>
    </w:p>
    <w:p w14:paraId="1BED0925" w14:textId="77777777" w:rsidR="00303995" w:rsidRPr="00303995" w:rsidRDefault="00303995" w:rsidP="00303995">
      <w:pPr>
        <w:pStyle w:val="NumberedBodyText"/>
        <w:rPr>
          <w:rFonts w:asciiTheme="minorHAnsi" w:hAnsiTheme="minorHAnsi" w:cstheme="minorHAnsi"/>
          <w:color w:val="000000"/>
          <w:sz w:val="24"/>
          <w:szCs w:val="24"/>
        </w:rPr>
      </w:pPr>
      <w:r w:rsidRPr="00303995">
        <w:rPr>
          <w:rFonts w:asciiTheme="minorHAnsi" w:hAnsiTheme="minorHAnsi" w:cstheme="minorHAnsi"/>
          <w:sz w:val="24"/>
          <w:szCs w:val="24"/>
        </w:rPr>
        <w:t xml:space="preserve">The Scheme is </w:t>
      </w:r>
      <w:r w:rsidRPr="00303995">
        <w:rPr>
          <w:rFonts w:asciiTheme="minorHAnsi" w:hAnsiTheme="minorHAnsi" w:cstheme="minorHAnsi"/>
          <w:sz w:val="24"/>
          <w:szCs w:val="24"/>
          <w:u w:val="single"/>
        </w:rPr>
        <w:t>allegation-based</w:t>
      </w:r>
      <w:r w:rsidRPr="00303995">
        <w:rPr>
          <w:rFonts w:asciiTheme="minorHAnsi" w:hAnsiTheme="minorHAnsi" w:cstheme="minorHAnsi"/>
          <w:sz w:val="24"/>
          <w:szCs w:val="24"/>
        </w:rPr>
        <w:t xml:space="preserve"> and, as a designated entity, the Directorate has the following responsibilities:</w:t>
      </w:r>
    </w:p>
    <w:p w14:paraId="6F847E5F" w14:textId="77777777" w:rsidR="00303995" w:rsidRPr="00303995" w:rsidRDefault="00303995" w:rsidP="00BC1C71">
      <w:pPr>
        <w:pStyle w:val="Policy-BodyText"/>
        <w:numPr>
          <w:ilvl w:val="2"/>
          <w:numId w:val="17"/>
        </w:numPr>
        <w:spacing w:line="276" w:lineRule="auto"/>
        <w:ind w:left="1701"/>
        <w:rPr>
          <w:rFonts w:asciiTheme="minorHAnsi" w:hAnsiTheme="minorHAnsi" w:cstheme="minorHAnsi"/>
        </w:rPr>
      </w:pPr>
      <w:r w:rsidRPr="00303995">
        <w:rPr>
          <w:rFonts w:asciiTheme="minorHAnsi" w:hAnsiTheme="minorHAnsi" w:cstheme="minorHAnsi"/>
        </w:rPr>
        <w:t xml:space="preserve">notify the Ombudsman about any reportable conduct allegations or convictions involving an employee as soon as possible and no later than 30 days, </w:t>
      </w:r>
    </w:p>
    <w:p w14:paraId="48F0E99D" w14:textId="77777777" w:rsidR="00303995" w:rsidRPr="00303995" w:rsidRDefault="00303995" w:rsidP="00BC1C71">
      <w:pPr>
        <w:pStyle w:val="Policy-BodyText"/>
        <w:numPr>
          <w:ilvl w:val="2"/>
          <w:numId w:val="17"/>
        </w:numPr>
        <w:spacing w:line="276" w:lineRule="auto"/>
        <w:ind w:left="1701"/>
        <w:rPr>
          <w:rFonts w:asciiTheme="minorHAnsi" w:hAnsiTheme="minorHAnsi" w:cstheme="minorHAnsi"/>
        </w:rPr>
      </w:pPr>
      <w:r w:rsidRPr="00303995">
        <w:rPr>
          <w:rFonts w:asciiTheme="minorHAnsi" w:hAnsiTheme="minorHAnsi" w:cstheme="minorHAnsi"/>
        </w:rPr>
        <w:t>investigate any allegations of reportable conduct and provide a final report to the Ombudsman,</w:t>
      </w:r>
    </w:p>
    <w:p w14:paraId="5D3F037A" w14:textId="77777777" w:rsidR="00303995" w:rsidRPr="00303995" w:rsidRDefault="00303995" w:rsidP="00BC1C71">
      <w:pPr>
        <w:pStyle w:val="Policy-BodyText"/>
        <w:numPr>
          <w:ilvl w:val="2"/>
          <w:numId w:val="17"/>
        </w:numPr>
        <w:spacing w:line="276" w:lineRule="auto"/>
        <w:ind w:left="1701"/>
        <w:rPr>
          <w:rFonts w:asciiTheme="minorHAnsi" w:hAnsiTheme="minorHAnsi" w:cstheme="minorHAnsi"/>
        </w:rPr>
      </w:pPr>
      <w:r w:rsidRPr="00303995">
        <w:rPr>
          <w:rFonts w:asciiTheme="minorHAnsi" w:hAnsiTheme="minorHAnsi" w:cstheme="minorHAnsi"/>
        </w:rPr>
        <w:t xml:space="preserve">report to other entities as required, and </w:t>
      </w:r>
    </w:p>
    <w:p w14:paraId="5575382F" w14:textId="77777777" w:rsidR="00303995" w:rsidRPr="00303995" w:rsidRDefault="00303995" w:rsidP="00BC1C71">
      <w:pPr>
        <w:pStyle w:val="Policy-BodyText"/>
        <w:numPr>
          <w:ilvl w:val="2"/>
          <w:numId w:val="17"/>
        </w:numPr>
        <w:spacing w:line="276" w:lineRule="auto"/>
        <w:ind w:left="1701"/>
        <w:rPr>
          <w:rFonts w:asciiTheme="minorHAnsi" w:hAnsiTheme="minorHAnsi" w:cstheme="minorHAnsi"/>
        </w:rPr>
      </w:pPr>
      <w:r w:rsidRPr="00303995">
        <w:rPr>
          <w:rFonts w:asciiTheme="minorHAnsi" w:hAnsiTheme="minorHAnsi" w:cstheme="minorHAnsi"/>
        </w:rPr>
        <w:t>develop and update Directorate policies and procedures reflecting these responsibilities to inform and support all staff.</w:t>
      </w:r>
    </w:p>
    <w:p w14:paraId="5315527C" w14:textId="77777777" w:rsidR="00303995" w:rsidRPr="00303995" w:rsidRDefault="00303995" w:rsidP="00303995">
      <w:pPr>
        <w:pStyle w:val="NumberedBodyText"/>
        <w:rPr>
          <w:rFonts w:asciiTheme="minorHAnsi" w:hAnsiTheme="minorHAnsi" w:cstheme="minorHAnsi"/>
          <w:sz w:val="24"/>
          <w:szCs w:val="24"/>
        </w:rPr>
      </w:pPr>
      <w:r w:rsidRPr="00303995">
        <w:rPr>
          <w:rFonts w:asciiTheme="minorHAnsi" w:hAnsiTheme="minorHAnsi" w:cstheme="minorHAnsi"/>
          <w:sz w:val="24"/>
          <w:szCs w:val="24"/>
        </w:rPr>
        <w:t xml:space="preserve">Section 17E of the </w:t>
      </w:r>
      <w:r w:rsidRPr="00303995">
        <w:rPr>
          <w:rFonts w:asciiTheme="minorHAnsi" w:hAnsiTheme="minorHAnsi" w:cstheme="minorHAnsi"/>
          <w:i/>
          <w:iCs/>
          <w:sz w:val="24"/>
          <w:szCs w:val="24"/>
        </w:rPr>
        <w:t>Ombudsman Act 1989</w:t>
      </w:r>
      <w:r w:rsidRPr="00303995">
        <w:rPr>
          <w:rFonts w:asciiTheme="minorHAnsi" w:hAnsiTheme="minorHAnsi" w:cstheme="minorHAnsi"/>
          <w:sz w:val="24"/>
          <w:szCs w:val="24"/>
        </w:rPr>
        <w:t xml:space="preserve"> defines reportable conduct as conduct engaged in by a Directorate employee that results in:</w:t>
      </w:r>
    </w:p>
    <w:p w14:paraId="740A4EC3"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ill treatment or neglect of the child,</w:t>
      </w:r>
    </w:p>
    <w:p w14:paraId="4A7C8860"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exposing or subjecting the child to:</w:t>
      </w:r>
    </w:p>
    <w:p w14:paraId="26889654" w14:textId="77777777" w:rsidR="00303995" w:rsidRPr="00303995" w:rsidRDefault="00303995" w:rsidP="00BC1C71">
      <w:pPr>
        <w:pStyle w:val="Policy-BodyText"/>
        <w:numPr>
          <w:ilvl w:val="3"/>
          <w:numId w:val="17"/>
        </w:numPr>
        <w:tabs>
          <w:tab w:val="num" w:pos="794"/>
        </w:tabs>
        <w:spacing w:before="60" w:after="60" w:line="276" w:lineRule="auto"/>
        <w:ind w:left="2410" w:hanging="578"/>
        <w:rPr>
          <w:rFonts w:asciiTheme="minorHAnsi" w:hAnsiTheme="minorHAnsi" w:cstheme="minorHAnsi"/>
        </w:rPr>
      </w:pPr>
      <w:r w:rsidRPr="00303995">
        <w:rPr>
          <w:rFonts w:asciiTheme="minorHAnsi" w:hAnsiTheme="minorHAnsi" w:cstheme="minorHAnsi"/>
        </w:rPr>
        <w:t xml:space="preserve">behaviour, or a circumstance, that psychologically harms the child; </w:t>
      </w:r>
    </w:p>
    <w:p w14:paraId="60FBEAFB" w14:textId="490C554D" w:rsidR="00303995" w:rsidRPr="00303995" w:rsidRDefault="00303995" w:rsidP="00BC1C71">
      <w:pPr>
        <w:pStyle w:val="Policy-BodyText"/>
        <w:numPr>
          <w:ilvl w:val="3"/>
          <w:numId w:val="17"/>
        </w:numPr>
        <w:tabs>
          <w:tab w:val="num" w:pos="794"/>
        </w:tabs>
        <w:spacing w:before="60" w:after="60" w:line="276" w:lineRule="auto"/>
        <w:ind w:left="2835" w:hanging="1003"/>
        <w:rPr>
          <w:rFonts w:asciiTheme="minorHAnsi" w:hAnsiTheme="minorHAnsi" w:cstheme="minorHAnsi"/>
        </w:rPr>
      </w:pPr>
      <w:r w:rsidRPr="00303995">
        <w:rPr>
          <w:rFonts w:asciiTheme="minorHAnsi" w:hAnsiTheme="minorHAnsi" w:cstheme="minorHAnsi"/>
        </w:rPr>
        <w:t>or misconduct of a sexual nature that does not form part of an</w:t>
      </w:r>
      <w:r w:rsidR="008E363A">
        <w:rPr>
          <w:rFonts w:asciiTheme="minorHAnsi" w:hAnsiTheme="minorHAnsi" w:cstheme="minorHAnsi"/>
        </w:rPr>
        <w:t xml:space="preserve"> </w:t>
      </w:r>
      <w:r w:rsidRPr="00303995">
        <w:rPr>
          <w:rFonts w:asciiTheme="minorHAnsi" w:hAnsiTheme="minorHAnsi" w:cstheme="minorHAnsi"/>
        </w:rPr>
        <w:t>offence mentioned in 2.6.3;</w:t>
      </w:r>
    </w:p>
    <w:p w14:paraId="3B72908D"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lastRenderedPageBreak/>
        <w:t xml:space="preserve">an offence against provisions part 2 to part 5 of the </w:t>
      </w:r>
      <w:r w:rsidRPr="00303995">
        <w:rPr>
          <w:rFonts w:asciiTheme="minorHAnsi" w:hAnsiTheme="minorHAnsi" w:cstheme="minorHAnsi"/>
          <w:i/>
          <w:iCs/>
        </w:rPr>
        <w:t>Crimes Act 1900</w:t>
      </w:r>
      <w:r w:rsidRPr="00303995">
        <w:rPr>
          <w:rFonts w:asciiTheme="minorHAnsi" w:hAnsiTheme="minorHAnsi" w:cstheme="minorHAnsi"/>
        </w:rPr>
        <w:t xml:space="preserve"> for which the child is either present or a victim at the time of the conduct; and</w:t>
      </w:r>
    </w:p>
    <w:p w14:paraId="3520443F"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 xml:space="preserve">an offence against either section 166 or section 167 of the </w:t>
      </w:r>
      <w:r w:rsidRPr="00303995">
        <w:rPr>
          <w:rFonts w:asciiTheme="minorHAnsi" w:hAnsiTheme="minorHAnsi" w:cstheme="minorHAnsi"/>
          <w:i/>
          <w:iCs/>
        </w:rPr>
        <w:t>Education and Care Service National Law (ACT)</w:t>
      </w:r>
      <w:r w:rsidRPr="00303995">
        <w:rPr>
          <w:rFonts w:asciiTheme="minorHAnsi" w:hAnsiTheme="minorHAnsi" w:cstheme="minorHAnsi"/>
        </w:rPr>
        <w:t xml:space="preserve">. </w:t>
      </w:r>
    </w:p>
    <w:p w14:paraId="0182A864" w14:textId="77777777" w:rsidR="00303995" w:rsidRPr="00303995" w:rsidRDefault="00303995" w:rsidP="00303995">
      <w:pPr>
        <w:pStyle w:val="NumberedBodyText"/>
        <w:rPr>
          <w:rFonts w:asciiTheme="minorHAnsi" w:hAnsiTheme="minorHAnsi" w:cstheme="minorHAnsi"/>
          <w:sz w:val="24"/>
          <w:szCs w:val="24"/>
        </w:rPr>
      </w:pPr>
      <w:r w:rsidRPr="00303995">
        <w:rPr>
          <w:rFonts w:asciiTheme="minorHAnsi" w:hAnsiTheme="minorHAnsi" w:cstheme="minorHAnsi"/>
          <w:sz w:val="24"/>
          <w:szCs w:val="24"/>
        </w:rPr>
        <w:t xml:space="preserve">The </w:t>
      </w:r>
      <w:hyperlink r:id="rId23" w:history="1">
        <w:hyperlink r:id="rId24" w:history="1">
          <w:r w:rsidRPr="00303995">
            <w:rPr>
              <w:rStyle w:val="Hyperlink"/>
              <w:rFonts w:asciiTheme="minorHAnsi" w:hAnsiTheme="minorHAnsi" w:cstheme="minorHAnsi"/>
              <w:sz w:val="24"/>
              <w:szCs w:val="24"/>
            </w:rPr>
            <w:t>ACT Ombudsman Practice Guide No.2 Identifying Reportable Conduct</w:t>
          </w:r>
        </w:hyperlink>
      </w:hyperlink>
      <w:r w:rsidRPr="00303995">
        <w:rPr>
          <w:rStyle w:val="Hyperlink"/>
          <w:rFonts w:asciiTheme="minorHAnsi" w:hAnsiTheme="minorHAnsi" w:cstheme="minorHAnsi"/>
          <w:sz w:val="24"/>
          <w:szCs w:val="24"/>
        </w:rPr>
        <w:t xml:space="preserve"> </w:t>
      </w:r>
      <w:r w:rsidRPr="00303995">
        <w:rPr>
          <w:rFonts w:asciiTheme="minorHAnsi" w:hAnsiTheme="minorHAnsi" w:cstheme="minorHAnsi"/>
          <w:sz w:val="24"/>
          <w:szCs w:val="24"/>
        </w:rPr>
        <w:t>identifies behaviours that must be reported to the ACT Ombudsman which includes:</w:t>
      </w:r>
    </w:p>
    <w:p w14:paraId="0C82B077"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sexual offences and convictions where a child is a victim or is present,</w:t>
      </w:r>
    </w:p>
    <w:p w14:paraId="0CB87830"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offences against the person, including physical offences and convictions, where a child is a victim or is present,</w:t>
      </w:r>
    </w:p>
    <w:p w14:paraId="1BE775D6"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conviction, or finding of guilt, under a territory law or a state or Commonwealth law, involving reportable conduct,</w:t>
      </w:r>
    </w:p>
    <w:p w14:paraId="19A04AE7"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offences against the </w:t>
      </w:r>
      <w:hyperlink r:id="rId25" w:history="1">
        <w:r w:rsidRPr="00303995">
          <w:rPr>
            <w:rStyle w:val="Hyperlink"/>
            <w:rFonts w:asciiTheme="minorHAnsi" w:hAnsiTheme="minorHAnsi" w:cstheme="minorHAnsi"/>
            <w:i/>
          </w:rPr>
          <w:t>Education and Care Services National Law (ACT) Act 2011 </w:t>
        </w:r>
      </w:hyperlink>
      <w:r w:rsidRPr="00303995">
        <w:rPr>
          <w:rFonts w:asciiTheme="minorHAnsi" w:hAnsiTheme="minorHAnsi" w:cstheme="minorHAnsi"/>
        </w:rPr>
        <w:t>(inappropriate discipline or offences relating to protecting children from harm),</w:t>
      </w:r>
    </w:p>
    <w:p w14:paraId="35664BEF"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ill-treatment of a child (including emotional abuse, hostile use of force/physical contact, neglect and inappropriate, restrictive intervention),</w:t>
      </w:r>
    </w:p>
    <w:p w14:paraId="307BE103"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psychological harm, or</w:t>
      </w:r>
    </w:p>
    <w:p w14:paraId="1B73EF55" w14:textId="77777777" w:rsidR="00303995" w:rsidRPr="00303995" w:rsidRDefault="00303995" w:rsidP="00BC1C71">
      <w:pPr>
        <w:pStyle w:val="Policy-BodyText"/>
        <w:numPr>
          <w:ilvl w:val="2"/>
          <w:numId w:val="17"/>
        </w:numPr>
        <w:tabs>
          <w:tab w:val="num" w:pos="794"/>
        </w:tabs>
        <w:spacing w:line="276" w:lineRule="auto"/>
        <w:ind w:left="1701"/>
        <w:rPr>
          <w:rFonts w:asciiTheme="minorHAnsi" w:hAnsiTheme="minorHAnsi" w:cstheme="minorHAnsi"/>
        </w:rPr>
      </w:pPr>
      <w:r w:rsidRPr="00303995">
        <w:rPr>
          <w:rFonts w:asciiTheme="minorHAnsi" w:hAnsiTheme="minorHAnsi" w:cstheme="minorHAnsi"/>
        </w:rPr>
        <w:t>misconduct of a sexual nature.</w:t>
      </w:r>
    </w:p>
    <w:p w14:paraId="3232378F" w14:textId="77777777" w:rsidR="00303995" w:rsidRDefault="00303995" w:rsidP="00303995">
      <w:pPr>
        <w:pStyle w:val="NumberedBodyText"/>
        <w:rPr>
          <w:rFonts w:asciiTheme="minorHAnsi" w:hAnsiTheme="minorHAnsi" w:cstheme="minorHAnsi"/>
          <w:sz w:val="24"/>
          <w:szCs w:val="24"/>
        </w:rPr>
      </w:pPr>
      <w:r w:rsidRPr="00303995">
        <w:rPr>
          <w:rFonts w:asciiTheme="minorHAnsi" w:hAnsiTheme="minorHAnsi" w:cstheme="minorHAnsi"/>
          <w:sz w:val="24"/>
          <w:szCs w:val="24"/>
        </w:rPr>
        <w:t>The requirements related to responding to allegations of reportable conduct do not negate any other reporting responsibility required for the protection of children, such as mandatory reporting to the Child and Youth Protection Services (CYPS) or ACT Policing and may occur alongside these requirements.</w:t>
      </w:r>
    </w:p>
    <w:p w14:paraId="10147C16" w14:textId="77777777" w:rsidR="00296C77" w:rsidRPr="00303995" w:rsidRDefault="00296C77" w:rsidP="00296C77">
      <w:pPr>
        <w:pStyle w:val="NumberedBodyText"/>
        <w:numPr>
          <w:ilvl w:val="0"/>
          <w:numId w:val="0"/>
        </w:numPr>
        <w:ind w:left="851"/>
        <w:rPr>
          <w:rFonts w:asciiTheme="minorHAnsi" w:hAnsiTheme="minorHAnsi" w:cstheme="minorHAnsi"/>
          <w:sz w:val="24"/>
          <w:szCs w:val="24"/>
        </w:rPr>
      </w:pPr>
    </w:p>
    <w:p w14:paraId="0DC48403" w14:textId="77777777" w:rsidR="00303995" w:rsidRPr="00303995" w:rsidRDefault="00303995" w:rsidP="00303995">
      <w:pPr>
        <w:pStyle w:val="NumberedBodyText"/>
        <w:rPr>
          <w:rFonts w:asciiTheme="minorHAnsi" w:hAnsiTheme="minorHAnsi" w:cstheme="minorHAnsi"/>
          <w:sz w:val="24"/>
          <w:szCs w:val="24"/>
        </w:rPr>
      </w:pPr>
      <w:r w:rsidRPr="00303995">
        <w:rPr>
          <w:rFonts w:asciiTheme="minorHAnsi" w:hAnsiTheme="minorHAnsi" w:cstheme="minorHAnsi"/>
          <w:sz w:val="24"/>
          <w:szCs w:val="24"/>
        </w:rPr>
        <w:t xml:space="preserve">All employees are encouraged to refer to the </w:t>
      </w:r>
      <w:hyperlink r:id="rId26" w:history="1">
        <w:hyperlink r:id="rId27" w:history="1">
          <w:r w:rsidRPr="00303995">
            <w:rPr>
              <w:rStyle w:val="Hyperlink"/>
              <w:rFonts w:asciiTheme="minorHAnsi" w:hAnsiTheme="minorHAnsi" w:cstheme="minorHAnsi"/>
              <w:sz w:val="24"/>
              <w:szCs w:val="24"/>
            </w:rPr>
            <w:t>ACT Ombudsman Practice Guide No.2 Identifying Reportable Conduct</w:t>
          </w:r>
        </w:hyperlink>
      </w:hyperlink>
      <w:r w:rsidRPr="00303995">
        <w:rPr>
          <w:rFonts w:asciiTheme="minorHAnsi" w:hAnsiTheme="minorHAnsi" w:cstheme="minorHAnsi"/>
          <w:sz w:val="24"/>
          <w:szCs w:val="24"/>
        </w:rPr>
        <w:t xml:space="preserve"> for more information.</w:t>
      </w:r>
    </w:p>
    <w:p w14:paraId="72C44D40" w14:textId="64089BFE" w:rsidR="00AA0C1B" w:rsidRDefault="00303995" w:rsidP="00AA0C1B">
      <w:pPr>
        <w:pStyle w:val="Heading3"/>
      </w:pPr>
      <w:bookmarkStart w:id="7" w:name="_Toc181350652"/>
      <w:r>
        <w:t>Roles and Responsibilities</w:t>
      </w:r>
      <w:bookmarkEnd w:id="7"/>
    </w:p>
    <w:p w14:paraId="35761F5A" w14:textId="77777777" w:rsidR="00303995" w:rsidRPr="00303995" w:rsidRDefault="00303995" w:rsidP="00303995">
      <w:pPr>
        <w:pStyle w:val="NumberedBodyText"/>
        <w:rPr>
          <w:sz w:val="24"/>
          <w:szCs w:val="24"/>
        </w:rPr>
      </w:pPr>
      <w:r w:rsidRPr="00303995">
        <w:rPr>
          <w:sz w:val="24"/>
          <w:szCs w:val="24"/>
        </w:rPr>
        <w:t>Employees will:</w:t>
      </w:r>
    </w:p>
    <w:p w14:paraId="0F9DA17B" w14:textId="77777777" w:rsidR="00303995" w:rsidRPr="00303995" w:rsidRDefault="00303995" w:rsidP="00BC1C71">
      <w:pPr>
        <w:pStyle w:val="Policy-BodyText"/>
        <w:numPr>
          <w:ilvl w:val="2"/>
          <w:numId w:val="17"/>
        </w:numPr>
        <w:tabs>
          <w:tab w:val="num" w:pos="794"/>
        </w:tabs>
        <w:spacing w:line="276" w:lineRule="auto"/>
        <w:ind w:left="1701"/>
      </w:pPr>
      <w:r w:rsidRPr="00303995">
        <w:t>ensure they are aware of child safety issues and their obligations for ensuring that any allegations or convictions related to reportable conduct are immediately notified to their Principal or Manager, People and Performance Branch or the Directorate’s Feedback and Complaints team.</w:t>
      </w:r>
    </w:p>
    <w:p w14:paraId="2D48A0BC" w14:textId="77777777" w:rsidR="00303995" w:rsidRPr="00303995" w:rsidRDefault="00303995" w:rsidP="00BC1C71">
      <w:pPr>
        <w:pStyle w:val="Policy-BodyText"/>
        <w:numPr>
          <w:ilvl w:val="2"/>
          <w:numId w:val="17"/>
        </w:numPr>
        <w:tabs>
          <w:tab w:val="num" w:pos="794"/>
        </w:tabs>
        <w:spacing w:line="276" w:lineRule="auto"/>
        <w:ind w:left="1701"/>
      </w:pPr>
      <w:r w:rsidRPr="00303995">
        <w:t>ensure they complete the Directorate’s mandatory Reportable Conduct online training.</w:t>
      </w:r>
    </w:p>
    <w:p w14:paraId="19B878C6" w14:textId="232875DB" w:rsidR="008B10B6" w:rsidRDefault="00303995" w:rsidP="00BC1C71">
      <w:pPr>
        <w:pStyle w:val="Policy-BodyText"/>
        <w:numPr>
          <w:ilvl w:val="2"/>
          <w:numId w:val="17"/>
        </w:numPr>
        <w:tabs>
          <w:tab w:val="num" w:pos="794"/>
        </w:tabs>
        <w:spacing w:line="276" w:lineRule="auto"/>
        <w:ind w:left="1701"/>
      </w:pPr>
      <w:r w:rsidRPr="00303995">
        <w:t>ensure they comply with the ACT Public Service Obligations and Directorate-specific Codes of Conduct.</w:t>
      </w:r>
    </w:p>
    <w:p w14:paraId="056F8AB2" w14:textId="00777913" w:rsidR="00303995" w:rsidRPr="008B10B6" w:rsidRDefault="008B10B6" w:rsidP="008B10B6">
      <w:pPr>
        <w:spacing w:before="0" w:after="160" w:line="259" w:lineRule="auto"/>
        <w:rPr>
          <w:rFonts w:eastAsiaTheme="minorEastAsia" w:cstheme="minorBidi"/>
          <w:sz w:val="24"/>
          <w:szCs w:val="24"/>
        </w:rPr>
      </w:pPr>
      <w:r>
        <w:br w:type="page"/>
      </w:r>
    </w:p>
    <w:p w14:paraId="54FDF3A8" w14:textId="77777777" w:rsidR="00303995" w:rsidRPr="00303995" w:rsidRDefault="00303995" w:rsidP="00303995">
      <w:pPr>
        <w:pStyle w:val="NumberedBodyText"/>
        <w:rPr>
          <w:sz w:val="24"/>
          <w:szCs w:val="24"/>
        </w:rPr>
      </w:pPr>
      <w:r w:rsidRPr="00303995">
        <w:rPr>
          <w:sz w:val="24"/>
          <w:szCs w:val="24"/>
        </w:rPr>
        <w:lastRenderedPageBreak/>
        <w:t>Principals and Managers will:</w:t>
      </w:r>
    </w:p>
    <w:p w14:paraId="2D7968EC" w14:textId="77777777" w:rsidR="00303995" w:rsidRPr="00303995" w:rsidRDefault="00303995" w:rsidP="00BC1C71">
      <w:pPr>
        <w:pStyle w:val="Policy-BodyText"/>
        <w:numPr>
          <w:ilvl w:val="2"/>
          <w:numId w:val="17"/>
        </w:numPr>
        <w:tabs>
          <w:tab w:val="num" w:pos="794"/>
        </w:tabs>
        <w:spacing w:line="276" w:lineRule="auto"/>
        <w:ind w:left="1701"/>
      </w:pPr>
      <w:r w:rsidRPr="00303995">
        <w:t>notify the People and Performance Branch immediately after becoming aware of a reportable conduct allegation or conviction.</w:t>
      </w:r>
    </w:p>
    <w:p w14:paraId="25BAE700" w14:textId="77777777" w:rsidR="00303995" w:rsidRPr="00303995" w:rsidRDefault="00303995" w:rsidP="00BC1C71">
      <w:pPr>
        <w:pStyle w:val="Policy-BodyText"/>
        <w:numPr>
          <w:ilvl w:val="2"/>
          <w:numId w:val="17"/>
        </w:numPr>
        <w:tabs>
          <w:tab w:val="num" w:pos="794"/>
        </w:tabs>
        <w:spacing w:line="276" w:lineRule="auto"/>
        <w:ind w:left="1701"/>
      </w:pPr>
      <w:r w:rsidRPr="00303995">
        <w:t>undertake a risk assessment, with advice from People and Performance, in relation to the safety and wellbeing of the child, the employee subject of the allegation or conviction and other staff or children who may be involved.</w:t>
      </w:r>
    </w:p>
    <w:p w14:paraId="0E3CA67F" w14:textId="77777777" w:rsidR="00303995" w:rsidRPr="00303995" w:rsidRDefault="00303995" w:rsidP="00BC1C71">
      <w:pPr>
        <w:pStyle w:val="Policy-BodyText"/>
        <w:numPr>
          <w:ilvl w:val="2"/>
          <w:numId w:val="17"/>
        </w:numPr>
        <w:tabs>
          <w:tab w:val="num" w:pos="794"/>
        </w:tabs>
        <w:spacing w:line="276" w:lineRule="auto"/>
        <w:ind w:left="1701"/>
      </w:pPr>
      <w:r w:rsidRPr="00303995">
        <w:t>consult with the employee subject of the allegation or conviction and other staff, as relevant.</w:t>
      </w:r>
    </w:p>
    <w:p w14:paraId="47CC1227" w14:textId="77777777" w:rsidR="00303995" w:rsidRPr="00303995" w:rsidRDefault="00303995" w:rsidP="00BC1C71">
      <w:pPr>
        <w:pStyle w:val="Policy-BodyText"/>
        <w:numPr>
          <w:ilvl w:val="2"/>
          <w:numId w:val="17"/>
        </w:numPr>
        <w:tabs>
          <w:tab w:val="num" w:pos="794"/>
        </w:tabs>
        <w:spacing w:line="276" w:lineRule="auto"/>
        <w:ind w:left="1701"/>
      </w:pPr>
      <w:r w:rsidRPr="00303995">
        <w:t>undertake an inquiry into the reportable conduct allegation or conviction.</w:t>
      </w:r>
    </w:p>
    <w:p w14:paraId="7AE14EF6" w14:textId="77777777" w:rsidR="00303995" w:rsidRPr="00303995" w:rsidRDefault="00303995" w:rsidP="00BC1C71">
      <w:pPr>
        <w:pStyle w:val="Policy-BodyText"/>
        <w:numPr>
          <w:ilvl w:val="2"/>
          <w:numId w:val="17"/>
        </w:numPr>
        <w:tabs>
          <w:tab w:val="num" w:pos="794"/>
        </w:tabs>
        <w:spacing w:line="276" w:lineRule="auto"/>
        <w:ind w:left="1701"/>
      </w:pPr>
      <w:r w:rsidRPr="00303995">
        <w:t>maintain appropriate records in relation to the alleged reportable conduct or conviction as required by Directorate policies and procedures.</w:t>
      </w:r>
    </w:p>
    <w:p w14:paraId="309F29AE" w14:textId="77777777" w:rsidR="00303995" w:rsidRPr="00303995" w:rsidRDefault="00303995" w:rsidP="00BC1C71">
      <w:pPr>
        <w:pStyle w:val="Policy-BodyText"/>
        <w:numPr>
          <w:ilvl w:val="2"/>
          <w:numId w:val="17"/>
        </w:numPr>
        <w:spacing w:line="276" w:lineRule="auto"/>
        <w:ind w:left="1701"/>
      </w:pPr>
      <w:r w:rsidRPr="00303995">
        <w:t>ensure all employees complete the Directorate’s mandatory Reportable Conduct online training.</w:t>
      </w:r>
    </w:p>
    <w:p w14:paraId="03891AD0" w14:textId="7E0A4C6C" w:rsidR="00303995" w:rsidRPr="00303995" w:rsidRDefault="00303995" w:rsidP="00BC1C71">
      <w:pPr>
        <w:pStyle w:val="Policy-BodyText"/>
        <w:numPr>
          <w:ilvl w:val="2"/>
          <w:numId w:val="17"/>
        </w:numPr>
        <w:tabs>
          <w:tab w:val="num" w:pos="794"/>
        </w:tabs>
        <w:spacing w:line="276" w:lineRule="auto"/>
        <w:ind w:left="1701"/>
      </w:pPr>
      <w:r w:rsidRPr="00303995">
        <w:t>provide information about reportable conduct during school/section induction of new staff to the Directorate, pre-service teachers, trainees, volunteers and those contracted to provide a service to children.</w:t>
      </w:r>
    </w:p>
    <w:p w14:paraId="3DD65C94" w14:textId="77777777" w:rsidR="00303995" w:rsidRPr="00303995" w:rsidRDefault="00303995" w:rsidP="00303995">
      <w:pPr>
        <w:pStyle w:val="NumberedBodyText"/>
        <w:rPr>
          <w:sz w:val="24"/>
          <w:szCs w:val="24"/>
        </w:rPr>
      </w:pPr>
      <w:r w:rsidRPr="00303995">
        <w:rPr>
          <w:sz w:val="24"/>
          <w:szCs w:val="24"/>
        </w:rPr>
        <w:t xml:space="preserve">People and Performance Branch will: </w:t>
      </w:r>
    </w:p>
    <w:p w14:paraId="63AA6A63" w14:textId="77777777" w:rsidR="00303995" w:rsidRPr="00303995" w:rsidRDefault="00303995" w:rsidP="00BC1C71">
      <w:pPr>
        <w:pStyle w:val="Policy-BodyText"/>
        <w:numPr>
          <w:ilvl w:val="2"/>
          <w:numId w:val="17"/>
        </w:numPr>
        <w:tabs>
          <w:tab w:val="num" w:pos="794"/>
        </w:tabs>
        <w:spacing w:line="276" w:lineRule="auto"/>
        <w:ind w:left="1701"/>
      </w:pPr>
      <w:r w:rsidRPr="00303995">
        <w:t>maintain responsibility for day-to-day application of the Reportable Conduct Scheme Policy and Procedures.</w:t>
      </w:r>
    </w:p>
    <w:p w14:paraId="1BC042E4" w14:textId="77777777" w:rsidR="00303995" w:rsidRPr="00303995" w:rsidRDefault="00303995" w:rsidP="00BC1C71">
      <w:pPr>
        <w:pStyle w:val="Policy-BodyText"/>
        <w:numPr>
          <w:ilvl w:val="2"/>
          <w:numId w:val="17"/>
        </w:numPr>
        <w:tabs>
          <w:tab w:val="num" w:pos="794"/>
        </w:tabs>
        <w:spacing w:line="276" w:lineRule="auto"/>
        <w:ind w:left="1701"/>
      </w:pPr>
      <w:r w:rsidRPr="00303995">
        <w:t>notify the ACT Ombudsman as soon as possible and within 30 days of an allegation being made or being advised of a conviction in relation to reportable conduct.</w:t>
      </w:r>
    </w:p>
    <w:p w14:paraId="39D2E006" w14:textId="77777777" w:rsidR="00303995" w:rsidRPr="00303995" w:rsidRDefault="00303995" w:rsidP="00BC1C71">
      <w:pPr>
        <w:pStyle w:val="Policy-BodyText"/>
        <w:numPr>
          <w:ilvl w:val="2"/>
          <w:numId w:val="17"/>
        </w:numPr>
        <w:tabs>
          <w:tab w:val="num" w:pos="794"/>
        </w:tabs>
        <w:spacing w:line="276" w:lineRule="auto"/>
        <w:ind w:left="1701"/>
      </w:pPr>
      <w:r w:rsidRPr="00303995">
        <w:t>work with Principals and Managers to ensure appropriate enquiries into reportable conduct allegations or convictions are undertaken, which meet the requirements of the Scheme.</w:t>
      </w:r>
    </w:p>
    <w:p w14:paraId="69E90CAF" w14:textId="77777777" w:rsidR="00303995" w:rsidRPr="00303995" w:rsidRDefault="00303995" w:rsidP="00BC1C71">
      <w:pPr>
        <w:pStyle w:val="Policy-BodyText"/>
        <w:numPr>
          <w:ilvl w:val="2"/>
          <w:numId w:val="17"/>
        </w:numPr>
        <w:tabs>
          <w:tab w:val="num" w:pos="794"/>
        </w:tabs>
        <w:spacing w:line="276" w:lineRule="auto"/>
        <w:ind w:left="1701"/>
      </w:pPr>
      <w:r w:rsidRPr="00303995">
        <w:t>ensure ongoing monitoring of enquiries and provide progress updates to the Ombudsman’s Office.</w:t>
      </w:r>
    </w:p>
    <w:p w14:paraId="2C9892DB" w14:textId="77777777" w:rsidR="00303995" w:rsidRPr="00303995" w:rsidRDefault="00303995" w:rsidP="00BC1C71">
      <w:pPr>
        <w:pStyle w:val="Policy-BodyText"/>
        <w:numPr>
          <w:ilvl w:val="2"/>
          <w:numId w:val="17"/>
        </w:numPr>
        <w:tabs>
          <w:tab w:val="num" w:pos="794"/>
        </w:tabs>
        <w:spacing w:line="276" w:lineRule="auto"/>
        <w:ind w:left="1701"/>
      </w:pPr>
      <w:r w:rsidRPr="00303995">
        <w:t>determine a final finding in relation to the reportable conduct allegation or conviction and submit a final report to the ACT Ombudsman.</w:t>
      </w:r>
    </w:p>
    <w:p w14:paraId="7446AA01" w14:textId="77777777" w:rsidR="00303995" w:rsidRPr="00303995" w:rsidRDefault="00303995" w:rsidP="00BC1C71">
      <w:pPr>
        <w:pStyle w:val="Policy-BodyText"/>
        <w:numPr>
          <w:ilvl w:val="2"/>
          <w:numId w:val="17"/>
        </w:numPr>
        <w:tabs>
          <w:tab w:val="num" w:pos="794"/>
        </w:tabs>
        <w:spacing w:line="276" w:lineRule="auto"/>
        <w:ind w:left="1701"/>
      </w:pPr>
      <w:r w:rsidRPr="00303995">
        <w:t>ensure inclusion of reportable conduct information during induction processes and delivery of reportable conduct training to staff as appropriate.</w:t>
      </w:r>
    </w:p>
    <w:p w14:paraId="1779A852" w14:textId="211839A5" w:rsidR="00303995" w:rsidRPr="00303995" w:rsidRDefault="00303995" w:rsidP="00BC1C71">
      <w:pPr>
        <w:pStyle w:val="Policy-BodyText"/>
        <w:numPr>
          <w:ilvl w:val="2"/>
          <w:numId w:val="17"/>
        </w:numPr>
        <w:tabs>
          <w:tab w:val="num" w:pos="794"/>
        </w:tabs>
        <w:spacing w:after="240" w:line="276" w:lineRule="auto"/>
        <w:ind w:left="1701"/>
      </w:pPr>
      <w:r w:rsidRPr="00303995">
        <w:t>share information with other relevant entities, as required.</w:t>
      </w:r>
    </w:p>
    <w:p w14:paraId="527FFBAE" w14:textId="4CE4DE62" w:rsidR="00303995" w:rsidRPr="00303995" w:rsidRDefault="00303995" w:rsidP="00303995">
      <w:pPr>
        <w:pStyle w:val="Heading3"/>
      </w:pPr>
      <w:bookmarkStart w:id="8" w:name="_Toc181350653"/>
      <w:r>
        <w:t>Procedures</w:t>
      </w:r>
      <w:bookmarkEnd w:id="8"/>
    </w:p>
    <w:p w14:paraId="7B8D5ACE" w14:textId="605D8D3D" w:rsidR="00303995" w:rsidRDefault="00303995" w:rsidP="00303995">
      <w:pPr>
        <w:pStyle w:val="NumberedBodyText"/>
        <w:rPr>
          <w:sz w:val="24"/>
          <w:szCs w:val="24"/>
        </w:rPr>
      </w:pPr>
      <w:bookmarkStart w:id="9" w:name="_Toc169530495"/>
      <w:r w:rsidRPr="00303995">
        <w:rPr>
          <w:sz w:val="24"/>
          <w:szCs w:val="24"/>
        </w:rPr>
        <w:t xml:space="preserve">Under the Scheme, the Directorate, as a designated entity, must notify the ACT Ombudsman within 30 days of being made aware of a reportable conduct allegation or conviction. It is noted that a reportable conduct allegation or conviction may occur within the workplace and extends outside of the workplace in an employee’s private life. </w:t>
      </w:r>
    </w:p>
    <w:p w14:paraId="230B8F85" w14:textId="77777777" w:rsidR="00296C77" w:rsidRDefault="00296C77" w:rsidP="00296C77">
      <w:pPr>
        <w:pStyle w:val="NumberedBodyText"/>
        <w:numPr>
          <w:ilvl w:val="0"/>
          <w:numId w:val="0"/>
        </w:numPr>
        <w:ind w:left="851"/>
        <w:rPr>
          <w:sz w:val="24"/>
          <w:szCs w:val="24"/>
        </w:rPr>
      </w:pPr>
    </w:p>
    <w:p w14:paraId="01C23028" w14:textId="77777777" w:rsidR="00303995" w:rsidRDefault="00303995" w:rsidP="00303995">
      <w:pPr>
        <w:pStyle w:val="NumberedBodyText"/>
        <w:rPr>
          <w:sz w:val="24"/>
          <w:szCs w:val="24"/>
        </w:rPr>
      </w:pPr>
      <w:r w:rsidRPr="00303995">
        <w:rPr>
          <w:sz w:val="24"/>
          <w:szCs w:val="24"/>
        </w:rPr>
        <w:lastRenderedPageBreak/>
        <w:t>The urgency and timeliness of reporting an allegation or conviction of reportable conduct is critical in ensuring that the Directorate is compliant with its legislative responsibilities and ensuring child safety under the Scheme.</w:t>
      </w:r>
    </w:p>
    <w:p w14:paraId="0D9777EE" w14:textId="77777777" w:rsidR="00296C77" w:rsidRPr="00303995" w:rsidRDefault="00296C77" w:rsidP="00296C77">
      <w:pPr>
        <w:pStyle w:val="NumberedBodyText"/>
        <w:numPr>
          <w:ilvl w:val="0"/>
          <w:numId w:val="0"/>
        </w:numPr>
        <w:rPr>
          <w:sz w:val="24"/>
          <w:szCs w:val="24"/>
        </w:rPr>
      </w:pPr>
    </w:p>
    <w:p w14:paraId="4836A0DD" w14:textId="77777777" w:rsidR="00303995" w:rsidRPr="00303995" w:rsidRDefault="00303995" w:rsidP="00303995">
      <w:pPr>
        <w:pStyle w:val="NumberedBodyText"/>
        <w:rPr>
          <w:sz w:val="24"/>
          <w:szCs w:val="24"/>
        </w:rPr>
      </w:pPr>
      <w:r w:rsidRPr="00303995">
        <w:rPr>
          <w:sz w:val="24"/>
          <w:szCs w:val="24"/>
        </w:rPr>
        <w:t>Reportable conduct allegations or convictions may not be immediately identifiable but may be received through the following sources:</w:t>
      </w:r>
    </w:p>
    <w:p w14:paraId="72C6198C" w14:textId="77777777" w:rsidR="00303995" w:rsidRPr="00303995" w:rsidRDefault="00303995" w:rsidP="00BC1C71">
      <w:pPr>
        <w:pStyle w:val="Policy-BodyText"/>
        <w:numPr>
          <w:ilvl w:val="2"/>
          <w:numId w:val="17"/>
        </w:numPr>
        <w:tabs>
          <w:tab w:val="num" w:pos="794"/>
        </w:tabs>
        <w:spacing w:line="276" w:lineRule="auto"/>
      </w:pPr>
      <w:r w:rsidRPr="00303995">
        <w:t>Parent complaint about the behaviour of an employee towards a child,</w:t>
      </w:r>
    </w:p>
    <w:p w14:paraId="34CEF2D7" w14:textId="77777777" w:rsidR="00303995" w:rsidRPr="00303995" w:rsidRDefault="00303995" w:rsidP="00BC1C71">
      <w:pPr>
        <w:pStyle w:val="Policy-BodyText"/>
        <w:numPr>
          <w:ilvl w:val="2"/>
          <w:numId w:val="17"/>
        </w:numPr>
        <w:tabs>
          <w:tab w:val="num" w:pos="794"/>
        </w:tabs>
        <w:spacing w:line="276" w:lineRule="auto"/>
      </w:pPr>
      <w:r w:rsidRPr="00303995">
        <w:t>Complaint or assertion made by a child in relation to behaviour of an employee towards them or another child,</w:t>
      </w:r>
    </w:p>
    <w:p w14:paraId="0246FA00" w14:textId="77777777" w:rsidR="00303995" w:rsidRPr="00303995" w:rsidRDefault="00303995" w:rsidP="00BC1C71">
      <w:pPr>
        <w:pStyle w:val="Policy-BodyText"/>
        <w:numPr>
          <w:ilvl w:val="2"/>
          <w:numId w:val="17"/>
        </w:numPr>
        <w:tabs>
          <w:tab w:val="num" w:pos="794"/>
        </w:tabs>
        <w:spacing w:line="276" w:lineRule="auto"/>
      </w:pPr>
      <w:r w:rsidRPr="00303995">
        <w:t>Report received from a community member or another employee about behaviour by an employee towards a child that may or may not have been directly witnessed,</w:t>
      </w:r>
    </w:p>
    <w:p w14:paraId="77F187F2" w14:textId="77777777" w:rsidR="00303995" w:rsidRPr="00303995" w:rsidRDefault="00303995" w:rsidP="00BC1C71">
      <w:pPr>
        <w:pStyle w:val="Policy-BodyText"/>
        <w:numPr>
          <w:ilvl w:val="2"/>
          <w:numId w:val="17"/>
        </w:numPr>
        <w:tabs>
          <w:tab w:val="num" w:pos="794"/>
        </w:tabs>
        <w:spacing w:line="276" w:lineRule="auto"/>
      </w:pPr>
      <w:r w:rsidRPr="00303995">
        <w:t>Anonymous complaint or report of employee behaviour towards a child, or</w:t>
      </w:r>
    </w:p>
    <w:p w14:paraId="2EBBFD6F" w14:textId="6603EE84" w:rsidR="00B7394C" w:rsidRPr="00B7394C" w:rsidRDefault="00303995" w:rsidP="00BC1C71">
      <w:pPr>
        <w:pStyle w:val="Policy-BodyText"/>
        <w:numPr>
          <w:ilvl w:val="2"/>
          <w:numId w:val="17"/>
        </w:numPr>
        <w:tabs>
          <w:tab w:val="num" w:pos="794"/>
        </w:tabs>
        <w:spacing w:line="276" w:lineRule="auto"/>
      </w:pPr>
      <w:r w:rsidRPr="00303995">
        <w:t>Information contained on a RISKMAN report or student ACCIDENT/INCIDENT report.</w:t>
      </w:r>
      <w:bookmarkEnd w:id="9"/>
    </w:p>
    <w:p w14:paraId="7CF648B0" w14:textId="77777777" w:rsidR="00B7394C" w:rsidRPr="00180D54" w:rsidRDefault="00B7394C" w:rsidP="00822A3C">
      <w:pPr>
        <w:pStyle w:val="Heading4"/>
      </w:pPr>
      <w:r>
        <w:t>Reporting</w:t>
      </w:r>
    </w:p>
    <w:p w14:paraId="577BFDB8" w14:textId="77777777" w:rsidR="00B7394C" w:rsidRPr="00B7394C" w:rsidRDefault="00B7394C" w:rsidP="00BC1C71">
      <w:pPr>
        <w:pStyle w:val="ListParagraph"/>
        <w:numPr>
          <w:ilvl w:val="0"/>
          <w:numId w:val="18"/>
        </w:numPr>
        <w:spacing w:before="120" w:after="0" w:line="240" w:lineRule="auto"/>
        <w:contextualSpacing w:val="0"/>
        <w:outlineLvl w:val="1"/>
        <w:rPr>
          <w:rFonts w:cs="Calibri"/>
          <w:b/>
          <w:bCs/>
          <w:vanish/>
          <w:sz w:val="24"/>
          <w:szCs w:val="22"/>
        </w:rPr>
      </w:pPr>
      <w:bookmarkStart w:id="10" w:name="_Toc181348126"/>
      <w:bookmarkStart w:id="11" w:name="_Toc181348137"/>
      <w:bookmarkStart w:id="12" w:name="_Toc181350654"/>
      <w:bookmarkStart w:id="13" w:name="_Toc181348128"/>
      <w:bookmarkStart w:id="14" w:name="_Toc181348139"/>
      <w:bookmarkStart w:id="15" w:name="_Toc181350656"/>
      <w:bookmarkEnd w:id="10"/>
      <w:bookmarkEnd w:id="11"/>
      <w:bookmarkEnd w:id="12"/>
      <w:bookmarkEnd w:id="13"/>
      <w:bookmarkEnd w:id="14"/>
      <w:bookmarkEnd w:id="15"/>
    </w:p>
    <w:p w14:paraId="7A2E3C22" w14:textId="77777777" w:rsidR="00B7394C" w:rsidRPr="00B7394C" w:rsidRDefault="00B7394C" w:rsidP="00BC1C71">
      <w:pPr>
        <w:pStyle w:val="ListParagraph"/>
        <w:numPr>
          <w:ilvl w:val="0"/>
          <w:numId w:val="18"/>
        </w:numPr>
        <w:spacing w:before="120" w:after="0" w:line="240" w:lineRule="auto"/>
        <w:contextualSpacing w:val="0"/>
        <w:outlineLvl w:val="1"/>
        <w:rPr>
          <w:rFonts w:cs="Calibri"/>
          <w:b/>
          <w:bCs/>
          <w:vanish/>
          <w:sz w:val="24"/>
          <w:szCs w:val="22"/>
        </w:rPr>
      </w:pPr>
      <w:bookmarkStart w:id="16" w:name="_Toc181348127"/>
      <w:bookmarkStart w:id="17" w:name="_Toc181348138"/>
      <w:bookmarkStart w:id="18" w:name="_Toc181350655"/>
      <w:bookmarkEnd w:id="16"/>
      <w:bookmarkEnd w:id="17"/>
      <w:bookmarkEnd w:id="18"/>
    </w:p>
    <w:p w14:paraId="75062B85" w14:textId="77777777" w:rsidR="00B7394C" w:rsidRPr="00B7394C" w:rsidRDefault="00B7394C" w:rsidP="00BC1C71">
      <w:pPr>
        <w:pStyle w:val="ListParagraph"/>
        <w:numPr>
          <w:ilvl w:val="0"/>
          <w:numId w:val="18"/>
        </w:numPr>
        <w:spacing w:before="120" w:after="0" w:line="240" w:lineRule="auto"/>
        <w:contextualSpacing w:val="0"/>
        <w:outlineLvl w:val="1"/>
        <w:rPr>
          <w:rFonts w:cs="Calibri"/>
          <w:b/>
          <w:bCs/>
          <w:vanish/>
          <w:sz w:val="24"/>
          <w:szCs w:val="22"/>
        </w:rPr>
      </w:pPr>
    </w:p>
    <w:p w14:paraId="696F529D" w14:textId="77777777" w:rsidR="00B7394C" w:rsidRPr="00B7394C" w:rsidRDefault="00B7394C" w:rsidP="00BC1C71">
      <w:pPr>
        <w:pStyle w:val="ListParagraph"/>
        <w:numPr>
          <w:ilvl w:val="1"/>
          <w:numId w:val="18"/>
        </w:numPr>
        <w:spacing w:before="0" w:after="0" w:line="264" w:lineRule="auto"/>
        <w:contextualSpacing w:val="0"/>
        <w:rPr>
          <w:rFonts w:eastAsiaTheme="minorEastAsia" w:cstheme="minorBidi"/>
          <w:vanish/>
          <w:sz w:val="24"/>
          <w:szCs w:val="24"/>
        </w:rPr>
      </w:pPr>
    </w:p>
    <w:p w14:paraId="065CA51B" w14:textId="77777777" w:rsidR="00B7394C" w:rsidRPr="00B7394C" w:rsidRDefault="00B7394C" w:rsidP="00BC1C71">
      <w:pPr>
        <w:pStyle w:val="ListParagraph"/>
        <w:numPr>
          <w:ilvl w:val="1"/>
          <w:numId w:val="18"/>
        </w:numPr>
        <w:spacing w:before="0" w:after="0" w:line="264" w:lineRule="auto"/>
        <w:contextualSpacing w:val="0"/>
        <w:rPr>
          <w:rFonts w:eastAsiaTheme="minorEastAsia" w:cstheme="minorBidi"/>
          <w:vanish/>
          <w:sz w:val="24"/>
          <w:szCs w:val="24"/>
        </w:rPr>
      </w:pPr>
    </w:p>
    <w:p w14:paraId="6EB653ED" w14:textId="77777777" w:rsidR="00B7394C" w:rsidRPr="00B7394C" w:rsidRDefault="00B7394C" w:rsidP="00BC1C71">
      <w:pPr>
        <w:pStyle w:val="ListParagraph"/>
        <w:numPr>
          <w:ilvl w:val="1"/>
          <w:numId w:val="18"/>
        </w:numPr>
        <w:spacing w:before="0" w:after="0" w:line="264" w:lineRule="auto"/>
        <w:contextualSpacing w:val="0"/>
        <w:rPr>
          <w:rFonts w:eastAsiaTheme="minorEastAsia" w:cstheme="minorBidi"/>
          <w:vanish/>
          <w:sz w:val="24"/>
          <w:szCs w:val="24"/>
        </w:rPr>
      </w:pPr>
    </w:p>
    <w:p w14:paraId="0F4F7F14" w14:textId="5CCF721F" w:rsidR="00B7394C" w:rsidRPr="00A63C36" w:rsidRDefault="00B7394C" w:rsidP="00B7394C">
      <w:pPr>
        <w:pStyle w:val="Policy-BodyText"/>
        <w:rPr>
          <w:b/>
          <w:sz w:val="23"/>
          <w:szCs w:val="23"/>
        </w:rPr>
      </w:pPr>
      <w:r w:rsidRPr="00084AFA">
        <w:t xml:space="preserve">Employees, as identified in the </w:t>
      </w:r>
      <w:hyperlink r:id="rId28" w:history="1">
        <w:r w:rsidRPr="008B10B6">
          <w:rPr>
            <w:rStyle w:val="Hyperlink"/>
            <w:iCs/>
          </w:rPr>
          <w:t>EDU Reportable Conduct Scheme Policy</w:t>
        </w:r>
      </w:hyperlink>
      <w:r w:rsidRPr="00084AFA">
        <w:t xml:space="preserve">, </w:t>
      </w:r>
      <w:r w:rsidRPr="00E76792">
        <w:rPr>
          <w:u w:val="single"/>
        </w:rPr>
        <w:t>must</w:t>
      </w:r>
      <w:r w:rsidRPr="00084AFA">
        <w:t xml:space="preserve"> report any reportable conduct allegation or conviction to their Principal</w:t>
      </w:r>
      <w:r>
        <w:t xml:space="preserve"> or </w:t>
      </w:r>
      <w:r w:rsidRPr="00084AFA">
        <w:t xml:space="preserve">Manager </w:t>
      </w:r>
      <w:r w:rsidRPr="00E76792">
        <w:rPr>
          <w:u w:val="single"/>
        </w:rPr>
        <w:t>as soon as possible</w:t>
      </w:r>
      <w:r w:rsidRPr="00084AFA">
        <w:t xml:space="preserve"> from when they have been made aware of the allegation or conviction.</w:t>
      </w:r>
    </w:p>
    <w:p w14:paraId="77CACE8C" w14:textId="77777777" w:rsidR="00B7394C" w:rsidRDefault="00B7394C" w:rsidP="00B7394C">
      <w:pPr>
        <w:pStyle w:val="Policy-BodyText"/>
        <w:numPr>
          <w:ilvl w:val="0"/>
          <w:numId w:val="0"/>
        </w:numPr>
        <w:rPr>
          <w:b/>
          <w:sz w:val="23"/>
          <w:szCs w:val="23"/>
        </w:rPr>
      </w:pPr>
    </w:p>
    <w:p w14:paraId="3A62B81C" w14:textId="77777777" w:rsidR="00B7394C" w:rsidRPr="008F6A9D" w:rsidRDefault="00B7394C" w:rsidP="00B7394C">
      <w:pPr>
        <w:pStyle w:val="Policy-BodyText"/>
        <w:tabs>
          <w:tab w:val="clear" w:pos="567"/>
          <w:tab w:val="num" w:pos="7371"/>
        </w:tabs>
        <w:spacing w:after="240" w:line="240" w:lineRule="auto"/>
        <w:rPr>
          <w:b/>
          <w:sz w:val="23"/>
          <w:szCs w:val="23"/>
        </w:rPr>
      </w:pPr>
      <w:r w:rsidRPr="00084AFA">
        <w:t xml:space="preserve">Where it is not reasonable to report an allegation to the Principal or Manager, an employee </w:t>
      </w:r>
      <w:r>
        <w:t>can</w:t>
      </w:r>
      <w:r w:rsidRPr="00084AFA">
        <w:t xml:space="preserve"> contact</w:t>
      </w:r>
      <w:r>
        <w:t>:</w:t>
      </w:r>
    </w:p>
    <w:p w14:paraId="783DEFB2" w14:textId="77777777" w:rsidR="00B7394C" w:rsidRPr="00636C3C" w:rsidRDefault="00B7394C" w:rsidP="00BC1C71">
      <w:pPr>
        <w:pStyle w:val="Policy-BodyText"/>
        <w:numPr>
          <w:ilvl w:val="2"/>
          <w:numId w:val="18"/>
        </w:numPr>
        <w:tabs>
          <w:tab w:val="clear" w:pos="680"/>
          <w:tab w:val="num" w:pos="624"/>
          <w:tab w:val="num" w:pos="794"/>
        </w:tabs>
        <w:spacing w:line="276" w:lineRule="auto"/>
        <w:ind w:left="1843" w:hanging="709"/>
        <w:rPr>
          <w:rStyle w:val="Hyperlink"/>
          <w:rFonts w:cs="Calibri"/>
        </w:rPr>
      </w:pPr>
      <w:r w:rsidRPr="00636C3C">
        <w:rPr>
          <w:rFonts w:cs="Calibri"/>
        </w:rPr>
        <w:t xml:space="preserve">People and Performance, HR Business Partner Team (02) 6207 9772 </w:t>
      </w:r>
    </w:p>
    <w:p w14:paraId="7B218495" w14:textId="5DFCF6B3" w:rsidR="00B7394C" w:rsidRPr="00084AFA" w:rsidRDefault="00B7394C" w:rsidP="00BC1C71">
      <w:pPr>
        <w:pStyle w:val="Policy-BodyText"/>
        <w:numPr>
          <w:ilvl w:val="2"/>
          <w:numId w:val="18"/>
        </w:numPr>
        <w:tabs>
          <w:tab w:val="clear" w:pos="680"/>
          <w:tab w:val="num" w:pos="624"/>
          <w:tab w:val="num" w:pos="794"/>
        </w:tabs>
        <w:spacing w:line="276" w:lineRule="auto"/>
        <w:ind w:left="1843" w:hanging="709"/>
        <w:rPr>
          <w:rStyle w:val="Hyperlink"/>
          <w:rFonts w:cs="Calibri"/>
        </w:rPr>
      </w:pPr>
      <w:r w:rsidRPr="1FEEB1CC">
        <w:rPr>
          <w:rFonts w:cs="Calibri"/>
        </w:rPr>
        <w:t xml:space="preserve">People and Performance, People Cases Team via </w:t>
      </w:r>
      <w:hyperlink r:id="rId29" w:history="1">
        <w:r w:rsidR="00635946" w:rsidRPr="00CD7212">
          <w:rPr>
            <w:rStyle w:val="Hyperlink"/>
            <w:rFonts w:cs="Calibri"/>
          </w:rPr>
          <w:t>edu.peoplecases@act.gov.au</w:t>
        </w:r>
      </w:hyperlink>
      <w:r w:rsidR="00635946">
        <w:rPr>
          <w:rFonts w:cs="Calibri"/>
        </w:rPr>
        <w:t xml:space="preserve"> </w:t>
      </w:r>
      <w:r w:rsidRPr="1FEEB1CC">
        <w:rPr>
          <w:rFonts w:cs="Calibri"/>
        </w:rPr>
        <w:t xml:space="preserve"> </w:t>
      </w:r>
    </w:p>
    <w:p w14:paraId="4FE85152" w14:textId="77777777" w:rsidR="00B7394C" w:rsidRDefault="00B7394C" w:rsidP="00BC1C71">
      <w:pPr>
        <w:pStyle w:val="Policy-BodyText"/>
        <w:numPr>
          <w:ilvl w:val="2"/>
          <w:numId w:val="18"/>
        </w:numPr>
        <w:tabs>
          <w:tab w:val="clear" w:pos="680"/>
          <w:tab w:val="num" w:pos="624"/>
          <w:tab w:val="num" w:pos="794"/>
        </w:tabs>
        <w:spacing w:line="276" w:lineRule="auto"/>
        <w:ind w:left="1843" w:hanging="709"/>
        <w:rPr>
          <w:rStyle w:val="Hyperlink"/>
          <w:rFonts w:cs="Calibri"/>
        </w:rPr>
      </w:pPr>
      <w:r w:rsidRPr="1FEEB1CC">
        <w:rPr>
          <w:rFonts w:cs="Calibri"/>
        </w:rPr>
        <w:t xml:space="preserve">Feedback and Complaints team via the </w:t>
      </w:r>
      <w:hyperlink r:id="rId30" w:history="1">
        <w:r w:rsidRPr="1FEEB1CC">
          <w:rPr>
            <w:rFonts w:cs="Calibri"/>
          </w:rPr>
          <w:t xml:space="preserve">EDU Online </w:t>
        </w:r>
        <w:r w:rsidRPr="1FEEB1CC">
          <w:rPr>
            <w:rStyle w:val="Hyperlink"/>
            <w:rFonts w:cs="Calibri"/>
          </w:rPr>
          <w:t>Contact Form</w:t>
        </w:r>
      </w:hyperlink>
      <w:r w:rsidRPr="1FEEB1CC">
        <w:rPr>
          <w:rFonts w:cs="Calibri"/>
        </w:rPr>
        <w:t xml:space="preserve"> </w:t>
      </w:r>
    </w:p>
    <w:p w14:paraId="1E84A71C" w14:textId="77777777" w:rsidR="00B7394C" w:rsidRDefault="00B7394C" w:rsidP="00BC1C71">
      <w:pPr>
        <w:pStyle w:val="Policy-BodyText"/>
        <w:numPr>
          <w:ilvl w:val="2"/>
          <w:numId w:val="18"/>
        </w:numPr>
        <w:tabs>
          <w:tab w:val="clear" w:pos="680"/>
          <w:tab w:val="num" w:pos="-153"/>
          <w:tab w:val="num" w:pos="624"/>
        </w:tabs>
        <w:spacing w:line="276" w:lineRule="auto"/>
        <w:ind w:left="1843" w:hanging="709"/>
        <w:rPr>
          <w:rStyle w:val="Hyperlink"/>
          <w:rFonts w:cs="Calibri"/>
        </w:rPr>
      </w:pPr>
      <w:r w:rsidRPr="1FEEB1CC">
        <w:rPr>
          <w:rFonts w:cs="Calibri"/>
        </w:rPr>
        <w:t xml:space="preserve">ACT Ombudsman’s office (02) 6276 3770 or email: </w:t>
      </w:r>
      <w:hyperlink r:id="rId31">
        <w:r w:rsidRPr="1FEEB1CC">
          <w:rPr>
            <w:rStyle w:val="Hyperlink"/>
            <w:rFonts w:cs="Calibri"/>
          </w:rPr>
          <w:t>act@ombudsman.gov.au</w:t>
        </w:r>
      </w:hyperlink>
      <w:r w:rsidRPr="1FEEB1CC">
        <w:rPr>
          <w:rStyle w:val="Hyperlink"/>
          <w:rFonts w:cs="Calibri"/>
        </w:rPr>
        <w:t>.</w:t>
      </w:r>
    </w:p>
    <w:p w14:paraId="620B9B5C" w14:textId="77777777" w:rsidR="00B7394C" w:rsidRDefault="00B7394C" w:rsidP="00B7394C">
      <w:pPr>
        <w:pStyle w:val="Policy-BodyText"/>
        <w:numPr>
          <w:ilvl w:val="0"/>
          <w:numId w:val="0"/>
        </w:numPr>
        <w:spacing w:line="276" w:lineRule="auto"/>
        <w:ind w:left="1560"/>
        <w:rPr>
          <w:rStyle w:val="Hyperlink"/>
          <w:rFonts w:cs="Calibri"/>
        </w:rPr>
      </w:pPr>
    </w:p>
    <w:p w14:paraId="72540F7B" w14:textId="01F096ED" w:rsidR="00B7394C" w:rsidRDefault="00B7394C" w:rsidP="00B7394C">
      <w:pPr>
        <w:pStyle w:val="Policy-BodyText"/>
        <w:tabs>
          <w:tab w:val="clear" w:pos="567"/>
          <w:tab w:val="num" w:pos="7371"/>
        </w:tabs>
        <w:spacing w:after="80" w:line="240" w:lineRule="auto"/>
      </w:pPr>
      <w:r w:rsidRPr="00DF2A40">
        <w:t xml:space="preserve">Principals and Managers must report any reportable conduct allegation or conviction to the People and Performance </w:t>
      </w:r>
      <w:r w:rsidR="00822A3C" w:rsidRPr="00DF2A40">
        <w:t xml:space="preserve">Branch </w:t>
      </w:r>
      <w:r w:rsidR="00822A3C">
        <w:t>as</w:t>
      </w:r>
      <w:r w:rsidRPr="00DF2A40">
        <w:t xml:space="preserve"> soon as possible </w:t>
      </w:r>
      <w:r>
        <w:t xml:space="preserve">after becoming </w:t>
      </w:r>
      <w:r w:rsidRPr="00DF2A40">
        <w:t xml:space="preserve">aware of the allegation or conviction. </w:t>
      </w:r>
    </w:p>
    <w:p w14:paraId="1DE2D394" w14:textId="77777777" w:rsidR="00B7394C" w:rsidRDefault="00B7394C" w:rsidP="00B7394C">
      <w:pPr>
        <w:pStyle w:val="Policy-BodyText"/>
        <w:numPr>
          <w:ilvl w:val="0"/>
          <w:numId w:val="0"/>
        </w:numPr>
        <w:tabs>
          <w:tab w:val="num" w:pos="1077"/>
        </w:tabs>
        <w:ind w:left="1587"/>
      </w:pPr>
    </w:p>
    <w:p w14:paraId="21DB8BD7" w14:textId="77777777" w:rsidR="00B7394C" w:rsidRDefault="00B7394C" w:rsidP="00B7394C">
      <w:pPr>
        <w:pStyle w:val="Policy-BodyText"/>
        <w:tabs>
          <w:tab w:val="clear" w:pos="567"/>
          <w:tab w:val="num" w:pos="7371"/>
        </w:tabs>
        <w:spacing w:after="80" w:line="240" w:lineRule="auto"/>
      </w:pPr>
      <w:r w:rsidRPr="00DF2A40">
        <w:t xml:space="preserve">It is important that Principals and Managers gather and provide relevant information regarding the reportable conduct allegation or conviction to support the Directorate’s process of </w:t>
      </w:r>
      <w:r>
        <w:t xml:space="preserve">initial </w:t>
      </w:r>
      <w:r w:rsidRPr="00DF2A40">
        <w:t>notification to the Ombudsman’s Office.</w:t>
      </w:r>
    </w:p>
    <w:p w14:paraId="083E264F" w14:textId="77777777" w:rsidR="00B7394C" w:rsidRPr="00B7394C" w:rsidRDefault="00B7394C" w:rsidP="00822A3C">
      <w:pPr>
        <w:pStyle w:val="Heading4"/>
      </w:pPr>
      <w:r w:rsidRPr="009C5B90">
        <w:t>Initial Notification to the Ombudsman’s Office</w:t>
      </w:r>
    </w:p>
    <w:p w14:paraId="53505E9E" w14:textId="3B8C1269" w:rsidR="00B7394C" w:rsidRDefault="00B7394C" w:rsidP="00B7394C">
      <w:pPr>
        <w:pStyle w:val="Policy-BodyText"/>
        <w:tabs>
          <w:tab w:val="clear" w:pos="567"/>
          <w:tab w:val="num" w:pos="7371"/>
        </w:tabs>
        <w:spacing w:after="80" w:line="240" w:lineRule="auto"/>
      </w:pPr>
      <w:r>
        <w:t xml:space="preserve">Where a reportable conduct allegation or conviction is received, the People and </w:t>
      </w:r>
      <w:r w:rsidR="00822A3C">
        <w:t>Performance, People</w:t>
      </w:r>
      <w:r>
        <w:t xml:space="preserve"> Cases Team will prepare and submit the s17G Notification to the Ombudsman’s Office </w:t>
      </w:r>
      <w:r w:rsidRPr="5DD4BAD0">
        <w:rPr>
          <w:u w:val="single"/>
        </w:rPr>
        <w:t>as soon as possible and within 30 days</w:t>
      </w:r>
      <w:r>
        <w:t xml:space="preserve"> of becoming aware of the allegation or conviction. </w:t>
      </w:r>
    </w:p>
    <w:p w14:paraId="4D4ABCE6" w14:textId="77777777" w:rsidR="00B7394C" w:rsidRDefault="00B7394C" w:rsidP="00B7394C">
      <w:pPr>
        <w:pStyle w:val="Policy-BodyText"/>
        <w:numPr>
          <w:ilvl w:val="0"/>
          <w:numId w:val="0"/>
        </w:numPr>
        <w:ind w:left="510"/>
      </w:pPr>
    </w:p>
    <w:p w14:paraId="473D93CE" w14:textId="77777777" w:rsidR="00B7394C" w:rsidRDefault="00B7394C" w:rsidP="00B7394C">
      <w:pPr>
        <w:pStyle w:val="Policy-BodyText"/>
        <w:tabs>
          <w:tab w:val="clear" w:pos="567"/>
          <w:tab w:val="num" w:pos="7371"/>
        </w:tabs>
        <w:spacing w:after="80" w:line="240" w:lineRule="auto"/>
      </w:pPr>
      <w:r>
        <w:lastRenderedPageBreak/>
        <w:t xml:space="preserve">In this process, the Principal or Manager will undertake an initial risk assessment, in consultation with the People and Performance People Cases Team, to consider the risks to a child or group of children, the employee, other children, peers, organisational reputation and risks to other investigations, based on the allegation or conviction. </w:t>
      </w:r>
    </w:p>
    <w:p w14:paraId="205C0DEB" w14:textId="77777777" w:rsidR="00B7394C" w:rsidRDefault="00B7394C" w:rsidP="00B7394C">
      <w:pPr>
        <w:pStyle w:val="Policy-BodyText"/>
        <w:numPr>
          <w:ilvl w:val="0"/>
          <w:numId w:val="0"/>
        </w:numPr>
        <w:tabs>
          <w:tab w:val="num" w:pos="1077"/>
        </w:tabs>
        <w:ind w:left="794"/>
      </w:pPr>
    </w:p>
    <w:p w14:paraId="068EC02C" w14:textId="77777777" w:rsidR="00B7394C" w:rsidRDefault="00B7394C" w:rsidP="00B7394C">
      <w:pPr>
        <w:pStyle w:val="Policy-BodyText"/>
        <w:tabs>
          <w:tab w:val="clear" w:pos="567"/>
          <w:tab w:val="num" w:pos="7371"/>
        </w:tabs>
        <w:spacing w:after="80" w:line="240" w:lineRule="auto"/>
      </w:pPr>
      <w:r>
        <w:t xml:space="preserve">The initial risk assessment will be informed by the </w:t>
      </w:r>
      <w:hyperlink r:id="rId32" w:history="1">
        <w:hyperlink r:id="rId33" w:history="1">
          <w:r w:rsidRPr="00255E76">
            <w:rPr>
              <w:rStyle w:val="Hyperlink"/>
            </w:rPr>
            <w:t>ACT Ombudsman Practice Guide No. 3 Risk Management following an allegation of Reportable Conduct against an employee</w:t>
          </w:r>
        </w:hyperlink>
      </w:hyperlink>
      <w:r>
        <w:t xml:space="preserve"> and the document will be provided to the Ombudsman’s Office as part of the notification process. </w:t>
      </w:r>
    </w:p>
    <w:p w14:paraId="1AA9C1ED" w14:textId="77777777" w:rsidR="00B7394C" w:rsidRPr="00B7394C" w:rsidRDefault="00B7394C" w:rsidP="00822A3C">
      <w:pPr>
        <w:pStyle w:val="Heading4"/>
      </w:pPr>
      <w:r w:rsidRPr="0076630B">
        <w:t>Reportable Conduct Inquiry</w:t>
      </w:r>
    </w:p>
    <w:p w14:paraId="7D81637B" w14:textId="77777777" w:rsidR="00B7394C" w:rsidRDefault="00B7394C" w:rsidP="00B7394C">
      <w:pPr>
        <w:pStyle w:val="Policy-BodyText"/>
        <w:tabs>
          <w:tab w:val="clear" w:pos="567"/>
          <w:tab w:val="num" w:pos="7371"/>
        </w:tabs>
        <w:spacing w:after="80" w:line="240" w:lineRule="auto"/>
      </w:pPr>
      <w:r>
        <w:t xml:space="preserve">For the purposes of these procedures, the process by which the Directorate responds to or investigates a reportable conduct allegation or conviction will be referred to as a Reportable Conduct Inquiry (Inquiry). </w:t>
      </w:r>
    </w:p>
    <w:p w14:paraId="67D26356" w14:textId="77777777" w:rsidR="00B7394C" w:rsidRDefault="00B7394C" w:rsidP="00B7394C">
      <w:pPr>
        <w:pStyle w:val="Policy-BodyText"/>
        <w:numPr>
          <w:ilvl w:val="0"/>
          <w:numId w:val="0"/>
        </w:numPr>
        <w:tabs>
          <w:tab w:val="num" w:pos="1077"/>
        </w:tabs>
        <w:ind w:left="794"/>
      </w:pPr>
    </w:p>
    <w:p w14:paraId="0D39CB9D" w14:textId="77777777" w:rsidR="00B7394C" w:rsidRPr="00E73AE1" w:rsidRDefault="00B7394C" w:rsidP="00B7394C">
      <w:pPr>
        <w:pStyle w:val="Policy-BodyText"/>
        <w:tabs>
          <w:tab w:val="clear" w:pos="567"/>
          <w:tab w:val="num" w:pos="7371"/>
        </w:tabs>
        <w:spacing w:after="80" w:line="240" w:lineRule="auto"/>
      </w:pPr>
      <w:r w:rsidRPr="00E73AE1">
        <w:t>The purpose of the Inquiry is to gather or obtain relevant information in relation to the reportable conduct allegation or conviction</w:t>
      </w:r>
      <w:r>
        <w:t>. This</w:t>
      </w:r>
      <w:r w:rsidRPr="00E73AE1">
        <w:t xml:space="preserve"> support</w:t>
      </w:r>
      <w:r>
        <w:t>s</w:t>
      </w:r>
      <w:r w:rsidRPr="00E73AE1">
        <w:t xml:space="preserve"> the Directorate’s responsibility to assess and provide a final finding on the allegation or conviction to the ACT Ombudsman.</w:t>
      </w:r>
    </w:p>
    <w:p w14:paraId="7D44F2B0" w14:textId="77777777" w:rsidR="00B7394C" w:rsidRPr="00E73AE1" w:rsidRDefault="00B7394C" w:rsidP="00B7394C">
      <w:pPr>
        <w:pStyle w:val="Policy-BodyText"/>
        <w:numPr>
          <w:ilvl w:val="0"/>
          <w:numId w:val="0"/>
        </w:numPr>
        <w:tabs>
          <w:tab w:val="num" w:pos="1077"/>
        </w:tabs>
        <w:ind w:left="794"/>
      </w:pPr>
    </w:p>
    <w:p w14:paraId="591F5407" w14:textId="77777777" w:rsidR="00B7394C" w:rsidRPr="00E73AE1" w:rsidRDefault="00B7394C" w:rsidP="00B7394C">
      <w:pPr>
        <w:pStyle w:val="Policy-BodyText"/>
        <w:tabs>
          <w:tab w:val="clear" w:pos="567"/>
          <w:tab w:val="num" w:pos="7371"/>
        </w:tabs>
        <w:spacing w:after="80" w:line="240" w:lineRule="auto"/>
      </w:pPr>
      <w:r w:rsidRPr="00E73AE1">
        <w:t>Principals and Managers can gather information through a review of reports or conducting formal and informal interviews to support their assessment and recommendations in relation to the reportable conduct allegation or conviction.</w:t>
      </w:r>
    </w:p>
    <w:p w14:paraId="21E787C2" w14:textId="77777777" w:rsidR="00B7394C" w:rsidRDefault="00B7394C" w:rsidP="00B7394C">
      <w:pPr>
        <w:pStyle w:val="Policy-BodyText"/>
        <w:numPr>
          <w:ilvl w:val="0"/>
          <w:numId w:val="0"/>
        </w:numPr>
        <w:ind w:left="1134"/>
      </w:pPr>
    </w:p>
    <w:p w14:paraId="4A4FD094" w14:textId="77777777" w:rsidR="00B7394C" w:rsidRDefault="00B7394C" w:rsidP="00B7394C">
      <w:pPr>
        <w:pStyle w:val="Policy-BodyText"/>
        <w:tabs>
          <w:tab w:val="clear" w:pos="567"/>
          <w:tab w:val="num" w:pos="7371"/>
        </w:tabs>
        <w:spacing w:after="80" w:line="259" w:lineRule="auto"/>
      </w:pPr>
      <w:r>
        <w:t xml:space="preserve">Where a reportable conduct allegation or conviction identifies behaviour that is not consistent with the values and general principles set out in the </w:t>
      </w:r>
      <w:r w:rsidRPr="00563B95">
        <w:rPr>
          <w:i/>
        </w:rPr>
        <w:t>Public Sector Management Act 1994</w:t>
      </w:r>
      <w:r w:rsidRPr="00B5244F">
        <w:t xml:space="preserve"> and the ACT Public Service Code of Conduct and Signature Behaviours, the matter may</w:t>
      </w:r>
      <w:r>
        <w:t xml:space="preserve"> also be managed in accordance with the Workplace Values and Behaviours section of ACTPS Enterprise Agreements i.e. preliminary assessment and/or investigation.</w:t>
      </w:r>
    </w:p>
    <w:p w14:paraId="730192F5" w14:textId="77777777" w:rsidR="00B7394C" w:rsidRDefault="00B7394C" w:rsidP="00B7394C">
      <w:pPr>
        <w:pStyle w:val="Policy-BodyText"/>
        <w:numPr>
          <w:ilvl w:val="0"/>
          <w:numId w:val="0"/>
        </w:numPr>
        <w:ind w:left="1134"/>
      </w:pPr>
    </w:p>
    <w:p w14:paraId="1E6FAF00" w14:textId="77777777" w:rsidR="00B7394C" w:rsidRDefault="00B7394C" w:rsidP="00B7394C">
      <w:pPr>
        <w:pStyle w:val="Policy-BodyText"/>
        <w:tabs>
          <w:tab w:val="clear" w:pos="567"/>
          <w:tab w:val="num" w:pos="7371"/>
        </w:tabs>
        <w:spacing w:after="80" w:line="259" w:lineRule="auto"/>
      </w:pPr>
      <w:r>
        <w:t>Where an employee who is subject of a reportable conduct allegation or conviction separates from the Directorate (either resigns, is terminated, or ends the provision of their services in the workplace), the Directorate will continue to undertake the Inquiry.</w:t>
      </w:r>
    </w:p>
    <w:p w14:paraId="3FEBDD0E" w14:textId="77777777" w:rsidR="00B7394C" w:rsidRPr="00B7394C" w:rsidRDefault="00B7394C" w:rsidP="00822A3C">
      <w:pPr>
        <w:pStyle w:val="Heading4"/>
      </w:pPr>
      <w:r w:rsidRPr="001150CB">
        <w:t>Planning and Coordination</w:t>
      </w:r>
    </w:p>
    <w:p w14:paraId="568C485D" w14:textId="77777777" w:rsidR="00B7394C" w:rsidRDefault="00B7394C" w:rsidP="00B7394C">
      <w:pPr>
        <w:pStyle w:val="Policy-BodyText"/>
        <w:tabs>
          <w:tab w:val="clear" w:pos="567"/>
          <w:tab w:val="num" w:pos="7371"/>
        </w:tabs>
        <w:spacing w:after="80" w:line="240" w:lineRule="auto"/>
      </w:pPr>
      <w:r>
        <w:t xml:space="preserve">Following initial report of a reportable conduct allegation or conviction, the Principal or Manager, in consultation with the People and Performance People Cases Team, will plan and coordinate the next actions to be taken to support the Inquiry process. </w:t>
      </w:r>
    </w:p>
    <w:p w14:paraId="5EC0EF4D" w14:textId="77777777" w:rsidR="00B7394C" w:rsidRDefault="00B7394C" w:rsidP="00B7394C">
      <w:pPr>
        <w:pStyle w:val="Policy-BodyText"/>
        <w:numPr>
          <w:ilvl w:val="0"/>
          <w:numId w:val="0"/>
        </w:numPr>
        <w:ind w:left="1134"/>
      </w:pPr>
    </w:p>
    <w:p w14:paraId="2AA93CCF" w14:textId="77777777" w:rsidR="00B7394C" w:rsidRDefault="00B7394C" w:rsidP="00B7394C">
      <w:pPr>
        <w:pStyle w:val="Policy-BodyText"/>
        <w:tabs>
          <w:tab w:val="clear" w:pos="567"/>
          <w:tab w:val="num" w:pos="7371"/>
        </w:tabs>
        <w:spacing w:after="80" w:line="240" w:lineRule="auto"/>
      </w:pPr>
      <w:r>
        <w:t xml:space="preserve">Principals and Managers must consider any actual or perceived </w:t>
      </w:r>
      <w:hyperlink r:id="rId34" w:history="1">
        <w:r w:rsidRPr="00AD25EC">
          <w:rPr>
            <w:rStyle w:val="Hyperlink"/>
          </w:rPr>
          <w:t>conflict of interest</w:t>
        </w:r>
      </w:hyperlink>
      <w:r>
        <w:t>, particularly in relation to the employee or any child/ren involved. Where a conflict of interest or a perceived conflict of interest is identified, steps must be taken to manage these conflicts to ensure the integrity of the Inquiry is maintained.</w:t>
      </w:r>
    </w:p>
    <w:p w14:paraId="398E90E4" w14:textId="77777777" w:rsidR="00B7394C" w:rsidRDefault="00B7394C" w:rsidP="00B7394C">
      <w:pPr>
        <w:pStyle w:val="Policy-BodyText"/>
        <w:numPr>
          <w:ilvl w:val="0"/>
          <w:numId w:val="0"/>
        </w:numPr>
        <w:ind w:left="1134"/>
      </w:pPr>
    </w:p>
    <w:p w14:paraId="2D593D71" w14:textId="77777777" w:rsidR="00B7394C" w:rsidRPr="00635F0C" w:rsidRDefault="00B7394C" w:rsidP="00B7394C">
      <w:pPr>
        <w:pStyle w:val="Policy-BodyText"/>
        <w:tabs>
          <w:tab w:val="clear" w:pos="567"/>
          <w:tab w:val="num" w:pos="7371"/>
        </w:tabs>
        <w:spacing w:after="80" w:line="240" w:lineRule="auto"/>
      </w:pPr>
      <w:r>
        <w:t xml:space="preserve">Planning and coordination should be informed by the </w:t>
      </w:r>
      <w:hyperlink r:id="rId35" w:history="1">
        <w:r w:rsidRPr="002807D6">
          <w:rPr>
            <w:rStyle w:val="Hyperlink"/>
          </w:rPr>
          <w:t>ACT Ombudsman Practice Guide No. 4 Planning and Conducting an Investigation</w:t>
        </w:r>
      </w:hyperlink>
      <w:r>
        <w:t xml:space="preserve"> and will be recorded on the Reportable Conduct Inquiry – Risk Assessment and Planning Document provided at Annex A.</w:t>
      </w:r>
    </w:p>
    <w:p w14:paraId="5DCB0C07" w14:textId="77777777" w:rsidR="00B7394C" w:rsidRPr="00B7394C" w:rsidRDefault="00B7394C" w:rsidP="00822A3C">
      <w:pPr>
        <w:pStyle w:val="Heading4"/>
      </w:pPr>
      <w:r w:rsidRPr="001150CB">
        <w:t>Ongoing Risk Management</w:t>
      </w:r>
    </w:p>
    <w:p w14:paraId="51995C15" w14:textId="77777777" w:rsidR="00B7394C" w:rsidRPr="00B5244F" w:rsidRDefault="00B7394C" w:rsidP="00B7394C">
      <w:pPr>
        <w:pStyle w:val="Policy-BodyText"/>
        <w:tabs>
          <w:tab w:val="clear" w:pos="567"/>
          <w:tab w:val="num" w:pos="7371"/>
        </w:tabs>
        <w:spacing w:after="80" w:line="240" w:lineRule="auto"/>
      </w:pPr>
      <w:r>
        <w:t xml:space="preserve">The Principal or Manager, in consultation with the People and Performance People Cases Team, will identify, record and manage any new risks that emerge as information is gathered throughout the Inquiry. Ongoing risk management will ensure that appropriate supports are provided for the child/ren and employee who are the subject of the allegation or conviction and any other relevant parties. </w:t>
      </w:r>
    </w:p>
    <w:p w14:paraId="036E6EEB" w14:textId="77777777" w:rsidR="00B7394C" w:rsidRPr="00B5244F" w:rsidRDefault="00B7394C" w:rsidP="00B7394C">
      <w:pPr>
        <w:pStyle w:val="Policy-BodyText"/>
        <w:numPr>
          <w:ilvl w:val="0"/>
          <w:numId w:val="0"/>
        </w:numPr>
        <w:ind w:left="1134"/>
      </w:pPr>
    </w:p>
    <w:p w14:paraId="3EA1E651" w14:textId="77777777" w:rsidR="00B7394C" w:rsidRPr="00B5244F" w:rsidRDefault="00B7394C" w:rsidP="00B7394C">
      <w:pPr>
        <w:pStyle w:val="Policy-BodyText"/>
        <w:tabs>
          <w:tab w:val="clear" w:pos="567"/>
          <w:tab w:val="num" w:pos="7371"/>
        </w:tabs>
        <w:spacing w:after="80" w:line="259" w:lineRule="auto"/>
      </w:pPr>
      <w:r>
        <w:t xml:space="preserve">In undertaking risk assessments, the Principal or Manager will also consult with the employee who is subject of the allegation or conviction or others, as appropriate. </w:t>
      </w:r>
    </w:p>
    <w:p w14:paraId="640D8D10" w14:textId="77777777" w:rsidR="00B7394C" w:rsidRPr="00B5244F" w:rsidRDefault="00B7394C" w:rsidP="00B7394C">
      <w:pPr>
        <w:pStyle w:val="Policy-BodyText"/>
        <w:numPr>
          <w:ilvl w:val="0"/>
          <w:numId w:val="0"/>
        </w:numPr>
        <w:ind w:left="1134"/>
      </w:pPr>
    </w:p>
    <w:p w14:paraId="76E97E45" w14:textId="77777777" w:rsidR="00B7394C" w:rsidRPr="00B5244F" w:rsidRDefault="00B7394C" w:rsidP="00B7394C">
      <w:pPr>
        <w:pStyle w:val="Policy-BodyText"/>
        <w:tabs>
          <w:tab w:val="clear" w:pos="567"/>
          <w:tab w:val="num" w:pos="7371"/>
        </w:tabs>
        <w:spacing w:after="80" w:line="240" w:lineRule="auto"/>
      </w:pPr>
      <w:r>
        <w:t xml:space="preserve">Ongoing risk assessment should be informed by the </w:t>
      </w:r>
      <w:hyperlink r:id="rId36" w:history="1">
        <w:hyperlink r:id="rId37" w:history="1">
          <w:hyperlink r:id="rId38" w:history="1">
            <w:r w:rsidRPr="002807D6">
              <w:rPr>
                <w:rStyle w:val="Hyperlink"/>
              </w:rPr>
              <w:t>ACT Ombudsman Practice Guide No. 3 Risk Management following an allegation of Reportable Conduct against an employee</w:t>
            </w:r>
          </w:hyperlink>
        </w:hyperlink>
      </w:hyperlink>
      <w:r>
        <w:t xml:space="preserve"> and will be recorded on the Reportable Conduct Inquiry – Risk Assessment and Planning Document provided at Annex A.</w:t>
      </w:r>
    </w:p>
    <w:p w14:paraId="277198DF" w14:textId="77777777" w:rsidR="00B7394C" w:rsidRPr="00B7394C" w:rsidRDefault="00B7394C" w:rsidP="00822A3C">
      <w:pPr>
        <w:pStyle w:val="Heading4"/>
      </w:pPr>
      <w:r w:rsidRPr="009576E1">
        <w:t xml:space="preserve">Procedural Fairness </w:t>
      </w:r>
    </w:p>
    <w:p w14:paraId="4C026E04" w14:textId="77777777" w:rsidR="00B7394C" w:rsidRDefault="00B7394C" w:rsidP="00B7394C">
      <w:pPr>
        <w:pStyle w:val="Policy-BodyText"/>
        <w:tabs>
          <w:tab w:val="clear" w:pos="567"/>
          <w:tab w:val="num" w:pos="7371"/>
        </w:tabs>
        <w:spacing w:after="80" w:line="240" w:lineRule="auto"/>
      </w:pPr>
      <w:r>
        <w:t xml:space="preserve">The Inquiry will be undertaken giving due consideration to the requirements of procedural fairness. </w:t>
      </w:r>
    </w:p>
    <w:p w14:paraId="1443627A" w14:textId="77777777" w:rsidR="00B7394C" w:rsidRPr="009576E1" w:rsidRDefault="00B7394C" w:rsidP="00B7394C">
      <w:pPr>
        <w:pStyle w:val="Policy-BodyText"/>
        <w:numPr>
          <w:ilvl w:val="0"/>
          <w:numId w:val="0"/>
        </w:numPr>
        <w:tabs>
          <w:tab w:val="num" w:pos="7371"/>
        </w:tabs>
        <w:ind w:left="1134"/>
      </w:pPr>
    </w:p>
    <w:p w14:paraId="78259FAF" w14:textId="77777777" w:rsidR="00B7394C" w:rsidRPr="009576E1" w:rsidRDefault="00B7394C" w:rsidP="00B7394C">
      <w:pPr>
        <w:pStyle w:val="Policy-BodyText"/>
        <w:tabs>
          <w:tab w:val="clear" w:pos="567"/>
          <w:tab w:val="num" w:pos="7371"/>
        </w:tabs>
        <w:spacing w:after="80" w:line="240" w:lineRule="auto"/>
      </w:pPr>
      <w:r>
        <w:t xml:space="preserve">Procedural fairness is a legal principle that ensures fair decision-making, and includes an opportunity for the employee to respond to the allegation/s. </w:t>
      </w:r>
    </w:p>
    <w:p w14:paraId="566BF3B6" w14:textId="77777777" w:rsidR="00B7394C" w:rsidRPr="009576E1" w:rsidRDefault="00B7394C" w:rsidP="00B7394C">
      <w:pPr>
        <w:pStyle w:val="Policy-BodyText"/>
        <w:numPr>
          <w:ilvl w:val="0"/>
          <w:numId w:val="0"/>
        </w:numPr>
      </w:pPr>
    </w:p>
    <w:p w14:paraId="06715FC4" w14:textId="77777777" w:rsidR="00B7394C" w:rsidRPr="009576E1" w:rsidRDefault="00B7394C" w:rsidP="00B7394C">
      <w:pPr>
        <w:pStyle w:val="Policy-BodyText"/>
        <w:tabs>
          <w:tab w:val="clear" w:pos="567"/>
          <w:tab w:val="num" w:pos="7371"/>
        </w:tabs>
        <w:spacing w:after="240" w:line="240" w:lineRule="auto"/>
      </w:pPr>
      <w:r>
        <w:t>Generally, procedural fairness requires decisions to be consistent with the:</w:t>
      </w:r>
    </w:p>
    <w:p w14:paraId="4673A317" w14:textId="77777777" w:rsidR="00B7394C" w:rsidRPr="009576E1" w:rsidRDefault="00B7394C" w:rsidP="00BC1C71">
      <w:pPr>
        <w:pStyle w:val="Policy-BodyText"/>
        <w:numPr>
          <w:ilvl w:val="2"/>
          <w:numId w:val="18"/>
        </w:numPr>
        <w:tabs>
          <w:tab w:val="clear" w:pos="680"/>
          <w:tab w:val="num" w:pos="624"/>
          <w:tab w:val="num" w:pos="794"/>
        </w:tabs>
        <w:spacing w:line="276" w:lineRule="auto"/>
        <w:ind w:left="1843" w:hanging="709"/>
        <w:rPr>
          <w:rFonts w:cs="Calibri"/>
        </w:rPr>
      </w:pPr>
      <w:r w:rsidRPr="0CAB1785">
        <w:rPr>
          <w:rFonts w:cs="Calibri"/>
        </w:rPr>
        <w:t>bias rule – free from bias or apprehended bias by the decision maker,</w:t>
      </w:r>
    </w:p>
    <w:p w14:paraId="5D448EBB" w14:textId="77777777" w:rsidR="00B7394C" w:rsidRPr="009576E1" w:rsidRDefault="00B7394C" w:rsidP="00BC1C71">
      <w:pPr>
        <w:pStyle w:val="Policy-BodyText"/>
        <w:numPr>
          <w:ilvl w:val="2"/>
          <w:numId w:val="18"/>
        </w:numPr>
        <w:tabs>
          <w:tab w:val="clear" w:pos="680"/>
          <w:tab w:val="num" w:pos="624"/>
          <w:tab w:val="num" w:pos="794"/>
        </w:tabs>
        <w:spacing w:line="276" w:lineRule="auto"/>
        <w:ind w:left="1843" w:hanging="709"/>
        <w:rPr>
          <w:rFonts w:cs="Calibri"/>
        </w:rPr>
      </w:pPr>
      <w:r w:rsidRPr="0CAB1785">
        <w:rPr>
          <w:rFonts w:cs="Calibri"/>
        </w:rPr>
        <w:t>evidence rule – rational or based on evidence that is logically capable of supporting the facts,</w:t>
      </w:r>
    </w:p>
    <w:p w14:paraId="2A2492EC" w14:textId="2A7B1F85" w:rsidR="00B7394C" w:rsidRPr="009576E1" w:rsidRDefault="00B7394C" w:rsidP="00BC1C71">
      <w:pPr>
        <w:pStyle w:val="Policy-BodyText"/>
        <w:numPr>
          <w:ilvl w:val="2"/>
          <w:numId w:val="18"/>
        </w:numPr>
        <w:tabs>
          <w:tab w:val="clear" w:pos="680"/>
          <w:tab w:val="num" w:pos="624"/>
          <w:tab w:val="num" w:pos="794"/>
        </w:tabs>
        <w:spacing w:line="276" w:lineRule="auto"/>
        <w:ind w:left="1843" w:hanging="709"/>
        <w:rPr>
          <w:rFonts w:cs="Calibri"/>
        </w:rPr>
      </w:pPr>
      <w:r w:rsidRPr="0CAB1785">
        <w:rPr>
          <w:rFonts w:cs="Calibri"/>
        </w:rPr>
        <w:t>hearing rule – provide people likely to be adversely affected by decisions an opportunity to a) present their case and b) have their response taken into consideration before a decision is made.</w:t>
      </w:r>
      <w:r w:rsidR="00606F70">
        <w:rPr>
          <w:rFonts w:cs="Calibri"/>
        </w:rPr>
        <w:br/>
      </w:r>
    </w:p>
    <w:p w14:paraId="25211ACE" w14:textId="77777777" w:rsidR="00B7394C" w:rsidRPr="009576E1" w:rsidRDefault="00B7394C" w:rsidP="00B7394C">
      <w:pPr>
        <w:pStyle w:val="Policy-BodyText"/>
        <w:tabs>
          <w:tab w:val="clear" w:pos="567"/>
          <w:tab w:val="num" w:pos="7371"/>
        </w:tabs>
        <w:spacing w:after="80" w:line="240" w:lineRule="auto"/>
      </w:pPr>
      <w:r>
        <w:t>In making a decision in any disciplinary or administrative action, all relevant information must be taken into account.</w:t>
      </w:r>
    </w:p>
    <w:p w14:paraId="020E1759" w14:textId="77777777" w:rsidR="00B7394C" w:rsidRPr="00B5244F" w:rsidRDefault="00B7394C" w:rsidP="00B7394C">
      <w:pPr>
        <w:pStyle w:val="Policy-BodyText"/>
        <w:numPr>
          <w:ilvl w:val="0"/>
          <w:numId w:val="0"/>
        </w:numPr>
        <w:ind w:left="1134"/>
      </w:pPr>
    </w:p>
    <w:p w14:paraId="71A261E2" w14:textId="77777777" w:rsidR="00B7394C" w:rsidRDefault="00B7394C" w:rsidP="00B7394C">
      <w:pPr>
        <w:pStyle w:val="Policy-BodyText"/>
        <w:tabs>
          <w:tab w:val="clear" w:pos="567"/>
          <w:tab w:val="num" w:pos="7371"/>
        </w:tabs>
        <w:spacing w:after="80" w:line="259" w:lineRule="auto"/>
      </w:pPr>
      <w:r>
        <w:t>Principals and Managers must ensure that they remain objective and unbiased in their actions and decision-making to ensure child safety. It also their responsibility to ensure a safe workplace environment for the employee who is subject of an allegation and to handle the matter with sensitivity and maintain confidentiality.</w:t>
      </w:r>
    </w:p>
    <w:p w14:paraId="7D920FEA" w14:textId="77777777" w:rsidR="00B7394C" w:rsidRDefault="00B7394C" w:rsidP="00B7394C">
      <w:pPr>
        <w:pStyle w:val="Policy-BodyText"/>
        <w:numPr>
          <w:ilvl w:val="0"/>
          <w:numId w:val="0"/>
        </w:numPr>
        <w:ind w:left="1134"/>
      </w:pPr>
    </w:p>
    <w:p w14:paraId="3A8A2C1C" w14:textId="51E150B3" w:rsidR="00B7394C" w:rsidRDefault="00B7394C" w:rsidP="008B10B6">
      <w:pPr>
        <w:pStyle w:val="Policy-BodyText"/>
        <w:tabs>
          <w:tab w:val="clear" w:pos="567"/>
          <w:tab w:val="num" w:pos="1077"/>
          <w:tab w:val="num" w:pos="7371"/>
        </w:tabs>
        <w:spacing w:after="80" w:line="240" w:lineRule="auto"/>
      </w:pPr>
      <w:r>
        <w:t xml:space="preserve">Procedural Fairness within the Inquiry should be informed by the </w:t>
      </w:r>
      <w:hyperlink r:id="rId39" w:history="1">
        <w:r w:rsidRPr="00A75B4F">
          <w:rPr>
            <w:rStyle w:val="Hyperlink"/>
          </w:rPr>
          <w:t>ACT Ombudsman Practice Guide No. 4 Planning and Conducting an Investigation.</w:t>
        </w:r>
      </w:hyperlink>
    </w:p>
    <w:p w14:paraId="61CAF19B" w14:textId="77777777" w:rsidR="00B7394C" w:rsidRPr="001150CB" w:rsidRDefault="00B7394C" w:rsidP="00822A3C">
      <w:pPr>
        <w:pStyle w:val="Heading4"/>
      </w:pPr>
      <w:r w:rsidRPr="001150CB">
        <w:t xml:space="preserve">Employee who is Subject </w:t>
      </w:r>
      <w:r>
        <w:t>of</w:t>
      </w:r>
      <w:r w:rsidRPr="001150CB">
        <w:t xml:space="preserve"> an Allegation </w:t>
      </w:r>
    </w:p>
    <w:p w14:paraId="41A3B36E" w14:textId="77777777" w:rsidR="00B7394C" w:rsidRDefault="00B7394C" w:rsidP="00B7394C">
      <w:pPr>
        <w:pStyle w:val="Policy-BodyText"/>
        <w:tabs>
          <w:tab w:val="clear" w:pos="567"/>
          <w:tab w:val="num" w:pos="7371"/>
        </w:tabs>
        <w:spacing w:after="80" w:line="240" w:lineRule="auto"/>
      </w:pPr>
      <w:r>
        <w:t xml:space="preserve">The Inquiry process provides an employee, who is subject of a reportable conduct allegation or conviction, with the opportunity to fully respond to any allegation made against them. </w:t>
      </w:r>
    </w:p>
    <w:p w14:paraId="402760EC" w14:textId="77777777" w:rsidR="00B7394C" w:rsidRDefault="00B7394C" w:rsidP="00B7394C">
      <w:pPr>
        <w:pStyle w:val="Policy-BodyText"/>
        <w:numPr>
          <w:ilvl w:val="0"/>
          <w:numId w:val="0"/>
        </w:numPr>
        <w:ind w:left="1134"/>
      </w:pPr>
    </w:p>
    <w:p w14:paraId="41BE0F08" w14:textId="77777777" w:rsidR="00B7394C" w:rsidRDefault="00B7394C" w:rsidP="00B7394C">
      <w:pPr>
        <w:pStyle w:val="Policy-BodyText"/>
        <w:tabs>
          <w:tab w:val="clear" w:pos="567"/>
          <w:tab w:val="num" w:pos="7371"/>
        </w:tabs>
        <w:spacing w:after="80" w:line="240" w:lineRule="auto"/>
      </w:pPr>
      <w:r>
        <w:t xml:space="preserve">The employee should follow all directions from the Principal or Manager or other Directorate delegate in relation to the matter and should not attempt to resolve the matter or contact the complainant. </w:t>
      </w:r>
    </w:p>
    <w:p w14:paraId="335382D2" w14:textId="77777777" w:rsidR="00B7394C" w:rsidRDefault="00B7394C" w:rsidP="00B7394C">
      <w:pPr>
        <w:pStyle w:val="Policy-BodyText"/>
        <w:numPr>
          <w:ilvl w:val="0"/>
          <w:numId w:val="0"/>
        </w:numPr>
        <w:ind w:left="1134"/>
      </w:pPr>
    </w:p>
    <w:p w14:paraId="25CE6EC2" w14:textId="77777777" w:rsidR="00B7394C" w:rsidRDefault="00B7394C" w:rsidP="00B7394C">
      <w:pPr>
        <w:pStyle w:val="Policy-BodyText"/>
        <w:tabs>
          <w:tab w:val="clear" w:pos="567"/>
          <w:tab w:val="num" w:pos="7371"/>
        </w:tabs>
        <w:spacing w:after="80" w:line="240" w:lineRule="auto"/>
      </w:pPr>
      <w:r>
        <w:t xml:space="preserve">The employee is entitled to bring a support person or employee representative to any meeting related to the matter and should be given the opportunity to do so. </w:t>
      </w:r>
    </w:p>
    <w:p w14:paraId="7B7BD25A" w14:textId="77777777" w:rsidR="00B7394C" w:rsidRPr="009556E8" w:rsidRDefault="00B7394C" w:rsidP="00B7394C">
      <w:pPr>
        <w:pStyle w:val="Policy-BodyText"/>
        <w:numPr>
          <w:ilvl w:val="0"/>
          <w:numId w:val="0"/>
        </w:numPr>
        <w:ind w:left="1134"/>
      </w:pPr>
    </w:p>
    <w:p w14:paraId="5841CAA5" w14:textId="77777777" w:rsidR="00B7394C" w:rsidRDefault="00B7394C" w:rsidP="00B7394C">
      <w:pPr>
        <w:pStyle w:val="Policy-BodyText"/>
        <w:tabs>
          <w:tab w:val="clear" w:pos="567"/>
          <w:tab w:val="num" w:pos="7371"/>
        </w:tabs>
        <w:spacing w:after="80" w:line="240" w:lineRule="auto"/>
      </w:pPr>
      <w:r>
        <w:t xml:space="preserve">As part of ongoing risk management, adjustments to the employee’s work arrangements may be necessary while the Inquiry is being undertaken. Where it has been determined that an adjustment to work arrangements are required, Principals and Managers should consult with the employee prior to implementing required adjustments. </w:t>
      </w:r>
    </w:p>
    <w:p w14:paraId="6F07F0D5" w14:textId="77777777" w:rsidR="00B7394C" w:rsidRDefault="00B7394C" w:rsidP="00B7394C">
      <w:pPr>
        <w:pStyle w:val="Policy-BodyText"/>
        <w:numPr>
          <w:ilvl w:val="0"/>
          <w:numId w:val="0"/>
        </w:numPr>
        <w:ind w:left="1134"/>
      </w:pPr>
    </w:p>
    <w:p w14:paraId="1EAF13DE" w14:textId="77777777" w:rsidR="00B7394C" w:rsidRDefault="00B7394C" w:rsidP="00B7394C">
      <w:pPr>
        <w:pStyle w:val="Policy-BodyText"/>
        <w:tabs>
          <w:tab w:val="clear" w:pos="567"/>
          <w:tab w:val="num" w:pos="7371"/>
        </w:tabs>
        <w:spacing w:after="80" w:line="240" w:lineRule="auto"/>
      </w:pPr>
      <w:r>
        <w:t xml:space="preserve">Employees should discuss or raise any issues or challenges in undertaking their duties while the Inquiry is underway to ensure effective supports can be facilitated, if required. </w:t>
      </w:r>
    </w:p>
    <w:p w14:paraId="3D99E21F" w14:textId="77777777" w:rsidR="00B7394C" w:rsidRDefault="00B7394C" w:rsidP="00B7394C">
      <w:pPr>
        <w:pStyle w:val="Policy-BodyText"/>
        <w:numPr>
          <w:ilvl w:val="0"/>
          <w:numId w:val="0"/>
        </w:numPr>
        <w:ind w:left="1134"/>
      </w:pPr>
    </w:p>
    <w:p w14:paraId="50DAFE95" w14:textId="25C87F0E" w:rsidR="00B7394C" w:rsidRDefault="00B7394C" w:rsidP="00822A3C">
      <w:pPr>
        <w:pStyle w:val="Policy-BodyText"/>
        <w:tabs>
          <w:tab w:val="clear" w:pos="567"/>
          <w:tab w:val="num" w:pos="7371"/>
        </w:tabs>
        <w:spacing w:after="80" w:line="240" w:lineRule="auto"/>
      </w:pPr>
      <w:r>
        <w:t xml:space="preserve">Employees can also access the </w:t>
      </w:r>
      <w:hyperlink r:id="rId40">
        <w:r>
          <w:t>Employee Assistance Program</w:t>
        </w:r>
      </w:hyperlink>
      <w:r>
        <w:t xml:space="preserve"> (EAP), which is a free and confidential counselling service that is available to them and their family members. </w:t>
      </w:r>
    </w:p>
    <w:p w14:paraId="7C6579E2" w14:textId="77777777" w:rsidR="00B7394C" w:rsidRPr="00B7394C" w:rsidRDefault="00B7394C" w:rsidP="00822A3C">
      <w:pPr>
        <w:pStyle w:val="Heading4"/>
      </w:pPr>
      <w:r w:rsidRPr="001150CB">
        <w:t>Final Report to the ACT Ombudsman</w:t>
      </w:r>
    </w:p>
    <w:p w14:paraId="5C01D88C" w14:textId="77777777" w:rsidR="00B7394C" w:rsidRDefault="00B7394C" w:rsidP="00B7394C">
      <w:pPr>
        <w:pStyle w:val="Policy-BodyText"/>
        <w:tabs>
          <w:tab w:val="clear" w:pos="567"/>
          <w:tab w:val="num" w:pos="7371"/>
        </w:tabs>
        <w:spacing w:after="80" w:line="240" w:lineRule="auto"/>
      </w:pPr>
      <w:r>
        <w:t>At the conclusion of the Inquiry, the Directorate will assess the strength and weight of the evidence, and make findings based on the ‘balance of probabilities’ whether reportable conduct occurred or not. The Directorate will make a finding against each allegation or conviction and submit the s17J Final Report to the ACT Ombudsman.</w:t>
      </w:r>
    </w:p>
    <w:p w14:paraId="4DDD6008" w14:textId="77777777" w:rsidR="00B7394C" w:rsidRDefault="00B7394C" w:rsidP="00B7394C">
      <w:pPr>
        <w:pStyle w:val="Policy-BodyText"/>
        <w:numPr>
          <w:ilvl w:val="0"/>
          <w:numId w:val="0"/>
        </w:numPr>
        <w:ind w:left="1134"/>
      </w:pPr>
    </w:p>
    <w:p w14:paraId="40B9DF55" w14:textId="56DA70C5" w:rsidR="00B7394C" w:rsidRDefault="00B7394C" w:rsidP="00B7394C">
      <w:pPr>
        <w:pStyle w:val="Policy-BodyText"/>
        <w:tabs>
          <w:tab w:val="clear" w:pos="567"/>
          <w:tab w:val="num" w:pos="7371"/>
        </w:tabs>
        <w:spacing w:after="80" w:line="240" w:lineRule="auto"/>
      </w:pPr>
      <w:r>
        <w:t xml:space="preserve">Where a matter is also subject to a misconduct investigation under the Workplace Values and Behaviours section of ACTPS Enterprise Agreements, the </w:t>
      </w:r>
      <w:hyperlink r:id="rId41">
        <w:r>
          <w:t>s17J Final Report</w:t>
        </w:r>
      </w:hyperlink>
      <w:r>
        <w:t xml:space="preserve"> may not be provided to the ACT Ombudsman until the conclusion of the matter. The People and Performance</w:t>
      </w:r>
      <w:r w:rsidR="00822A3C">
        <w:t xml:space="preserve">, </w:t>
      </w:r>
      <w:r>
        <w:t>People Cases Team will provide progress updates to the Ombudsman’s Office throughout the course of these matters.</w:t>
      </w:r>
    </w:p>
    <w:p w14:paraId="35B9A435" w14:textId="77777777" w:rsidR="00B7394C" w:rsidRDefault="00B7394C" w:rsidP="00B7394C">
      <w:pPr>
        <w:pStyle w:val="Policy-BodyText"/>
        <w:numPr>
          <w:ilvl w:val="0"/>
          <w:numId w:val="0"/>
        </w:numPr>
        <w:ind w:left="1134"/>
      </w:pPr>
    </w:p>
    <w:p w14:paraId="21D4FF0A" w14:textId="7ECA9E10" w:rsidR="00B7394C" w:rsidRPr="00822A3C" w:rsidRDefault="00B7394C" w:rsidP="00BC1C71">
      <w:pPr>
        <w:pStyle w:val="Policy-BodyText"/>
        <w:numPr>
          <w:ilvl w:val="1"/>
          <w:numId w:val="18"/>
        </w:numPr>
        <w:tabs>
          <w:tab w:val="clear" w:pos="567"/>
          <w:tab w:val="num" w:pos="7371"/>
        </w:tabs>
        <w:spacing w:after="80" w:line="240" w:lineRule="auto"/>
      </w:pPr>
      <w:r>
        <w:t xml:space="preserve">The Final Report should be informed by the </w:t>
      </w:r>
      <w:hyperlink r:id="rId42" w:history="1">
        <w:r w:rsidRPr="00685593">
          <w:rPr>
            <w:rStyle w:val="Hyperlink"/>
          </w:rPr>
          <w:t>ACT Ombudsman Practice Guide No. 6 Making a finding of Reportable Conduct</w:t>
        </w:r>
      </w:hyperlink>
      <w:r>
        <w:t xml:space="preserve">. </w:t>
      </w:r>
    </w:p>
    <w:p w14:paraId="0348D896" w14:textId="77777777" w:rsidR="00B7394C" w:rsidRPr="00B7394C" w:rsidRDefault="00B7394C" w:rsidP="00822A3C">
      <w:pPr>
        <w:pStyle w:val="Heading4"/>
      </w:pPr>
      <w:r w:rsidRPr="00CD726F">
        <w:lastRenderedPageBreak/>
        <w:t>Information Sharing</w:t>
      </w:r>
    </w:p>
    <w:p w14:paraId="1836BA45" w14:textId="48F129C6" w:rsidR="00B7394C" w:rsidRPr="00B7394C" w:rsidRDefault="00B7394C" w:rsidP="00B7394C">
      <w:pPr>
        <w:pStyle w:val="Policy-BodyText"/>
        <w:tabs>
          <w:tab w:val="clear" w:pos="567"/>
          <w:tab w:val="num" w:pos="7371"/>
        </w:tabs>
        <w:spacing w:after="80" w:line="240" w:lineRule="auto"/>
      </w:pPr>
      <w:r>
        <w:t xml:space="preserve">The Directorate, in accordance with the </w:t>
      </w:r>
      <w:hyperlink r:id="rId43" w:history="1">
        <w:r w:rsidRPr="00822A3C">
          <w:rPr>
            <w:rStyle w:val="Hyperlink"/>
            <w:i/>
            <w:iCs/>
          </w:rPr>
          <w:t>Children and Young People Act 2008</w:t>
        </w:r>
      </w:hyperlink>
      <w:r>
        <w:t xml:space="preserve">, will share reportable conduct information to other child safety entities or designated entities, either upon request by the entity or on the Directorate’s own initiative for the safety, welfare or wellbeing of a child, young person or class of child or young person. </w:t>
      </w:r>
    </w:p>
    <w:p w14:paraId="6052BD67" w14:textId="784F9721" w:rsidR="00B7394C" w:rsidRPr="00B7394C" w:rsidRDefault="00B7394C" w:rsidP="00B7394C">
      <w:pPr>
        <w:pStyle w:val="Heading3"/>
      </w:pPr>
      <w:bookmarkStart w:id="19" w:name="_Toc181350657"/>
      <w:r>
        <w:t>Contact</w:t>
      </w:r>
      <w:bookmarkEnd w:id="19"/>
      <w:r>
        <w:t xml:space="preserve"> </w:t>
      </w:r>
    </w:p>
    <w:p w14:paraId="3C998C80" w14:textId="77777777" w:rsidR="00813350" w:rsidRPr="00813350" w:rsidRDefault="00813350" w:rsidP="00BC1C71">
      <w:pPr>
        <w:pStyle w:val="ListParagraph"/>
        <w:numPr>
          <w:ilvl w:val="0"/>
          <w:numId w:val="18"/>
        </w:numPr>
        <w:spacing w:before="120" w:after="0" w:line="240" w:lineRule="auto"/>
        <w:contextualSpacing w:val="0"/>
        <w:outlineLvl w:val="1"/>
        <w:rPr>
          <w:rFonts w:cs="Calibri"/>
          <w:b/>
          <w:bCs/>
          <w:vanish/>
          <w:sz w:val="24"/>
          <w:szCs w:val="22"/>
        </w:rPr>
      </w:pPr>
      <w:bookmarkStart w:id="20" w:name="_Toc181350658"/>
      <w:bookmarkStart w:id="21" w:name="_Toc419889962"/>
      <w:bookmarkStart w:id="22" w:name="_Toc169530496"/>
      <w:bookmarkEnd w:id="20"/>
    </w:p>
    <w:p w14:paraId="780626C1" w14:textId="5AD51BD4" w:rsidR="00813350" w:rsidRDefault="00813350" w:rsidP="00813350">
      <w:pPr>
        <w:pStyle w:val="NumberedBodyText"/>
        <w:rPr>
          <w:sz w:val="24"/>
          <w:szCs w:val="24"/>
        </w:rPr>
      </w:pPr>
      <w:r w:rsidRPr="00813350">
        <w:rPr>
          <w:sz w:val="24"/>
          <w:szCs w:val="24"/>
        </w:rPr>
        <w:t>The Executive Branch Manager, People and Performance Branch is responsible for this procedure.</w:t>
      </w:r>
    </w:p>
    <w:p w14:paraId="3B273CBE" w14:textId="77777777" w:rsidR="00813350" w:rsidRPr="00813350" w:rsidRDefault="00813350" w:rsidP="00813350">
      <w:pPr>
        <w:pStyle w:val="NumberedBodyText"/>
        <w:numPr>
          <w:ilvl w:val="0"/>
          <w:numId w:val="0"/>
        </w:numPr>
        <w:ind w:left="851"/>
        <w:rPr>
          <w:sz w:val="24"/>
          <w:szCs w:val="24"/>
        </w:rPr>
      </w:pPr>
    </w:p>
    <w:p w14:paraId="4FB1300A" w14:textId="77777777" w:rsidR="00813350" w:rsidRPr="00813350" w:rsidRDefault="00813350" w:rsidP="00813350">
      <w:pPr>
        <w:pStyle w:val="NumberedBodyText"/>
        <w:rPr>
          <w:rStyle w:val="Hyperlink"/>
          <w:sz w:val="24"/>
          <w:szCs w:val="24"/>
        </w:rPr>
      </w:pPr>
      <w:r w:rsidRPr="00813350">
        <w:rPr>
          <w:sz w:val="24"/>
          <w:szCs w:val="24"/>
        </w:rPr>
        <w:t xml:space="preserve">For support in applying these procedures please contact the People and Performance Branch, People Cases Team via </w:t>
      </w:r>
      <w:hyperlink r:id="rId44" w:history="1">
        <w:r w:rsidRPr="00813350">
          <w:rPr>
            <w:rStyle w:val="Hyperlink"/>
            <w:rFonts w:cs="Calibri"/>
            <w:sz w:val="24"/>
            <w:szCs w:val="24"/>
          </w:rPr>
          <w:t>edu.peoplecases@act.gov.au</w:t>
        </w:r>
      </w:hyperlink>
    </w:p>
    <w:p w14:paraId="5AD0C8E5" w14:textId="77777777" w:rsidR="00842EDC" w:rsidRPr="00A72DE0" w:rsidRDefault="00842EDC" w:rsidP="00842EDC">
      <w:pPr>
        <w:pStyle w:val="Heading3"/>
      </w:pPr>
      <w:bookmarkStart w:id="23" w:name="_Toc181350659"/>
      <w:r w:rsidRPr="00A72DE0">
        <w:t>Feedback</w:t>
      </w:r>
      <w:bookmarkEnd w:id="21"/>
      <w:bookmarkEnd w:id="22"/>
      <w:bookmarkEnd w:id="23"/>
    </w:p>
    <w:p w14:paraId="70DA17F0" w14:textId="77777777" w:rsidR="00813350" w:rsidRPr="00813350" w:rsidRDefault="00813350" w:rsidP="00BC1C71">
      <w:pPr>
        <w:pStyle w:val="ListParagraph"/>
        <w:numPr>
          <w:ilvl w:val="0"/>
          <w:numId w:val="21"/>
        </w:numPr>
        <w:spacing w:before="120" w:after="0" w:line="240" w:lineRule="auto"/>
        <w:contextualSpacing w:val="0"/>
        <w:outlineLvl w:val="1"/>
        <w:rPr>
          <w:rFonts w:cs="Calibri"/>
          <w:b/>
          <w:bCs/>
          <w:vanish/>
          <w:sz w:val="24"/>
          <w:szCs w:val="22"/>
        </w:rPr>
      </w:pPr>
      <w:bookmarkStart w:id="24" w:name="_Toc181350660"/>
      <w:bookmarkEnd w:id="24"/>
    </w:p>
    <w:p w14:paraId="03572B16" w14:textId="77777777" w:rsidR="00813350" w:rsidRPr="00813350" w:rsidRDefault="00813350" w:rsidP="00BC1C71">
      <w:pPr>
        <w:pStyle w:val="ListParagraph"/>
        <w:numPr>
          <w:ilvl w:val="0"/>
          <w:numId w:val="21"/>
        </w:numPr>
        <w:spacing w:before="120" w:after="0" w:line="240" w:lineRule="auto"/>
        <w:contextualSpacing w:val="0"/>
        <w:outlineLvl w:val="1"/>
        <w:rPr>
          <w:rFonts w:cs="Calibri"/>
          <w:b/>
          <w:bCs/>
          <w:vanish/>
          <w:sz w:val="24"/>
          <w:szCs w:val="22"/>
        </w:rPr>
      </w:pPr>
      <w:bookmarkStart w:id="25" w:name="_Toc181350661"/>
      <w:bookmarkEnd w:id="25"/>
    </w:p>
    <w:p w14:paraId="7DBDD1FC" w14:textId="21113708" w:rsidR="00813350" w:rsidRPr="00813350" w:rsidRDefault="00842EDC" w:rsidP="00813350">
      <w:pPr>
        <w:pStyle w:val="NumberedBodyText"/>
        <w:rPr>
          <w:sz w:val="24"/>
          <w:szCs w:val="24"/>
        </w:rPr>
      </w:pPr>
      <w:r w:rsidRPr="00813350">
        <w:rPr>
          <w:sz w:val="24"/>
          <w:szCs w:val="24"/>
        </w:rPr>
        <w:t>Any feedback about this p</w:t>
      </w:r>
      <w:r w:rsidR="00EF7870" w:rsidRPr="00813350">
        <w:rPr>
          <w:sz w:val="24"/>
          <w:szCs w:val="24"/>
        </w:rPr>
        <w:t>rocedure</w:t>
      </w:r>
      <w:r w:rsidRPr="00813350">
        <w:rPr>
          <w:sz w:val="24"/>
          <w:szCs w:val="24"/>
        </w:rPr>
        <w:t xml:space="preserve"> should be raised with the policy owner. Refer to Contact information above.</w:t>
      </w:r>
      <w:r w:rsidR="00813350" w:rsidRPr="00813350">
        <w:rPr>
          <w:sz w:val="24"/>
          <w:szCs w:val="24"/>
        </w:rPr>
        <w:t xml:space="preserve"> Any concerns about the application of this procedure or the should be raised with:</w:t>
      </w:r>
    </w:p>
    <w:p w14:paraId="762DBB16" w14:textId="77777777" w:rsidR="00813350" w:rsidRPr="00813350" w:rsidRDefault="00813350" w:rsidP="00813350">
      <w:pPr>
        <w:pStyle w:val="Bulletpointslevel3"/>
        <w:ind w:left="1560" w:hanging="502"/>
        <w:rPr>
          <w:rFonts w:asciiTheme="minorHAnsi" w:hAnsiTheme="minorHAnsi" w:cstheme="minorHAnsi"/>
        </w:rPr>
      </w:pPr>
      <w:r w:rsidRPr="00813350">
        <w:rPr>
          <w:rFonts w:asciiTheme="minorHAnsi" w:hAnsiTheme="minorHAnsi" w:cstheme="minorHAnsi"/>
        </w:rPr>
        <w:t>the school Principal in the first instance;</w:t>
      </w:r>
    </w:p>
    <w:p w14:paraId="536F35A6" w14:textId="2C78E9A0" w:rsidR="00813350" w:rsidRPr="00813350" w:rsidRDefault="00813350" w:rsidP="00813350">
      <w:pPr>
        <w:pStyle w:val="Bulletpointslevel3"/>
        <w:ind w:left="1560" w:hanging="502"/>
        <w:rPr>
          <w:rFonts w:asciiTheme="minorHAnsi" w:hAnsiTheme="minorHAnsi" w:cstheme="minorHAnsi"/>
        </w:rPr>
      </w:pPr>
      <w:r w:rsidRPr="00813350">
        <w:rPr>
          <w:rFonts w:asciiTheme="minorHAnsi" w:hAnsiTheme="minorHAnsi" w:cstheme="minorHAnsi"/>
        </w:rPr>
        <w:t xml:space="preserve">the Directorate’s Feedback and Complaints team via the </w:t>
      </w:r>
      <w:hyperlink r:id="rId45" w:history="1">
        <w:r w:rsidRPr="00813350">
          <w:rPr>
            <w:rStyle w:val="Hyperlink"/>
            <w:rFonts w:asciiTheme="minorHAnsi" w:hAnsiTheme="minorHAnsi" w:cstheme="minorHAnsi"/>
          </w:rPr>
          <w:t>EDU online Contact Form</w:t>
        </w:r>
      </w:hyperlink>
      <w:r w:rsidRPr="00813350">
        <w:rPr>
          <w:rFonts w:asciiTheme="minorHAnsi" w:hAnsiTheme="minorHAnsi" w:cstheme="minorHAnsi"/>
        </w:rPr>
        <w:t>.</w:t>
      </w:r>
    </w:p>
    <w:p w14:paraId="6C6A087B" w14:textId="77777777" w:rsidR="00813350" w:rsidRPr="00813350" w:rsidRDefault="00813350" w:rsidP="00813350">
      <w:pPr>
        <w:pStyle w:val="Bulletpointslevel3"/>
        <w:ind w:left="1560" w:hanging="502"/>
        <w:rPr>
          <w:rFonts w:asciiTheme="minorHAnsi" w:hAnsiTheme="minorHAnsi" w:cstheme="minorHAnsi"/>
        </w:rPr>
      </w:pPr>
      <w:r w:rsidRPr="00813350">
        <w:rPr>
          <w:rFonts w:asciiTheme="minorHAnsi" w:hAnsiTheme="minorHAnsi" w:cstheme="minorHAnsi"/>
        </w:rPr>
        <w:t xml:space="preserve">online at </w:t>
      </w:r>
      <w:hyperlink r:id="rId46" w:history="1">
        <w:r w:rsidRPr="00813350">
          <w:rPr>
            <w:rStyle w:val="Hyperlink"/>
            <w:rFonts w:asciiTheme="minorHAnsi" w:hAnsiTheme="minorHAnsi" w:cstheme="minorHAnsi"/>
          </w:rPr>
          <w:t>https://www.education.act.gov.au/about-us/contact_us</w:t>
        </w:r>
      </w:hyperlink>
      <w:r w:rsidRPr="00813350">
        <w:rPr>
          <w:rFonts w:asciiTheme="minorHAnsi" w:hAnsiTheme="minorHAnsi" w:cstheme="minorHAnsi"/>
        </w:rPr>
        <w:t>;</w:t>
      </w:r>
    </w:p>
    <w:p w14:paraId="469BF3DC" w14:textId="6606203A" w:rsidR="00813350" w:rsidRPr="00813350" w:rsidRDefault="00813350" w:rsidP="00BC1C71">
      <w:pPr>
        <w:pStyle w:val="Bulletpointslevel3"/>
        <w:ind w:left="1560" w:hanging="502"/>
        <w:rPr>
          <w:rFonts w:asciiTheme="minorHAnsi" w:hAnsiTheme="minorHAnsi" w:cstheme="minorHAnsi"/>
        </w:rPr>
      </w:pPr>
      <w:r w:rsidRPr="00813350">
        <w:rPr>
          <w:rFonts w:asciiTheme="minorHAnsi" w:hAnsiTheme="minorHAnsi" w:cstheme="minorHAnsi"/>
        </w:rPr>
        <w:t xml:space="preserve">see also the </w:t>
      </w:r>
      <w:bookmarkStart w:id="26" w:name="_Hlk32848608"/>
      <w:r w:rsidRPr="00813350">
        <w:rPr>
          <w:rFonts w:asciiTheme="minorHAnsi" w:hAnsiTheme="minorHAnsi" w:cstheme="minorHAnsi"/>
          <w:color w:val="000000"/>
          <w:lang w:eastAsia="en-AU"/>
        </w:rPr>
        <w:fldChar w:fldCharType="begin"/>
      </w:r>
      <w:r w:rsidRPr="00813350">
        <w:rPr>
          <w:rFonts w:asciiTheme="minorHAnsi" w:hAnsiTheme="minorHAnsi" w:cstheme="minorHAnsi"/>
          <w:color w:val="000000"/>
          <w:lang w:eastAsia="en-AU"/>
        </w:rPr>
        <w:instrText>HYPERLINK "https://www.education.act.gov.au/publications_and_policies/School-and-Corporate-Policies/school-administration-and-management/complaints-management-policy/complaints-management-policy"</w:instrText>
      </w:r>
      <w:r w:rsidRPr="00813350">
        <w:rPr>
          <w:rFonts w:asciiTheme="minorHAnsi" w:hAnsiTheme="minorHAnsi" w:cstheme="minorHAnsi"/>
          <w:color w:val="000000"/>
          <w:lang w:eastAsia="en-AU"/>
        </w:rPr>
      </w:r>
      <w:r w:rsidRPr="00813350">
        <w:rPr>
          <w:rFonts w:asciiTheme="minorHAnsi" w:hAnsiTheme="minorHAnsi" w:cstheme="minorHAnsi"/>
          <w:color w:val="000000"/>
          <w:lang w:eastAsia="en-AU"/>
        </w:rPr>
        <w:fldChar w:fldCharType="separate"/>
      </w:r>
      <w:r w:rsidRPr="00813350">
        <w:rPr>
          <w:rStyle w:val="Hyperlink"/>
          <w:rFonts w:asciiTheme="minorHAnsi" w:hAnsiTheme="minorHAnsi" w:cstheme="minorHAnsi"/>
          <w:lang w:eastAsia="en-AU"/>
        </w:rPr>
        <w:t>Complaints Policy</w:t>
      </w:r>
      <w:bookmarkEnd w:id="26"/>
      <w:r w:rsidRPr="00813350">
        <w:rPr>
          <w:rFonts w:asciiTheme="minorHAnsi" w:hAnsiTheme="minorHAnsi" w:cstheme="minorHAnsi"/>
          <w:color w:val="000000"/>
          <w:lang w:eastAsia="en-AU"/>
        </w:rPr>
        <w:fldChar w:fldCharType="end"/>
      </w:r>
      <w:r w:rsidRPr="00813350">
        <w:rPr>
          <w:rFonts w:asciiTheme="minorHAnsi" w:hAnsiTheme="minorHAnsi" w:cstheme="minorHAnsi"/>
        </w:rPr>
        <w:t xml:space="preserve"> on the Directorate’s website.</w:t>
      </w:r>
    </w:p>
    <w:p w14:paraId="09BF569D" w14:textId="53BBA9CC" w:rsidR="00BC1C71" w:rsidRPr="00606F70" w:rsidRDefault="00842EDC" w:rsidP="00606F70">
      <w:pPr>
        <w:pStyle w:val="Heading3"/>
      </w:pPr>
      <w:bookmarkStart w:id="27" w:name="_Toc169530497"/>
      <w:bookmarkStart w:id="28" w:name="_Toc181350662"/>
      <w:r w:rsidRPr="00A72DE0">
        <w:t>References</w:t>
      </w:r>
      <w:bookmarkEnd w:id="27"/>
      <w:bookmarkEnd w:id="28"/>
    </w:p>
    <w:p w14:paraId="41C9F6D9" w14:textId="60E26E72" w:rsidR="003C1130" w:rsidRPr="00845245" w:rsidRDefault="003C1130" w:rsidP="00BC1C71">
      <w:pPr>
        <w:pStyle w:val="ListParagraph"/>
        <w:numPr>
          <w:ilvl w:val="1"/>
          <w:numId w:val="17"/>
        </w:numPr>
        <w:ind w:left="851" w:hanging="491"/>
        <w:rPr>
          <w:b/>
          <w:bCs/>
          <w:sz w:val="24"/>
          <w:szCs w:val="24"/>
        </w:rPr>
      </w:pPr>
      <w:r w:rsidRPr="00845245">
        <w:rPr>
          <w:b/>
          <w:bCs/>
          <w:sz w:val="24"/>
          <w:szCs w:val="24"/>
        </w:rPr>
        <w:t xml:space="preserve">Related Policies and Information </w:t>
      </w:r>
    </w:p>
    <w:p w14:paraId="5B0C675B" w14:textId="77777777" w:rsidR="00BC1C71" w:rsidRPr="00845245" w:rsidRDefault="00BC1C71" w:rsidP="00BC1C71">
      <w:pPr>
        <w:pStyle w:val="Policy-BodyText"/>
        <w:numPr>
          <w:ilvl w:val="2"/>
          <w:numId w:val="18"/>
        </w:numPr>
        <w:tabs>
          <w:tab w:val="clear" w:pos="680"/>
          <w:tab w:val="num" w:pos="624"/>
          <w:tab w:val="num" w:pos="794"/>
        </w:tabs>
        <w:spacing w:line="276" w:lineRule="auto"/>
        <w:ind w:left="1928" w:hanging="794"/>
        <w:rPr>
          <w:rFonts w:asciiTheme="minorHAnsi" w:hAnsiTheme="minorHAnsi" w:cstheme="minorHAnsi"/>
        </w:rPr>
      </w:pPr>
      <w:r w:rsidRPr="00845245">
        <w:rPr>
          <w:rFonts w:asciiTheme="minorHAnsi" w:hAnsiTheme="minorHAnsi" w:cstheme="minorHAnsi"/>
        </w:rPr>
        <w:t>The following documents must be read in reference to the information provided in this procedure document:</w:t>
      </w:r>
    </w:p>
    <w:bookmarkStart w:id="29" w:name="_Hlk17720150"/>
    <w:p w14:paraId="05E5E428" w14:textId="123767B2" w:rsidR="00BC1C71" w:rsidRPr="00845245" w:rsidRDefault="008B10B6" w:rsidP="00BC1C71">
      <w:pPr>
        <w:pStyle w:val="Policy-BodyText"/>
        <w:numPr>
          <w:ilvl w:val="0"/>
          <w:numId w:val="22"/>
        </w:numPr>
        <w:spacing w:line="240" w:lineRule="auto"/>
        <w:ind w:left="2127" w:hanging="567"/>
        <w:rPr>
          <w:rFonts w:asciiTheme="minorHAnsi" w:hAnsiTheme="minorHAnsi" w:cstheme="minorHAnsi"/>
        </w:rPr>
      </w:pPr>
      <w:r w:rsidRPr="00845245">
        <w:rPr>
          <w:rFonts w:asciiTheme="minorHAnsi" w:hAnsiTheme="minorHAnsi" w:cstheme="minorHAnsi"/>
        </w:rPr>
        <w:fldChar w:fldCharType="begin"/>
      </w:r>
      <w:r w:rsidRPr="00845245">
        <w:rPr>
          <w:rFonts w:asciiTheme="minorHAnsi" w:hAnsiTheme="minorHAnsi" w:cstheme="minorHAnsi"/>
        </w:rPr>
        <w:instrText>HYPERLINK "https://www.bing.com/ck/a?!&amp;&amp;p=3b3f7c0851f198081cd64da845a78d1d850f244c1f66fa4aeda73f435058fe4aJmltdHM9MTc0MDQ0MTYwMA&amp;ptn=3&amp;ver=2&amp;hsh=4&amp;fclid=3384a41b-d67e-69b1-0699-b185d74c68ac&amp;psq=%e2%80%a2+ACTPS+Code+of+Conduct&amp;u=a1aHR0cHM6Ly93d3cuY210ZWRkLmFjdC5nb3YuYXUvX19kYXRhL2Fzc2V0cy9wZGZfZmlsZS8wMDE4LzIwMDQ5MjEvQUNUUFMtQ29kZS1vZi1Db25kdWN0LTIwMjIucGRm&amp;ntb=1"</w:instrText>
      </w:r>
      <w:r w:rsidRPr="00845245">
        <w:rPr>
          <w:rFonts w:asciiTheme="minorHAnsi" w:hAnsiTheme="minorHAnsi" w:cstheme="minorHAnsi"/>
        </w:rPr>
      </w:r>
      <w:r w:rsidRPr="00845245">
        <w:rPr>
          <w:rFonts w:asciiTheme="minorHAnsi" w:hAnsiTheme="minorHAnsi" w:cstheme="minorHAnsi"/>
        </w:rPr>
        <w:fldChar w:fldCharType="separate"/>
      </w:r>
      <w:r w:rsidR="00BC1C71" w:rsidRPr="00845245">
        <w:rPr>
          <w:rStyle w:val="Hyperlink"/>
          <w:rFonts w:asciiTheme="minorHAnsi" w:hAnsiTheme="minorHAnsi" w:cstheme="minorHAnsi"/>
        </w:rPr>
        <w:t>ACTPS Code of Conduct</w:t>
      </w:r>
      <w:r w:rsidRPr="00845245">
        <w:rPr>
          <w:rFonts w:asciiTheme="minorHAnsi" w:hAnsiTheme="minorHAnsi" w:cstheme="minorHAnsi"/>
        </w:rPr>
        <w:fldChar w:fldCharType="end"/>
      </w:r>
    </w:p>
    <w:p w14:paraId="5F6E7AB1" w14:textId="0EE99BFA" w:rsidR="00BC1C71" w:rsidRPr="00845245" w:rsidRDefault="00BC1C71" w:rsidP="00BC1C71">
      <w:pPr>
        <w:pStyle w:val="Policy-BodyText"/>
        <w:numPr>
          <w:ilvl w:val="0"/>
          <w:numId w:val="22"/>
        </w:numPr>
        <w:spacing w:line="240" w:lineRule="auto"/>
        <w:ind w:left="2127" w:hanging="567"/>
        <w:rPr>
          <w:rFonts w:asciiTheme="minorHAnsi" w:hAnsiTheme="minorHAnsi" w:cstheme="minorHAnsi"/>
        </w:rPr>
      </w:pPr>
      <w:hyperlink r:id="rId47" w:history="1">
        <w:r w:rsidRPr="00845245">
          <w:rPr>
            <w:rStyle w:val="Hyperlink"/>
            <w:rFonts w:asciiTheme="minorHAnsi" w:hAnsiTheme="minorHAnsi" w:cstheme="minorHAnsi"/>
          </w:rPr>
          <w:t>ACT Community Services Keeping Children and Young People Safe</w:t>
        </w:r>
      </w:hyperlink>
      <w:r w:rsidRPr="00845245">
        <w:rPr>
          <w:rFonts w:asciiTheme="minorHAnsi" w:hAnsiTheme="minorHAnsi" w:cstheme="minorHAnsi"/>
        </w:rPr>
        <w:t xml:space="preserve"> </w:t>
      </w:r>
    </w:p>
    <w:p w14:paraId="2C65BFEE" w14:textId="77777777" w:rsidR="00BC1C71" w:rsidRPr="00845245" w:rsidRDefault="00BC1C71" w:rsidP="00BC1C71">
      <w:pPr>
        <w:pStyle w:val="Policy-BodyText"/>
        <w:numPr>
          <w:ilvl w:val="0"/>
          <w:numId w:val="22"/>
        </w:numPr>
        <w:spacing w:line="240" w:lineRule="auto"/>
        <w:ind w:left="2127" w:hanging="567"/>
        <w:rPr>
          <w:rFonts w:asciiTheme="minorHAnsi" w:hAnsiTheme="minorHAnsi" w:cstheme="minorHAnsi"/>
          <w:i/>
        </w:rPr>
      </w:pPr>
      <w:hyperlink r:id="rId48" w:history="1">
        <w:r w:rsidRPr="00845245">
          <w:rPr>
            <w:rStyle w:val="Hyperlink"/>
            <w:rFonts w:asciiTheme="minorHAnsi" w:hAnsiTheme="minorHAnsi" w:cstheme="minorHAnsi"/>
          </w:rPr>
          <w:t>ACT Ombudsman Practice Guides</w:t>
        </w:r>
      </w:hyperlink>
    </w:p>
    <w:p w14:paraId="5680C8F4" w14:textId="77777777" w:rsidR="00BC1C71" w:rsidRPr="00845245" w:rsidRDefault="00BC1C71" w:rsidP="00BC1C71">
      <w:pPr>
        <w:pStyle w:val="Policy-BodyText"/>
        <w:numPr>
          <w:ilvl w:val="0"/>
          <w:numId w:val="22"/>
        </w:numPr>
        <w:spacing w:line="240" w:lineRule="auto"/>
        <w:ind w:left="2127" w:hanging="567"/>
        <w:rPr>
          <w:rFonts w:asciiTheme="minorHAnsi" w:hAnsiTheme="minorHAnsi" w:cstheme="minorHAnsi"/>
        </w:rPr>
      </w:pPr>
      <w:hyperlink r:id="rId49" w:history="1">
        <w:r w:rsidRPr="00845245">
          <w:rPr>
            <w:rStyle w:val="Hyperlink"/>
            <w:rFonts w:asciiTheme="minorHAnsi" w:hAnsiTheme="minorHAnsi" w:cstheme="minorHAnsi"/>
          </w:rPr>
          <w:t>Child Protection and Reporting Child Abuse and Neglect Policy</w:t>
        </w:r>
      </w:hyperlink>
    </w:p>
    <w:p w14:paraId="25AA1B06" w14:textId="4048EC64" w:rsidR="00BC1C71" w:rsidRPr="00845245" w:rsidRDefault="00BC1C71" w:rsidP="00BC1C71">
      <w:pPr>
        <w:pStyle w:val="Policy-BodyText"/>
        <w:numPr>
          <w:ilvl w:val="0"/>
          <w:numId w:val="22"/>
        </w:numPr>
        <w:spacing w:line="240" w:lineRule="auto"/>
        <w:ind w:left="2127" w:hanging="567"/>
        <w:rPr>
          <w:rFonts w:asciiTheme="minorHAnsi" w:hAnsiTheme="minorHAnsi" w:cstheme="minorHAnsi"/>
        </w:rPr>
      </w:pPr>
      <w:hyperlink r:id="rId50" w:history="1">
        <w:r w:rsidRPr="00845245">
          <w:rPr>
            <w:rStyle w:val="Hyperlink"/>
            <w:rFonts w:asciiTheme="minorHAnsi" w:hAnsiTheme="minorHAnsi" w:cstheme="minorHAnsi"/>
          </w:rPr>
          <w:t>Code of Conduct: Teachers, School Leaders and Principals</w:t>
        </w:r>
      </w:hyperlink>
    </w:p>
    <w:p w14:paraId="09DB7B9E" w14:textId="574C7DAC" w:rsidR="00BC1C71" w:rsidRPr="00845245" w:rsidRDefault="00BC1C71" w:rsidP="00BC1C71">
      <w:pPr>
        <w:pStyle w:val="Policy-BodyText"/>
        <w:numPr>
          <w:ilvl w:val="0"/>
          <w:numId w:val="22"/>
        </w:numPr>
        <w:spacing w:line="240" w:lineRule="auto"/>
        <w:ind w:left="2127" w:hanging="567"/>
        <w:rPr>
          <w:rFonts w:asciiTheme="minorHAnsi" w:hAnsiTheme="minorHAnsi" w:cstheme="minorHAnsi"/>
        </w:rPr>
      </w:pPr>
      <w:hyperlink r:id="rId51" w:history="1">
        <w:r w:rsidRPr="00845245">
          <w:rPr>
            <w:rStyle w:val="Hyperlink"/>
            <w:rFonts w:asciiTheme="minorHAnsi" w:hAnsiTheme="minorHAnsi" w:cstheme="minorHAnsi"/>
          </w:rPr>
          <w:t xml:space="preserve">Code of Conduct: School Based Staff </w:t>
        </w:r>
      </w:hyperlink>
    </w:p>
    <w:p w14:paraId="442205FC" w14:textId="5BECCEBD" w:rsidR="00BC1C71" w:rsidRPr="00845245" w:rsidRDefault="008B10B6" w:rsidP="00BC1C71">
      <w:pPr>
        <w:pStyle w:val="Policy-BodyText"/>
        <w:numPr>
          <w:ilvl w:val="0"/>
          <w:numId w:val="22"/>
        </w:numPr>
        <w:spacing w:line="240" w:lineRule="auto"/>
        <w:ind w:left="2127" w:hanging="567"/>
        <w:rPr>
          <w:rFonts w:asciiTheme="minorHAnsi" w:hAnsiTheme="minorHAnsi" w:cstheme="minorHAnsi"/>
        </w:rPr>
      </w:pPr>
      <w:hyperlink r:id="rId52" w:anchor=":~:text=This%20policy%20outlines%20how%20the%20Directorate%20will%20manage,disrupt%20continuity%20of%20business%20and%20learning%20and%2For%20pos" w:history="1">
        <w:r w:rsidRPr="00845245">
          <w:rPr>
            <w:rStyle w:val="Hyperlink"/>
            <w:rFonts w:asciiTheme="minorHAnsi" w:hAnsiTheme="minorHAnsi" w:cstheme="minorHAnsi"/>
          </w:rPr>
          <w:t>Incident and Emergency Management Policy</w:t>
        </w:r>
      </w:hyperlink>
    </w:p>
    <w:bookmarkStart w:id="30" w:name="_Hlk17720180"/>
    <w:bookmarkEnd w:id="29"/>
    <w:p w14:paraId="684C671E" w14:textId="77777777" w:rsidR="00BC1C71" w:rsidRPr="00845245" w:rsidRDefault="00BC1C71" w:rsidP="00BC1C71">
      <w:pPr>
        <w:pStyle w:val="Policy-BodyText"/>
        <w:numPr>
          <w:ilvl w:val="0"/>
          <w:numId w:val="19"/>
        </w:numPr>
        <w:spacing w:line="240" w:lineRule="auto"/>
        <w:ind w:left="2127" w:hanging="567"/>
        <w:rPr>
          <w:rStyle w:val="Hyperlink"/>
          <w:rFonts w:asciiTheme="minorHAnsi" w:hAnsiTheme="minorHAnsi" w:cstheme="minorHAnsi"/>
        </w:rPr>
      </w:pPr>
      <w:r w:rsidRPr="00845245">
        <w:rPr>
          <w:rFonts w:asciiTheme="minorHAnsi" w:hAnsiTheme="minorHAnsi" w:cstheme="minorHAnsi"/>
        </w:rPr>
        <w:fldChar w:fldCharType="begin"/>
      </w:r>
      <w:r w:rsidRPr="00845245">
        <w:rPr>
          <w:rFonts w:asciiTheme="minorHAnsi" w:hAnsiTheme="minorHAnsi" w:cstheme="minorHAnsi"/>
        </w:rPr>
        <w:instrText>HYPERLINK "https://www.education.act.gov.au/publications_and_policies/School-and-Corporate-Policies/wellbeing/safety/safe-and-supportive-schools-policy2/safe-and-supportive-schools-policy"</w:instrText>
      </w:r>
      <w:r w:rsidRPr="00845245">
        <w:rPr>
          <w:rFonts w:asciiTheme="minorHAnsi" w:hAnsiTheme="minorHAnsi" w:cstheme="minorHAnsi"/>
        </w:rPr>
      </w:r>
      <w:r w:rsidRPr="00845245">
        <w:rPr>
          <w:rFonts w:asciiTheme="minorHAnsi" w:hAnsiTheme="minorHAnsi" w:cstheme="minorHAnsi"/>
        </w:rPr>
        <w:fldChar w:fldCharType="separate"/>
      </w:r>
      <w:r w:rsidRPr="00845245">
        <w:rPr>
          <w:rStyle w:val="Hyperlink"/>
          <w:rFonts w:asciiTheme="minorHAnsi" w:hAnsiTheme="minorHAnsi" w:cstheme="minorHAnsi"/>
        </w:rPr>
        <w:t>Safe and Supportive Schools Policy</w:t>
      </w:r>
      <w:r w:rsidRPr="00845245">
        <w:rPr>
          <w:rFonts w:asciiTheme="minorHAnsi" w:hAnsiTheme="minorHAnsi" w:cstheme="minorHAnsi"/>
        </w:rPr>
        <w:fldChar w:fldCharType="end"/>
      </w:r>
    </w:p>
    <w:p w14:paraId="561CCA2E" w14:textId="77777777" w:rsidR="00BC1C71" w:rsidRPr="00845245" w:rsidRDefault="00BC1C71" w:rsidP="00BC1C71">
      <w:pPr>
        <w:pStyle w:val="Policy-BodyText"/>
        <w:numPr>
          <w:ilvl w:val="0"/>
          <w:numId w:val="19"/>
        </w:numPr>
        <w:spacing w:line="240" w:lineRule="auto"/>
        <w:ind w:left="2127" w:hanging="567"/>
        <w:rPr>
          <w:rFonts w:asciiTheme="minorHAnsi" w:hAnsiTheme="minorHAnsi" w:cstheme="minorHAnsi"/>
        </w:rPr>
      </w:pPr>
      <w:hyperlink r:id="rId53" w:history="1">
        <w:r w:rsidRPr="00845245">
          <w:rPr>
            <w:rStyle w:val="Hyperlink"/>
            <w:rFonts w:asciiTheme="minorHAnsi" w:hAnsiTheme="minorHAnsi" w:cstheme="minorHAnsi"/>
          </w:rPr>
          <w:t>Volunteers and Visitors in Schools – Code of Conduct</w:t>
        </w:r>
      </w:hyperlink>
      <w:r w:rsidRPr="00845245">
        <w:rPr>
          <w:rFonts w:asciiTheme="minorHAnsi" w:hAnsiTheme="minorHAnsi" w:cstheme="minorHAnsi"/>
        </w:rPr>
        <w:t xml:space="preserve"> </w:t>
      </w:r>
      <w:bookmarkEnd w:id="30"/>
    </w:p>
    <w:p w14:paraId="7C07B7D4" w14:textId="50B373EC" w:rsidR="009266DD" w:rsidRDefault="009266DD" w:rsidP="00845245">
      <w:pPr>
        <w:pStyle w:val="BodyText1"/>
      </w:pPr>
    </w:p>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2F34" w14:textId="77777777" w:rsidR="00384F17" w:rsidRDefault="00384F17">
      <w:pPr>
        <w:spacing w:before="0" w:after="0"/>
      </w:pPr>
      <w:r>
        <w:separator/>
      </w:r>
    </w:p>
    <w:p w14:paraId="7E66A299" w14:textId="77777777" w:rsidR="00384F17" w:rsidRDefault="00384F17"/>
  </w:endnote>
  <w:endnote w:type="continuationSeparator" w:id="0">
    <w:p w14:paraId="2C143888" w14:textId="77777777" w:rsidR="00384F17" w:rsidRDefault="00384F17">
      <w:pPr>
        <w:spacing w:before="0" w:after="0"/>
      </w:pPr>
      <w:r>
        <w:continuationSeparator/>
      </w:r>
    </w:p>
    <w:p w14:paraId="1EC99113" w14:textId="77777777" w:rsidR="00384F17" w:rsidRDefault="0038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27F4F10F"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5300900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t xml:space="preserve"> </w:t>
    </w:r>
    <w:r w:rsidR="004D749A">
      <w:rPr>
        <w:noProof/>
      </w:rPr>
      <w:tab/>
    </w:r>
    <w:r w:rsidR="00950F0B">
      <w:rPr>
        <w:b/>
      </w:rPr>
      <w:t>Reportable Conduct Scheme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8214" w14:textId="77777777" w:rsidR="00384F17" w:rsidRDefault="00384F17" w:rsidP="001723F7">
      <w:pPr>
        <w:spacing w:before="0" w:after="0"/>
      </w:pPr>
      <w:r>
        <w:separator/>
      </w:r>
    </w:p>
  </w:footnote>
  <w:footnote w:type="continuationSeparator" w:id="0">
    <w:p w14:paraId="7285F640" w14:textId="77777777" w:rsidR="00384F17" w:rsidRDefault="00384F17">
      <w:pPr>
        <w:spacing w:before="0" w:after="0"/>
      </w:pPr>
      <w:r>
        <w:continuationSeparator/>
      </w:r>
    </w:p>
    <w:p w14:paraId="1844FC0C" w14:textId="77777777" w:rsidR="00384F17" w:rsidRDefault="00384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000000">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F0D06"/>
    <w:multiLevelType w:val="multilevel"/>
    <w:tmpl w:val="6826D9F8"/>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color w:val="auto"/>
        <w:sz w:val="24"/>
      </w:rPr>
    </w:lvl>
    <w:lvl w:ilvl="2">
      <w:start w:val="1"/>
      <w:numFmt w:val="decimal"/>
      <w:lvlText w:val="%1.%2.%3."/>
      <w:lvlJc w:val="left"/>
      <w:pPr>
        <w:tabs>
          <w:tab w:val="num" w:pos="680"/>
        </w:tabs>
        <w:ind w:left="0" w:firstLine="0"/>
      </w:pPr>
      <w:rPr>
        <w:rFonts w:ascii="Calibri" w:hAnsi="Calibri" w:hint="default"/>
        <w:color w:val="auto"/>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8"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5520F86"/>
    <w:multiLevelType w:val="hybridMultilevel"/>
    <w:tmpl w:val="B5EE0C60"/>
    <w:lvl w:ilvl="0" w:tplc="0F3E0DA2">
      <w:start w:val="1"/>
      <w:numFmt w:val="bullet"/>
      <w:pStyle w:val="Bullet-In-line"/>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57D26A18"/>
    <w:numStyleLink w:val="KCBullets"/>
  </w:abstractNum>
  <w:abstractNum w:abstractNumId="1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A1F16E6"/>
    <w:multiLevelType w:val="multilevel"/>
    <w:tmpl w:val="E39EE2CC"/>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6"/>
  </w:num>
  <w:num w:numId="2" w16cid:durableId="624122357">
    <w:abstractNumId w:val="11"/>
  </w:num>
  <w:num w:numId="3" w16cid:durableId="1158498186">
    <w:abstractNumId w:val="19"/>
  </w:num>
  <w:num w:numId="4" w16cid:durableId="1532960818">
    <w:abstractNumId w:val="20"/>
  </w:num>
  <w:num w:numId="5" w16cid:durableId="552470070">
    <w:abstractNumId w:val="1"/>
  </w:num>
  <w:num w:numId="6" w16cid:durableId="611396820">
    <w:abstractNumId w:val="14"/>
  </w:num>
  <w:num w:numId="7" w16cid:durableId="404570024">
    <w:abstractNumId w:val="12"/>
  </w:num>
  <w:num w:numId="8" w16cid:durableId="1146051722">
    <w:abstractNumId w:val="8"/>
  </w:num>
  <w:num w:numId="9" w16cid:durableId="1911385974">
    <w:abstractNumId w:val="9"/>
  </w:num>
  <w:num w:numId="10" w16cid:durableId="146287623">
    <w:abstractNumId w:val="2"/>
  </w:num>
  <w:num w:numId="11" w16cid:durableId="456097330">
    <w:abstractNumId w:val="17"/>
  </w:num>
  <w:num w:numId="12" w16cid:durableId="1135489105">
    <w:abstractNumId w:val="16"/>
  </w:num>
  <w:num w:numId="13" w16cid:durableId="557402120">
    <w:abstractNumId w:val="4"/>
  </w:num>
  <w:num w:numId="14" w16cid:durableId="2081054892">
    <w:abstractNumId w:val="13"/>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5"/>
  </w:num>
  <w:num w:numId="17" w16cid:durableId="1877161846">
    <w:abstractNumId w:val="18"/>
  </w:num>
  <w:num w:numId="18" w16cid:durableId="556093804">
    <w:abstractNumId w:val="3"/>
  </w:num>
  <w:num w:numId="19" w16cid:durableId="2120298941">
    <w:abstractNumId w:val="10"/>
  </w:num>
  <w:num w:numId="20" w16cid:durableId="342173197">
    <w:abstractNumId w:val="7"/>
  </w:num>
  <w:num w:numId="21" w16cid:durableId="790593185">
    <w:abstractNumId w:val="3"/>
  </w:num>
  <w:num w:numId="22" w16cid:durableId="3933600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3550"/>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5F14"/>
    <w:rsid w:val="0010655A"/>
    <w:rsid w:val="0011082B"/>
    <w:rsid w:val="00113337"/>
    <w:rsid w:val="00116578"/>
    <w:rsid w:val="00116A4B"/>
    <w:rsid w:val="001202BC"/>
    <w:rsid w:val="00120DB6"/>
    <w:rsid w:val="00122B4D"/>
    <w:rsid w:val="00125E59"/>
    <w:rsid w:val="00126202"/>
    <w:rsid w:val="00126A84"/>
    <w:rsid w:val="001274ED"/>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58D2"/>
    <w:rsid w:val="002969A2"/>
    <w:rsid w:val="00296B6F"/>
    <w:rsid w:val="00296C77"/>
    <w:rsid w:val="00297E07"/>
    <w:rsid w:val="002A0931"/>
    <w:rsid w:val="002A3C2D"/>
    <w:rsid w:val="002A47C5"/>
    <w:rsid w:val="002A47F8"/>
    <w:rsid w:val="002B3A89"/>
    <w:rsid w:val="002B4201"/>
    <w:rsid w:val="002B6770"/>
    <w:rsid w:val="002C494E"/>
    <w:rsid w:val="002C4BD6"/>
    <w:rsid w:val="002D0C44"/>
    <w:rsid w:val="002D3D10"/>
    <w:rsid w:val="002D741F"/>
    <w:rsid w:val="002D7E91"/>
    <w:rsid w:val="002E15CE"/>
    <w:rsid w:val="002E54EC"/>
    <w:rsid w:val="002F14F6"/>
    <w:rsid w:val="002F1F99"/>
    <w:rsid w:val="002F4845"/>
    <w:rsid w:val="00300CCC"/>
    <w:rsid w:val="003035F1"/>
    <w:rsid w:val="00303995"/>
    <w:rsid w:val="00305CC7"/>
    <w:rsid w:val="0031221A"/>
    <w:rsid w:val="0031298B"/>
    <w:rsid w:val="003144A1"/>
    <w:rsid w:val="00325808"/>
    <w:rsid w:val="0032718E"/>
    <w:rsid w:val="00327C98"/>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4F17"/>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42E0"/>
    <w:rsid w:val="003E45FA"/>
    <w:rsid w:val="003E4738"/>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53C62"/>
    <w:rsid w:val="00454420"/>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0EF4"/>
    <w:rsid w:val="004B44FE"/>
    <w:rsid w:val="004B7F23"/>
    <w:rsid w:val="004C59F7"/>
    <w:rsid w:val="004C6A33"/>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278D"/>
    <w:rsid w:val="00555ED7"/>
    <w:rsid w:val="005561B3"/>
    <w:rsid w:val="00557502"/>
    <w:rsid w:val="00561662"/>
    <w:rsid w:val="00562D40"/>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70C4"/>
    <w:rsid w:val="0060051C"/>
    <w:rsid w:val="006017C1"/>
    <w:rsid w:val="00602987"/>
    <w:rsid w:val="00604DEF"/>
    <w:rsid w:val="00606296"/>
    <w:rsid w:val="00606F70"/>
    <w:rsid w:val="006073A7"/>
    <w:rsid w:val="00613213"/>
    <w:rsid w:val="00613831"/>
    <w:rsid w:val="0061416F"/>
    <w:rsid w:val="0061514F"/>
    <w:rsid w:val="00615621"/>
    <w:rsid w:val="0062146F"/>
    <w:rsid w:val="0062148A"/>
    <w:rsid w:val="0062157D"/>
    <w:rsid w:val="00622A53"/>
    <w:rsid w:val="0062637E"/>
    <w:rsid w:val="006325DA"/>
    <w:rsid w:val="006358B9"/>
    <w:rsid w:val="00635946"/>
    <w:rsid w:val="006361AE"/>
    <w:rsid w:val="00636612"/>
    <w:rsid w:val="00642335"/>
    <w:rsid w:val="006438A7"/>
    <w:rsid w:val="00643D74"/>
    <w:rsid w:val="00645587"/>
    <w:rsid w:val="00650E29"/>
    <w:rsid w:val="0065359F"/>
    <w:rsid w:val="00654372"/>
    <w:rsid w:val="00654D09"/>
    <w:rsid w:val="00657B12"/>
    <w:rsid w:val="00667B0C"/>
    <w:rsid w:val="0067060B"/>
    <w:rsid w:val="00670AB7"/>
    <w:rsid w:val="006744F8"/>
    <w:rsid w:val="00674B12"/>
    <w:rsid w:val="00675B96"/>
    <w:rsid w:val="00691BCF"/>
    <w:rsid w:val="0069252D"/>
    <w:rsid w:val="00695160"/>
    <w:rsid w:val="00697374"/>
    <w:rsid w:val="006A00BD"/>
    <w:rsid w:val="006A0434"/>
    <w:rsid w:val="006A1CA9"/>
    <w:rsid w:val="006A58DF"/>
    <w:rsid w:val="006A61D2"/>
    <w:rsid w:val="006A6532"/>
    <w:rsid w:val="006A686B"/>
    <w:rsid w:val="006B0E38"/>
    <w:rsid w:val="006B4600"/>
    <w:rsid w:val="006B4D3E"/>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2D05"/>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173B"/>
    <w:rsid w:val="00792C68"/>
    <w:rsid w:val="00793117"/>
    <w:rsid w:val="007931DD"/>
    <w:rsid w:val="00796814"/>
    <w:rsid w:val="0079704B"/>
    <w:rsid w:val="007A1203"/>
    <w:rsid w:val="007A2F11"/>
    <w:rsid w:val="007A346C"/>
    <w:rsid w:val="007B0885"/>
    <w:rsid w:val="007B47DF"/>
    <w:rsid w:val="007B7F17"/>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350"/>
    <w:rsid w:val="00813D10"/>
    <w:rsid w:val="00814AEE"/>
    <w:rsid w:val="00814D89"/>
    <w:rsid w:val="008150D6"/>
    <w:rsid w:val="0081733D"/>
    <w:rsid w:val="00822A3C"/>
    <w:rsid w:val="00823A16"/>
    <w:rsid w:val="00824F4C"/>
    <w:rsid w:val="00825C83"/>
    <w:rsid w:val="0083203F"/>
    <w:rsid w:val="00832706"/>
    <w:rsid w:val="00832E86"/>
    <w:rsid w:val="00842844"/>
    <w:rsid w:val="00842EDC"/>
    <w:rsid w:val="00844A05"/>
    <w:rsid w:val="00845245"/>
    <w:rsid w:val="00846EFE"/>
    <w:rsid w:val="008478A9"/>
    <w:rsid w:val="00850058"/>
    <w:rsid w:val="00850953"/>
    <w:rsid w:val="00851091"/>
    <w:rsid w:val="0085261C"/>
    <w:rsid w:val="00852E60"/>
    <w:rsid w:val="00853876"/>
    <w:rsid w:val="00854DDA"/>
    <w:rsid w:val="00855415"/>
    <w:rsid w:val="008618D2"/>
    <w:rsid w:val="00861E0D"/>
    <w:rsid w:val="00864104"/>
    <w:rsid w:val="00864883"/>
    <w:rsid w:val="00870043"/>
    <w:rsid w:val="0087638C"/>
    <w:rsid w:val="0088195F"/>
    <w:rsid w:val="00884FD8"/>
    <w:rsid w:val="00887730"/>
    <w:rsid w:val="008878D6"/>
    <w:rsid w:val="008958D2"/>
    <w:rsid w:val="00896247"/>
    <w:rsid w:val="008A0404"/>
    <w:rsid w:val="008A251E"/>
    <w:rsid w:val="008A46A8"/>
    <w:rsid w:val="008A555D"/>
    <w:rsid w:val="008B10B6"/>
    <w:rsid w:val="008C081A"/>
    <w:rsid w:val="008C1A20"/>
    <w:rsid w:val="008C3BB7"/>
    <w:rsid w:val="008C5418"/>
    <w:rsid w:val="008C6192"/>
    <w:rsid w:val="008C661D"/>
    <w:rsid w:val="008C7FD2"/>
    <w:rsid w:val="008D0602"/>
    <w:rsid w:val="008D5EAC"/>
    <w:rsid w:val="008D6BB7"/>
    <w:rsid w:val="008E07C5"/>
    <w:rsid w:val="008E13EE"/>
    <w:rsid w:val="008E363A"/>
    <w:rsid w:val="008E3B95"/>
    <w:rsid w:val="008E62A6"/>
    <w:rsid w:val="008F068E"/>
    <w:rsid w:val="008F4C1C"/>
    <w:rsid w:val="008F5308"/>
    <w:rsid w:val="008F6FB0"/>
    <w:rsid w:val="008F70AD"/>
    <w:rsid w:val="009051C5"/>
    <w:rsid w:val="00905992"/>
    <w:rsid w:val="00911A17"/>
    <w:rsid w:val="009169D8"/>
    <w:rsid w:val="009171D8"/>
    <w:rsid w:val="00917D52"/>
    <w:rsid w:val="00921DF8"/>
    <w:rsid w:val="009266DD"/>
    <w:rsid w:val="009273A3"/>
    <w:rsid w:val="0093265F"/>
    <w:rsid w:val="00934578"/>
    <w:rsid w:val="00936B0E"/>
    <w:rsid w:val="00937A95"/>
    <w:rsid w:val="00940E2C"/>
    <w:rsid w:val="009416EA"/>
    <w:rsid w:val="00944865"/>
    <w:rsid w:val="0094593A"/>
    <w:rsid w:val="00945946"/>
    <w:rsid w:val="00945A13"/>
    <w:rsid w:val="00945B17"/>
    <w:rsid w:val="00950F0B"/>
    <w:rsid w:val="00951E03"/>
    <w:rsid w:val="00953B18"/>
    <w:rsid w:val="00961E86"/>
    <w:rsid w:val="00962518"/>
    <w:rsid w:val="00962CDD"/>
    <w:rsid w:val="00964BB7"/>
    <w:rsid w:val="0096521B"/>
    <w:rsid w:val="009712C4"/>
    <w:rsid w:val="009726E4"/>
    <w:rsid w:val="00975187"/>
    <w:rsid w:val="00975E18"/>
    <w:rsid w:val="00975EA9"/>
    <w:rsid w:val="00981E36"/>
    <w:rsid w:val="00982CEB"/>
    <w:rsid w:val="00982D0B"/>
    <w:rsid w:val="0098420B"/>
    <w:rsid w:val="009876C6"/>
    <w:rsid w:val="0099597A"/>
    <w:rsid w:val="00996406"/>
    <w:rsid w:val="009A2F21"/>
    <w:rsid w:val="009A5B2A"/>
    <w:rsid w:val="009A705A"/>
    <w:rsid w:val="009A7D27"/>
    <w:rsid w:val="009C1DA6"/>
    <w:rsid w:val="009C22B0"/>
    <w:rsid w:val="009C6EF0"/>
    <w:rsid w:val="009D1D56"/>
    <w:rsid w:val="009D2444"/>
    <w:rsid w:val="009D3931"/>
    <w:rsid w:val="009D3D0A"/>
    <w:rsid w:val="009D5769"/>
    <w:rsid w:val="009E0A13"/>
    <w:rsid w:val="009E6741"/>
    <w:rsid w:val="009E7231"/>
    <w:rsid w:val="009E73A8"/>
    <w:rsid w:val="009F1345"/>
    <w:rsid w:val="009F1A2F"/>
    <w:rsid w:val="009F4D46"/>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92730"/>
    <w:rsid w:val="00AA0C1B"/>
    <w:rsid w:val="00AA2EBA"/>
    <w:rsid w:val="00AA3379"/>
    <w:rsid w:val="00AA51A2"/>
    <w:rsid w:val="00AA658C"/>
    <w:rsid w:val="00AA7C1A"/>
    <w:rsid w:val="00AB4664"/>
    <w:rsid w:val="00AB55B3"/>
    <w:rsid w:val="00AB6329"/>
    <w:rsid w:val="00AB661A"/>
    <w:rsid w:val="00AC12C3"/>
    <w:rsid w:val="00AC267D"/>
    <w:rsid w:val="00AC4601"/>
    <w:rsid w:val="00AC5AF0"/>
    <w:rsid w:val="00AC64F8"/>
    <w:rsid w:val="00AE028E"/>
    <w:rsid w:val="00AE52FA"/>
    <w:rsid w:val="00AE6CC0"/>
    <w:rsid w:val="00AE7D36"/>
    <w:rsid w:val="00AF5E09"/>
    <w:rsid w:val="00B003A4"/>
    <w:rsid w:val="00B00C37"/>
    <w:rsid w:val="00B02572"/>
    <w:rsid w:val="00B028FA"/>
    <w:rsid w:val="00B02B1E"/>
    <w:rsid w:val="00B1096B"/>
    <w:rsid w:val="00B12782"/>
    <w:rsid w:val="00B12EB8"/>
    <w:rsid w:val="00B1430D"/>
    <w:rsid w:val="00B16CCF"/>
    <w:rsid w:val="00B178AD"/>
    <w:rsid w:val="00B248D7"/>
    <w:rsid w:val="00B257F4"/>
    <w:rsid w:val="00B2580E"/>
    <w:rsid w:val="00B303AF"/>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480D"/>
    <w:rsid w:val="00B6647F"/>
    <w:rsid w:val="00B7394C"/>
    <w:rsid w:val="00B76680"/>
    <w:rsid w:val="00B77263"/>
    <w:rsid w:val="00B83969"/>
    <w:rsid w:val="00B83F53"/>
    <w:rsid w:val="00B84CC3"/>
    <w:rsid w:val="00B85096"/>
    <w:rsid w:val="00B95D27"/>
    <w:rsid w:val="00BA7CDA"/>
    <w:rsid w:val="00BB2F88"/>
    <w:rsid w:val="00BC0D5F"/>
    <w:rsid w:val="00BC1C71"/>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68D6"/>
    <w:rsid w:val="00C06FD9"/>
    <w:rsid w:val="00C10494"/>
    <w:rsid w:val="00C10B18"/>
    <w:rsid w:val="00C1197A"/>
    <w:rsid w:val="00C12B90"/>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E176F"/>
    <w:rsid w:val="00CE416B"/>
    <w:rsid w:val="00CE5718"/>
    <w:rsid w:val="00CF24C8"/>
    <w:rsid w:val="00D024CA"/>
    <w:rsid w:val="00D03790"/>
    <w:rsid w:val="00D05766"/>
    <w:rsid w:val="00D059FB"/>
    <w:rsid w:val="00D060B7"/>
    <w:rsid w:val="00D06645"/>
    <w:rsid w:val="00D06CF5"/>
    <w:rsid w:val="00D13790"/>
    <w:rsid w:val="00D147F8"/>
    <w:rsid w:val="00D173A4"/>
    <w:rsid w:val="00D17F50"/>
    <w:rsid w:val="00D20335"/>
    <w:rsid w:val="00D240E7"/>
    <w:rsid w:val="00D27A0B"/>
    <w:rsid w:val="00D27F93"/>
    <w:rsid w:val="00D32D2A"/>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4F38"/>
    <w:rsid w:val="00DC7EA0"/>
    <w:rsid w:val="00DD6070"/>
    <w:rsid w:val="00DD71A1"/>
    <w:rsid w:val="00DE11C5"/>
    <w:rsid w:val="00DE1C3E"/>
    <w:rsid w:val="00DE3318"/>
    <w:rsid w:val="00DE4B31"/>
    <w:rsid w:val="00DE63CA"/>
    <w:rsid w:val="00DF21AB"/>
    <w:rsid w:val="00DF5208"/>
    <w:rsid w:val="00DF5976"/>
    <w:rsid w:val="00E071F5"/>
    <w:rsid w:val="00E10878"/>
    <w:rsid w:val="00E10C37"/>
    <w:rsid w:val="00E12C79"/>
    <w:rsid w:val="00E155D9"/>
    <w:rsid w:val="00E34830"/>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B2572"/>
    <w:rsid w:val="00EB4651"/>
    <w:rsid w:val="00EB55F8"/>
    <w:rsid w:val="00EC09ED"/>
    <w:rsid w:val="00EC28F6"/>
    <w:rsid w:val="00EC5694"/>
    <w:rsid w:val="00EC6674"/>
    <w:rsid w:val="00ED1301"/>
    <w:rsid w:val="00ED1700"/>
    <w:rsid w:val="00ED72CA"/>
    <w:rsid w:val="00ED7A5E"/>
    <w:rsid w:val="00EE4D71"/>
    <w:rsid w:val="00EE67FE"/>
    <w:rsid w:val="00EF4AE1"/>
    <w:rsid w:val="00EF6F02"/>
    <w:rsid w:val="00EF7870"/>
    <w:rsid w:val="00F01833"/>
    <w:rsid w:val="00F049EF"/>
    <w:rsid w:val="00F04ACA"/>
    <w:rsid w:val="00F073E0"/>
    <w:rsid w:val="00F1233C"/>
    <w:rsid w:val="00F2286D"/>
    <w:rsid w:val="00F235B9"/>
    <w:rsid w:val="00F2424C"/>
    <w:rsid w:val="00F24DFF"/>
    <w:rsid w:val="00F271F9"/>
    <w:rsid w:val="00F33EBD"/>
    <w:rsid w:val="00F354C8"/>
    <w:rsid w:val="00F379D4"/>
    <w:rsid w:val="00F44A83"/>
    <w:rsid w:val="00F46791"/>
    <w:rsid w:val="00F467C1"/>
    <w:rsid w:val="00F508F4"/>
    <w:rsid w:val="00F50F96"/>
    <w:rsid w:val="00F51125"/>
    <w:rsid w:val="00F52258"/>
    <w:rsid w:val="00F52F3B"/>
    <w:rsid w:val="00F53F79"/>
    <w:rsid w:val="00F66D3F"/>
    <w:rsid w:val="00F701C4"/>
    <w:rsid w:val="00F74592"/>
    <w:rsid w:val="00F76AAC"/>
    <w:rsid w:val="00F76D7B"/>
    <w:rsid w:val="00F80284"/>
    <w:rsid w:val="00F83811"/>
    <w:rsid w:val="00F939BC"/>
    <w:rsid w:val="00F957C1"/>
    <w:rsid w:val="00F95BCA"/>
    <w:rsid w:val="00F97959"/>
    <w:rsid w:val="00FA0C41"/>
    <w:rsid w:val="00FA6FCF"/>
    <w:rsid w:val="00FB1A89"/>
    <w:rsid w:val="00FB23DB"/>
    <w:rsid w:val="00FB3D0B"/>
    <w:rsid w:val="00FB592F"/>
    <w:rsid w:val="00FB6B08"/>
    <w:rsid w:val="00FC25F6"/>
    <w:rsid w:val="00FC3B1C"/>
    <w:rsid w:val="00FC62A5"/>
    <w:rsid w:val="00FC71E8"/>
    <w:rsid w:val="00FD0DA5"/>
    <w:rsid w:val="00FD231A"/>
    <w:rsid w:val="00FD6EB3"/>
    <w:rsid w:val="00FE1572"/>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 w:val="24"/>
      <w:szCs w:val="26"/>
    </w:rPr>
  </w:style>
  <w:style w:type="paragraph" w:styleId="Heading4">
    <w:name w:val="heading 4"/>
    <w:basedOn w:val="Normal"/>
    <w:next w:val="Normal"/>
    <w:link w:val="Heading4Char"/>
    <w:autoRedefine/>
    <w:qFormat/>
    <w:rsid w:val="00822A3C"/>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822A3C"/>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Heading 2.,List Paragraph111,L,F5 List Paragraph,Dot pt,CV text,Medium Grid 1 - Accent 21,Numbered Paragraph,List Paragraph2,NFP GP Bulleted List,FooterText,numbered,列出段,Bullets,?"/>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 w:val="24"/>
      <w:szCs w:val="24"/>
      <w:lang w:eastAsia="en-AU"/>
    </w:rPr>
  </w:style>
  <w:style w:type="paragraph" w:customStyle="1" w:styleId="PolicyHeading2-Accessible">
    <w:name w:val="Policy Heading 2 - Accessible"/>
    <w:basedOn w:val="Heading2"/>
    <w:next w:val="Policy-BodyText"/>
    <w:qFormat/>
    <w:rsid w:val="00842EDC"/>
    <w:pPr>
      <w:keepNext w:val="0"/>
      <w:numPr>
        <w:numId w:val="21"/>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842EDC"/>
    <w:pPr>
      <w:numPr>
        <w:ilvl w:val="1"/>
        <w:numId w:val="21"/>
      </w:numPr>
      <w:spacing w:before="0" w:after="0" w:line="264" w:lineRule="auto"/>
    </w:pPr>
    <w:rPr>
      <w:rFonts w:eastAsiaTheme="minorEastAsia" w:cstheme="minorBidi"/>
      <w:sz w:val="24"/>
      <w:szCs w:val="24"/>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ind w:left="851" w:hanging="491"/>
    </w:pPr>
  </w:style>
  <w:style w:type="character" w:customStyle="1" w:styleId="ListParagraphChar">
    <w:name w:val="List Paragraph Char"/>
    <w:aliases w:val="Recommendation Char,List Paragraph1 Char,List Paragraph11 Char,Heading 2. Char,List Paragraph111 Char,L Char,F5 List Paragraph Char,Dot pt Char,CV text Char,Medium Grid 1 - Accent 21 Char,Numbered Paragraph Char,List Paragraph2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character" w:customStyle="1" w:styleId="Policy-BodyTextChar">
    <w:name w:val="Policy - Body Text Char"/>
    <w:basedOn w:val="DefaultParagraphFont"/>
    <w:link w:val="Policy-BodyText"/>
    <w:rsid w:val="00303995"/>
    <w:rPr>
      <w:rFonts w:ascii="Calibri" w:eastAsiaTheme="minorEastAsia" w:hAnsi="Calibri"/>
      <w:sz w:val="24"/>
      <w:szCs w:val="24"/>
    </w:rPr>
  </w:style>
  <w:style w:type="character" w:styleId="CommentReference">
    <w:name w:val="annotation reference"/>
    <w:basedOn w:val="DefaultParagraphFont"/>
    <w:uiPriority w:val="99"/>
    <w:semiHidden/>
    <w:unhideWhenUsed/>
    <w:rsid w:val="00296C77"/>
    <w:rPr>
      <w:sz w:val="16"/>
      <w:szCs w:val="16"/>
    </w:rPr>
  </w:style>
  <w:style w:type="paragraph" w:styleId="CommentText">
    <w:name w:val="annotation text"/>
    <w:basedOn w:val="Normal"/>
    <w:link w:val="CommentTextChar"/>
    <w:uiPriority w:val="99"/>
    <w:unhideWhenUsed/>
    <w:rsid w:val="00296C77"/>
    <w:pPr>
      <w:spacing w:line="240" w:lineRule="auto"/>
    </w:pPr>
    <w:rPr>
      <w:sz w:val="20"/>
    </w:rPr>
  </w:style>
  <w:style w:type="character" w:customStyle="1" w:styleId="CommentTextChar">
    <w:name w:val="Comment Text Char"/>
    <w:basedOn w:val="DefaultParagraphFont"/>
    <w:link w:val="CommentText"/>
    <w:uiPriority w:val="99"/>
    <w:rsid w:val="00296C7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6C77"/>
    <w:rPr>
      <w:b/>
      <w:bCs/>
    </w:rPr>
  </w:style>
  <w:style w:type="character" w:customStyle="1" w:styleId="CommentSubjectChar">
    <w:name w:val="Comment Subject Char"/>
    <w:basedOn w:val="CommentTextChar"/>
    <w:link w:val="CommentSubject"/>
    <w:uiPriority w:val="99"/>
    <w:semiHidden/>
    <w:rsid w:val="00296C77"/>
    <w:rPr>
      <w:rFonts w:ascii="Calibri" w:eastAsia="Times New Roman" w:hAnsi="Calibri" w:cs="Times New Roman"/>
      <w:b/>
      <w:bCs/>
      <w:sz w:val="20"/>
      <w:szCs w:val="20"/>
    </w:rPr>
  </w:style>
  <w:style w:type="paragraph" w:customStyle="1" w:styleId="Bulletpointslevel3">
    <w:name w:val="Bullet points level 3"/>
    <w:basedOn w:val="Policy-BodyText"/>
    <w:link w:val="Bulletpointslevel3Char"/>
    <w:qFormat/>
    <w:rsid w:val="00813350"/>
    <w:pPr>
      <w:numPr>
        <w:ilvl w:val="0"/>
        <w:numId w:val="20"/>
      </w:numPr>
      <w:spacing w:after="80" w:line="240" w:lineRule="auto"/>
    </w:pPr>
  </w:style>
  <w:style w:type="character" w:customStyle="1" w:styleId="Bulletpointslevel3Char">
    <w:name w:val="Bullet points level 3 Char"/>
    <w:basedOn w:val="Policy-BodyTextChar"/>
    <w:link w:val="Bulletpointslevel3"/>
    <w:rsid w:val="00813350"/>
    <w:rPr>
      <w:rFonts w:ascii="Calibri" w:eastAsiaTheme="minorEastAsia"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www.ombudsman.act.gov.au/accountability-and-oversight/reportable-conduct/reportable-conduct-resource-kit" TargetMode="External"/><Relationship Id="rId39" Type="http://schemas.openxmlformats.org/officeDocument/2006/relationships/hyperlink" Target="https://www.ombudsman.act.gov.au/accountability-and-oversight/reportable-conduct/reportable-conduct-resource-kit" TargetMode="External"/><Relationship Id="rId21" Type="http://schemas.openxmlformats.org/officeDocument/2006/relationships/hyperlink" Target="https://www.ombudsman.act.gov.au/accountability-and-oversight/reportable-conduct" TargetMode="External"/><Relationship Id="rId34" Type="http://schemas.openxmlformats.org/officeDocument/2006/relationships/hyperlink" Target="https://www.cmtedd.act.gov.au/__data/assets/pdf_file/0006/2329710/Conflict-of-Interest-Policy-2021-V2.pdf" TargetMode="External"/><Relationship Id="rId42" Type="http://schemas.openxmlformats.org/officeDocument/2006/relationships/hyperlink" Target="https://www.ombudsman.act.gov.au/accountability-and-oversight/reportable-conduct/reportable-conduct-resource-kit" TargetMode="External"/><Relationship Id="rId47" Type="http://schemas.openxmlformats.org/officeDocument/2006/relationships/hyperlink" Target="https://www.act.gov.au/open/keeping-children-and-young-people-safe" TargetMode="External"/><Relationship Id="rId50" Type="http://schemas.openxmlformats.org/officeDocument/2006/relationships/hyperlink" Target="https://www.education.act.gov.au/working-with-us/benefits-and-support/professional_conduc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du.peoplecases@act.gov.au" TargetMode="External"/><Relationship Id="rId11" Type="http://schemas.openxmlformats.org/officeDocument/2006/relationships/image" Target="media/image1.png"/><Relationship Id="rId24" Type="http://schemas.openxmlformats.org/officeDocument/2006/relationships/hyperlink" Target="https://www.ombudsman.act.gov.au/accountability-and-oversight/reportable-conduct/reportable-conduct-resource-kit" TargetMode="External"/><Relationship Id="rId32" Type="http://schemas.openxmlformats.org/officeDocument/2006/relationships/hyperlink" Target="https://www.ombudsman.act.gov.au/accountability-and-oversight/reportable-conduct/reportable-conduct-resource-kit" TargetMode="External"/><Relationship Id="rId37" Type="http://schemas.openxmlformats.org/officeDocument/2006/relationships/hyperlink" Target="https://www.ombudsman.act.gov.au/accountability-and-oversight/reportable-conduct" TargetMode="External"/><Relationship Id="rId40" Type="http://schemas.openxmlformats.org/officeDocument/2006/relationships/hyperlink" Target="https://index.ed.act.edu.au/our-people/employee-assistance-program.htm" TargetMode="External"/><Relationship Id="rId45" Type="http://schemas.openxmlformats.org/officeDocument/2006/relationships/hyperlink" Target="https://services.accesscanberra.act.gov.au/s/forms/education-feedback" TargetMode="External"/><Relationship Id="rId53" Type="http://schemas.openxmlformats.org/officeDocument/2006/relationships/hyperlink" Target="https://www.education.act.gov.au/__data/assets/word_doc/0011/1964360/Volunteers-and-Visitors-in-Schools-Code-of-Conduct-Feb-2022.docx"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mailto:act@ombudsman.gov.au" TargetMode="External"/><Relationship Id="rId44" Type="http://schemas.openxmlformats.org/officeDocument/2006/relationships/hyperlink" Target="mailto:reportableconductedu@act.gov.au" TargetMode="External"/><Relationship Id="rId52" Type="http://schemas.openxmlformats.org/officeDocument/2006/relationships/hyperlink" Target="https://www.education.act.gov.au/publications_and_policies/School-and-Corporate-Policies/wellbeing/accidents-and-incidents/incident-and-emergency-management-policy/incident-and-emergency-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egislation.act.gov.au/a/alt_a1989-45co/" TargetMode="External"/><Relationship Id="rId27" Type="http://schemas.openxmlformats.org/officeDocument/2006/relationships/hyperlink" Target="https://www.ombudsman.act.gov.au/accountability-and-oversight/reportable-conduct/reportable-conduct-resource-kit" TargetMode="External"/><Relationship Id="rId30" Type="http://schemas.openxmlformats.org/officeDocument/2006/relationships/hyperlink" Target="https://services.accesscanberra.act.gov.au/s/forms/education-feedback" TargetMode="External"/><Relationship Id="rId35" Type="http://schemas.openxmlformats.org/officeDocument/2006/relationships/hyperlink" Target="https://www.ombudsman.act.gov.au/accountability-and-oversight/reportable-conduct/reportable-conduct-resource-kit" TargetMode="External"/><Relationship Id="rId43" Type="http://schemas.openxmlformats.org/officeDocument/2006/relationships/hyperlink" Target="https://www.legislation.act.gov.au/a/2008-19/" TargetMode="External"/><Relationship Id="rId48" Type="http://schemas.openxmlformats.org/officeDocument/2006/relationships/hyperlink" Target="https://www.ombudsman.act.gov.au/accountability-and-oversight/reportable-conduct/reportable-conduct-resource-kit" TargetMode="External"/><Relationship Id="rId8" Type="http://schemas.openxmlformats.org/officeDocument/2006/relationships/webSettings" Target="webSettings.xml"/><Relationship Id="rId51" Type="http://schemas.openxmlformats.org/officeDocument/2006/relationships/hyperlink" Target="https://www.education.act.gov.au/working-with-us/benefits-and-support/professional_conduct" TargetMode="External"/><Relationship Id="rId3" Type="http://schemas.openxmlformats.org/officeDocument/2006/relationships/customXml" Target="../customXml/item3.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legislation.act.gov.au/a/2011-42" TargetMode="External"/><Relationship Id="rId33" Type="http://schemas.openxmlformats.org/officeDocument/2006/relationships/hyperlink" Target="https://www.ombudsman.act.gov.au/accountability-and-oversight/reportable-conduct/reportable-conduct-resource-kit" TargetMode="External"/><Relationship Id="rId38" Type="http://schemas.openxmlformats.org/officeDocument/2006/relationships/hyperlink" Target="https://www.ombudsman.act.gov.au/accountability-and-oversight/reportable-conduct/reportable-conduct-resource-kit" TargetMode="External"/><Relationship Id="rId46" Type="http://schemas.openxmlformats.org/officeDocument/2006/relationships/hyperlink" Target="https://www.education.act.gov.au/about-us/contact_us" TargetMode="External"/><Relationship Id="rId20" Type="http://schemas.openxmlformats.org/officeDocument/2006/relationships/hyperlink" Target="https://www.ombudsman.act.gov.au/accountability-and-oversight/reportable-conduct" TargetMode="External"/><Relationship Id="rId41" Type="http://schemas.openxmlformats.org/officeDocument/2006/relationships/hyperlink" Target="http://www.ombudsman.act.gov.au/__data/assets/pdf_file/0014/81005/No.-7-17J-final-repor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ombudsman.act.gov.au/accountability-and-oversight/reportable-conduct/reportable-conduct-resource-kit" TargetMode="External"/><Relationship Id="rId28" Type="http://schemas.openxmlformats.org/officeDocument/2006/relationships/hyperlink" Target="https://www.education.act.gov.au/publications_and_policies/School-and-Corporate-Policies/school-administration-and-management/school-management/reportable-conduct-scheme-policy/reportable-conduct-scheme-policy" TargetMode="External"/><Relationship Id="rId36" Type="http://schemas.openxmlformats.org/officeDocument/2006/relationships/hyperlink" Target="https://www.ombudsman.act.gov.au/accountability-and-oversight/reportable-conduct/reportable-conduct-resource-kit" TargetMode="External"/><Relationship Id="rId49" Type="http://schemas.openxmlformats.org/officeDocument/2006/relationships/hyperlink" Target="https://www.education.act.gov.au/publications_and_policies/School-and-Corporate-Policies/wellbeing/child-protection/child-protection-and-reporting-child-abuse-and-neglect-policy"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D8BECC4B7D24CBA2F8F22FFFD45B6" ma:contentTypeVersion="0" ma:contentTypeDescription="Create a new document." ma:contentTypeScope="" ma:versionID="1712e936af29177b6378871df694ff00">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10386B-3CFE-476C-BDBA-835CD00BB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10</Pages>
  <Words>3488</Words>
  <Characters>20372</Characters>
  <Application>Microsoft Office Word</Application>
  <DocSecurity>0</DocSecurity>
  <Lines>509</Lines>
  <Paragraphs>331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Maskell, Alan</dc:creator>
  <cp:lastModifiedBy>Wynne, Madeleine</cp:lastModifiedBy>
  <cp:revision>93</cp:revision>
  <cp:lastPrinted>2024-10-21T23:37:00Z</cp:lastPrinted>
  <dcterms:created xsi:type="dcterms:W3CDTF">2024-06-17T06:20:00Z</dcterms:created>
  <dcterms:modified xsi:type="dcterms:W3CDTF">2026-02-25T00:17:00Z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0x010100237D8BECC4B7D24CBA2F8F22FFFD45B6</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