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BD" w:rsidRPr="00062F00" w:rsidRDefault="00BD796D" w:rsidP="00327556">
      <w:pPr>
        <w:pStyle w:val="BodyText1"/>
        <w:spacing w:before="0" w:after="0"/>
        <w:ind w:right="-22"/>
      </w:pPr>
      <w:r w:rsidRPr="00BD796D">
        <w:rPr>
          <w:noProof/>
          <w:lang w:eastAsia="en-AU"/>
        </w:rPr>
        <w:drawing>
          <wp:inline distT="0" distB="0" distL="0" distR="0">
            <wp:extent cx="1962150" cy="857250"/>
            <wp:effectExtent l="0" t="0" r="0" b="0"/>
            <wp:docPr id="3" name="Picture 20" descr="ACT Government Logo - Education and Training Directorate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ummer field\AppData\Local\Microsoft\Windows\Temporary Internet Files\Content.Word\ACTGov_EaT_inline_29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091" w:rsidRDefault="008E4B9A" w:rsidP="002D5091">
      <w:pPr>
        <w:pStyle w:val="PolicyHeading1-Accessible"/>
      </w:pPr>
      <w:r>
        <w:t>STUDY TOURS AND PROGRAMS FOR INTERNATIONAL VISITORS</w:t>
      </w:r>
      <w:r w:rsidR="00052059">
        <w:t xml:space="preserve"> PROCEDURE</w:t>
      </w:r>
    </w:p>
    <w:p w:rsidR="00155F87" w:rsidRPr="008E4B9A" w:rsidRDefault="00155F87" w:rsidP="00CF404F">
      <w:pPr>
        <w:pStyle w:val="Policy-BodyText"/>
        <w:numPr>
          <w:ilvl w:val="0"/>
          <w:numId w:val="0"/>
        </w:numPr>
        <w:rPr>
          <w:rStyle w:val="ExplanatoryTextChar"/>
          <w:rFonts w:eastAsiaTheme="minorEastAsia"/>
          <w:i/>
          <w:sz w:val="24"/>
          <w:szCs w:val="24"/>
        </w:rPr>
      </w:pPr>
      <w:bookmarkStart w:id="0" w:name="_Toc419886018"/>
      <w:r w:rsidRPr="00155F87">
        <w:t xml:space="preserve">This procedure must be read in conjunction with </w:t>
      </w:r>
      <w:bookmarkEnd w:id="0"/>
      <w:r w:rsidR="008E4B9A">
        <w:rPr>
          <w:rStyle w:val="ExplanatoryTextChar"/>
          <w:rFonts w:eastAsiaTheme="minorEastAsia"/>
          <w:b w:val="0"/>
          <w:sz w:val="24"/>
          <w:szCs w:val="24"/>
        </w:rPr>
        <w:t xml:space="preserve">the </w:t>
      </w:r>
      <w:r w:rsidR="008E4B9A" w:rsidRPr="008E4B9A">
        <w:rPr>
          <w:rStyle w:val="ExplanatoryTextChar"/>
          <w:rFonts w:eastAsiaTheme="minorEastAsia"/>
          <w:b w:val="0"/>
          <w:i/>
          <w:sz w:val="24"/>
          <w:szCs w:val="24"/>
        </w:rPr>
        <w:t xml:space="preserve">Study Tours and Programs for International Visitors </w:t>
      </w:r>
      <w:r w:rsidR="008E4B9A" w:rsidRPr="00052059">
        <w:rPr>
          <w:rStyle w:val="ExplanatoryTextChar"/>
          <w:rFonts w:eastAsiaTheme="minorEastAsia"/>
          <w:b w:val="0"/>
          <w:sz w:val="24"/>
          <w:szCs w:val="24"/>
        </w:rPr>
        <w:t>Policy</w:t>
      </w:r>
      <w:r w:rsidR="00052059">
        <w:rPr>
          <w:rStyle w:val="ExplanatoryTextChar"/>
          <w:rFonts w:eastAsiaTheme="minorEastAsia"/>
          <w:b w:val="0"/>
          <w:i/>
          <w:sz w:val="24"/>
          <w:szCs w:val="24"/>
        </w:rPr>
        <w:t>.</w:t>
      </w:r>
    </w:p>
    <w:p w:rsidR="007B0AF3" w:rsidRDefault="007B0AF3" w:rsidP="007B0AF3">
      <w:pPr>
        <w:pStyle w:val="PolicyHeading2-Accessible"/>
      </w:pPr>
      <w:bookmarkStart w:id="1" w:name="_Toc419889959"/>
      <w:r>
        <w:t>Overview</w:t>
      </w:r>
      <w:bookmarkEnd w:id="1"/>
    </w:p>
    <w:p w:rsidR="007B0AF3" w:rsidRPr="007B0AF3" w:rsidRDefault="007B0AF3" w:rsidP="008C2A9B">
      <w:pPr>
        <w:pStyle w:val="Policy-BodyText"/>
        <w:ind w:left="567" w:hanging="567"/>
      </w:pPr>
      <w:r>
        <w:t xml:space="preserve">The </w:t>
      </w:r>
      <w:r w:rsidR="00956A94">
        <w:t>procedure sets out the action to be taken by Directorate staff in planning study tours and programs for international visitors</w:t>
      </w:r>
      <w:r>
        <w:t>.</w:t>
      </w:r>
    </w:p>
    <w:p w:rsidR="007B0AF3" w:rsidRDefault="007B0AF3" w:rsidP="007B0AF3">
      <w:pPr>
        <w:pStyle w:val="PolicyHeading2-Accessible"/>
      </w:pPr>
      <w:bookmarkStart w:id="2" w:name="_Toc419889960"/>
      <w:r>
        <w:t>Rationale</w:t>
      </w:r>
      <w:bookmarkEnd w:id="2"/>
    </w:p>
    <w:p w:rsidR="007B0AF3" w:rsidRPr="007B0AF3" w:rsidRDefault="00956A94" w:rsidP="008C2A9B">
      <w:pPr>
        <w:pStyle w:val="Policy-BodyText"/>
        <w:ind w:left="567" w:hanging="567"/>
      </w:pPr>
      <w:r>
        <w:t>The procedures ensure compliance with Directorate policies and Commonwealth and ACT legislation.</w:t>
      </w:r>
    </w:p>
    <w:p w:rsidR="007B0AF3" w:rsidRDefault="007B0AF3" w:rsidP="007B0AF3">
      <w:pPr>
        <w:pStyle w:val="PolicyHeading2-Accessible"/>
      </w:pPr>
      <w:bookmarkStart w:id="3" w:name="_Toc419889961"/>
      <w:r>
        <w:t>Procedures</w:t>
      </w:r>
      <w:bookmarkEnd w:id="3"/>
    </w:p>
    <w:p w:rsidR="00956A94" w:rsidRDefault="00956A94" w:rsidP="00AD694F">
      <w:pPr>
        <w:pStyle w:val="Policy-BodyText"/>
      </w:pPr>
      <w:r>
        <w:t>The I</w:t>
      </w:r>
      <w:r w:rsidR="00F57C3D">
        <w:t xml:space="preserve">nternational </w:t>
      </w:r>
      <w:r>
        <w:t>E</w:t>
      </w:r>
      <w:r w:rsidR="00F57C3D">
        <w:t xml:space="preserve">ducation </w:t>
      </w:r>
      <w:r>
        <w:t>U</w:t>
      </w:r>
      <w:r w:rsidR="00F57C3D">
        <w:t>nit</w:t>
      </w:r>
      <w:r>
        <w:t xml:space="preserve"> </w:t>
      </w:r>
    </w:p>
    <w:p w:rsidR="007B0AF3" w:rsidRDefault="00956A94" w:rsidP="00053E67">
      <w:pPr>
        <w:pStyle w:val="Policy-BodyText"/>
        <w:numPr>
          <w:ilvl w:val="0"/>
          <w:numId w:val="30"/>
        </w:numPr>
        <w:ind w:left="851" w:hanging="284"/>
      </w:pPr>
      <w:r>
        <w:t>arrange</w:t>
      </w:r>
      <w:r w:rsidR="008D0E94">
        <w:t>s</w:t>
      </w:r>
      <w:r>
        <w:t xml:space="preserve"> access for international visitors to appropriate support, including assistance with enrolment, adequate orientation, study facilities, welfare, counselling, accommodation services, internet access, attendance monitoring and grievance mechanisms</w:t>
      </w:r>
      <w:r w:rsidR="007B0AF3">
        <w:t>.</w:t>
      </w:r>
    </w:p>
    <w:p w:rsidR="007B0AF3" w:rsidRDefault="00956A94" w:rsidP="00053E67">
      <w:pPr>
        <w:pStyle w:val="Policy-BodyText"/>
        <w:numPr>
          <w:ilvl w:val="0"/>
          <w:numId w:val="30"/>
        </w:numPr>
        <w:ind w:left="851" w:hanging="284"/>
      </w:pPr>
      <w:r>
        <w:t>collects and distributes monies generated by the program.</w:t>
      </w:r>
    </w:p>
    <w:p w:rsidR="007B0AF3" w:rsidRDefault="00F57C3D" w:rsidP="00053E67">
      <w:pPr>
        <w:pStyle w:val="Policy-BodyText"/>
        <w:numPr>
          <w:ilvl w:val="0"/>
          <w:numId w:val="30"/>
        </w:numPr>
        <w:ind w:left="851" w:hanging="284"/>
      </w:pPr>
      <w:r>
        <w:t xml:space="preserve">works with schools to </w:t>
      </w:r>
      <w:r w:rsidR="00956A94">
        <w:t xml:space="preserve">facilitate the background checks as mandated in the </w:t>
      </w:r>
      <w:r w:rsidR="00956A94" w:rsidRPr="00956A94">
        <w:rPr>
          <w:i/>
        </w:rPr>
        <w:t>Working with Vulnerable People (Background Checking) Act 201</w:t>
      </w:r>
      <w:r w:rsidR="00956A94" w:rsidRPr="00A56EFA">
        <w:rPr>
          <w:i/>
        </w:rPr>
        <w:t>1</w:t>
      </w:r>
      <w:r w:rsidR="00956A94">
        <w:t>. Background checks are required for all host family applicants over the age of 16.</w:t>
      </w:r>
    </w:p>
    <w:p w:rsidR="00956A94" w:rsidRDefault="00956A94" w:rsidP="00053E67">
      <w:pPr>
        <w:pStyle w:val="Policy-BodyText"/>
        <w:numPr>
          <w:ilvl w:val="0"/>
          <w:numId w:val="30"/>
        </w:numPr>
        <w:ind w:left="851" w:hanging="284"/>
      </w:pPr>
      <w:r>
        <w:t>retains a list of all visitors, with the address and telephone number of their host families and contact numbers for visiting teachers, in case of emergencies.</w:t>
      </w:r>
    </w:p>
    <w:p w:rsidR="00F57C3D" w:rsidRDefault="00F57C3D" w:rsidP="00053E67">
      <w:pPr>
        <w:pStyle w:val="Policy-BodyText"/>
        <w:numPr>
          <w:ilvl w:val="0"/>
          <w:numId w:val="30"/>
        </w:numPr>
        <w:ind w:left="851" w:hanging="284"/>
      </w:pPr>
      <w:r>
        <w:t>retains evidence of comprehensive travel and medical insurance and a signed medical release form for each international visitor should medical assistance be required during the visit.</w:t>
      </w:r>
    </w:p>
    <w:p w:rsidR="00956A94" w:rsidRDefault="008D0E94" w:rsidP="00053E67">
      <w:pPr>
        <w:pStyle w:val="Policy-BodyText"/>
        <w:numPr>
          <w:ilvl w:val="0"/>
          <w:numId w:val="30"/>
        </w:numPr>
        <w:ind w:left="851" w:hanging="284"/>
      </w:pPr>
      <w:r>
        <w:t>puts in place arrangements aimed to ensure the safety of visitors while attending ACT public schools and is sensitive to the cultural and special needs of international visitors</w:t>
      </w:r>
    </w:p>
    <w:p w:rsidR="008D0E94" w:rsidRDefault="008D0E94" w:rsidP="00053E67">
      <w:pPr>
        <w:pStyle w:val="Policy-BodyText"/>
        <w:numPr>
          <w:ilvl w:val="0"/>
          <w:numId w:val="30"/>
        </w:numPr>
        <w:ind w:left="851" w:hanging="284"/>
      </w:pPr>
      <w:r>
        <w:t>facilitates programs for students and adults on a fee for service basis.</w:t>
      </w:r>
    </w:p>
    <w:p w:rsidR="008D0E94" w:rsidRDefault="008D0E94" w:rsidP="008D0E94">
      <w:pPr>
        <w:pStyle w:val="Policy-BodyText"/>
      </w:pPr>
      <w:r>
        <w:t>Principals</w:t>
      </w:r>
    </w:p>
    <w:p w:rsidR="008D0E94" w:rsidRDefault="008D0E94" w:rsidP="00036993">
      <w:pPr>
        <w:pStyle w:val="Policy-BodyText"/>
        <w:numPr>
          <w:ilvl w:val="0"/>
          <w:numId w:val="31"/>
        </w:numPr>
        <w:ind w:left="851" w:hanging="284"/>
      </w:pPr>
      <w:r>
        <w:t>ensure that high quality services are delivered to international visitors attending ACT public schools</w:t>
      </w:r>
    </w:p>
    <w:p w:rsidR="008D0E94" w:rsidRDefault="008D0E94" w:rsidP="00036993">
      <w:pPr>
        <w:pStyle w:val="Policy-BodyText"/>
        <w:numPr>
          <w:ilvl w:val="0"/>
          <w:numId w:val="31"/>
        </w:numPr>
        <w:ind w:left="851" w:hanging="284"/>
      </w:pPr>
      <w:r>
        <w:t>will appoint a teacher responsible for the management of the study tour or the education program and will allocate release time from teaching to perform this function</w:t>
      </w:r>
    </w:p>
    <w:p w:rsidR="008D0E94" w:rsidRDefault="008D0E94" w:rsidP="00036993">
      <w:pPr>
        <w:pStyle w:val="Policy-BodyText"/>
        <w:numPr>
          <w:ilvl w:val="0"/>
          <w:numId w:val="31"/>
        </w:numPr>
        <w:ind w:left="851" w:hanging="284"/>
      </w:pPr>
      <w:r>
        <w:t xml:space="preserve">allocate resources generated by the program </w:t>
      </w:r>
      <w:r w:rsidR="00F57C3D">
        <w:t>appropriately to ensure the international visitors are well supported</w:t>
      </w:r>
    </w:p>
    <w:p w:rsidR="008D0E94" w:rsidRDefault="008D0E94" w:rsidP="00036993">
      <w:pPr>
        <w:pStyle w:val="Policy-BodyText"/>
        <w:numPr>
          <w:ilvl w:val="0"/>
          <w:numId w:val="31"/>
        </w:numPr>
        <w:ind w:left="851" w:hanging="284"/>
      </w:pPr>
      <w:r>
        <w:t>may decline study tours and education programs should they potentially interfere with core school activities</w:t>
      </w:r>
    </w:p>
    <w:p w:rsidR="008D0E94" w:rsidRDefault="008D0E94" w:rsidP="00036993">
      <w:pPr>
        <w:pStyle w:val="Policy-BodyText"/>
        <w:numPr>
          <w:ilvl w:val="0"/>
          <w:numId w:val="31"/>
        </w:numPr>
        <w:ind w:left="851" w:hanging="284"/>
      </w:pPr>
      <w:r>
        <w:t>ensure that all host families accepting international visitors are deemed of good character by the principal or delegate and have met all appropriate guidelines for student safety, welfare and wellbeing.</w:t>
      </w:r>
    </w:p>
    <w:p w:rsidR="006B757B" w:rsidRDefault="006B757B" w:rsidP="006B757B">
      <w:pPr>
        <w:pStyle w:val="Policy-BodyText"/>
      </w:pPr>
      <w:r>
        <w:t>Teacher in charge of study tour</w:t>
      </w:r>
    </w:p>
    <w:p w:rsidR="006B757B" w:rsidRDefault="006B757B" w:rsidP="00036993">
      <w:pPr>
        <w:pStyle w:val="Policy-BodyText"/>
        <w:numPr>
          <w:ilvl w:val="0"/>
          <w:numId w:val="32"/>
        </w:numPr>
        <w:ind w:left="851" w:hanging="284"/>
      </w:pPr>
      <w:r>
        <w:t>matches visitors by age, gender and cultural factors and must ensure the host parents are aware of the minimum expectations for accommodation</w:t>
      </w:r>
    </w:p>
    <w:p w:rsidR="00F57C3D" w:rsidRDefault="00F57C3D" w:rsidP="00036993">
      <w:pPr>
        <w:pStyle w:val="Policy-BodyText"/>
        <w:numPr>
          <w:ilvl w:val="0"/>
          <w:numId w:val="32"/>
        </w:numPr>
        <w:ind w:left="851" w:hanging="284"/>
      </w:pPr>
      <w:r>
        <w:lastRenderedPageBreak/>
        <w:t xml:space="preserve">works with the International Education Unit to facilitate the background checks as mandated in the </w:t>
      </w:r>
      <w:r w:rsidRPr="00F57C3D">
        <w:rPr>
          <w:i/>
        </w:rPr>
        <w:t>Working with Vulnerable People (Background Checking) Act 201</w:t>
      </w:r>
      <w:r>
        <w:t>1.  Background checks are required for all host family applicants over the age of 16.</w:t>
      </w:r>
    </w:p>
    <w:p w:rsidR="006B757B" w:rsidRDefault="006B757B" w:rsidP="00036993">
      <w:pPr>
        <w:pStyle w:val="Policy-BodyText"/>
        <w:numPr>
          <w:ilvl w:val="0"/>
          <w:numId w:val="32"/>
        </w:numPr>
        <w:ind w:left="851" w:hanging="284"/>
      </w:pPr>
      <w:r>
        <w:t>ensures there is standby accommodation in reserve for visitors who may need to be relocated</w:t>
      </w:r>
    </w:p>
    <w:p w:rsidR="006B757B" w:rsidRDefault="006B757B" w:rsidP="00036993">
      <w:pPr>
        <w:pStyle w:val="Policy-BodyText"/>
        <w:numPr>
          <w:ilvl w:val="0"/>
          <w:numId w:val="32"/>
        </w:numPr>
        <w:ind w:left="851" w:hanging="284"/>
      </w:pPr>
      <w:r>
        <w:t>monitors visitors on a regular basis to ensure that any issues arising are handled in a timely manner.  This may include visiting the host family, telephoning the visitor at the host family or having daily contact with the visitor</w:t>
      </w:r>
    </w:p>
    <w:p w:rsidR="00F57C3D" w:rsidRDefault="00F57C3D" w:rsidP="00036993">
      <w:pPr>
        <w:pStyle w:val="Policy-BodyText"/>
        <w:numPr>
          <w:ilvl w:val="0"/>
          <w:numId w:val="32"/>
        </w:numPr>
        <w:ind w:left="851" w:hanging="284"/>
      </w:pPr>
      <w:r>
        <w:t>retains a list of all visitors, with the address and telephone number of their host families and contact numbers for visiting teachers, in case of emergencies</w:t>
      </w:r>
    </w:p>
    <w:p w:rsidR="006B757B" w:rsidRDefault="006B757B" w:rsidP="00036993">
      <w:pPr>
        <w:pStyle w:val="Policy-BodyText"/>
        <w:numPr>
          <w:ilvl w:val="0"/>
          <w:numId w:val="32"/>
        </w:numPr>
        <w:ind w:left="851" w:hanging="284"/>
      </w:pPr>
      <w:r>
        <w:t>advises the principal and the I</w:t>
      </w:r>
      <w:r w:rsidR="00F57C3D">
        <w:t xml:space="preserve">nternational </w:t>
      </w:r>
      <w:r>
        <w:t>E</w:t>
      </w:r>
      <w:r w:rsidR="00F57C3D">
        <w:t xml:space="preserve">ducation </w:t>
      </w:r>
      <w:r>
        <w:t>U</w:t>
      </w:r>
      <w:r w:rsidR="00F57C3D">
        <w:t>nit</w:t>
      </w:r>
      <w:r>
        <w:t xml:space="preserve"> in the event of an emergency.</w:t>
      </w:r>
    </w:p>
    <w:p w:rsidR="008D0E94" w:rsidRDefault="008D0E94" w:rsidP="008D0E94">
      <w:pPr>
        <w:pStyle w:val="Policy-BodyText"/>
      </w:pPr>
      <w:r>
        <w:t>Teaching staff</w:t>
      </w:r>
    </w:p>
    <w:p w:rsidR="008D0E94" w:rsidRDefault="008D0E94" w:rsidP="00036993">
      <w:pPr>
        <w:pStyle w:val="Policy-BodyText"/>
        <w:numPr>
          <w:ilvl w:val="0"/>
          <w:numId w:val="33"/>
        </w:numPr>
        <w:ind w:left="851" w:hanging="284"/>
      </w:pPr>
      <w:r>
        <w:t xml:space="preserve">observe at all times duty of care to all students. </w:t>
      </w:r>
      <w:r w:rsidR="006B757B">
        <w:t>Staff</w:t>
      </w:r>
      <w:r>
        <w:t xml:space="preserve"> must take all re</w:t>
      </w:r>
      <w:r w:rsidR="006B757B">
        <w:t xml:space="preserve">asonable steps to ensure </w:t>
      </w:r>
      <w:r w:rsidR="00B95751">
        <w:t>Directorate</w:t>
      </w:r>
      <w:r w:rsidR="006B757B">
        <w:t xml:space="preserve"> and school policies are adhered to for international visitors</w:t>
      </w:r>
      <w:r w:rsidR="00036993">
        <w:t>.</w:t>
      </w:r>
    </w:p>
    <w:p w:rsidR="009024BA" w:rsidRDefault="009024BA" w:rsidP="000E5EFA">
      <w:pPr>
        <w:pStyle w:val="PolicyHeading2-Accessible"/>
      </w:pPr>
      <w:bookmarkStart w:id="4" w:name="_Toc419889963"/>
      <w:bookmarkStart w:id="5" w:name="_Toc419889962"/>
      <w:r>
        <w:t>Contact</w:t>
      </w:r>
      <w:bookmarkEnd w:id="4"/>
    </w:p>
    <w:p w:rsidR="009024BA" w:rsidRPr="007B3DA1" w:rsidRDefault="009024BA" w:rsidP="00AD694F">
      <w:pPr>
        <w:pStyle w:val="Policy-BodyText"/>
      </w:pPr>
      <w:r>
        <w:t xml:space="preserve">The Director, </w:t>
      </w:r>
      <w:r w:rsidR="000E5EFA">
        <w:rPr>
          <w:rStyle w:val="ExplanatoryTextChar"/>
          <w:rFonts w:eastAsiaTheme="minorEastAsia"/>
          <w:b w:val="0"/>
          <w:sz w:val="24"/>
          <w:szCs w:val="24"/>
        </w:rPr>
        <w:t>Student Engagement</w:t>
      </w:r>
      <w:r>
        <w:rPr>
          <w:rStyle w:val="ExplanatoryTextChar"/>
          <w:rFonts w:eastAsiaTheme="minorEastAsia"/>
          <w:b w:val="0"/>
          <w:sz w:val="24"/>
          <w:szCs w:val="24"/>
        </w:rPr>
        <w:t xml:space="preserve"> is responsible for this procedure.</w:t>
      </w:r>
    </w:p>
    <w:p w:rsidR="006B757B" w:rsidRDefault="006B757B" w:rsidP="000E5EFA">
      <w:pPr>
        <w:pStyle w:val="Policy-BodyText"/>
        <w:ind w:left="567" w:hanging="567"/>
      </w:pPr>
      <w:r>
        <w:t xml:space="preserve">Further information and fact sheets are available by contacting the International Education Study Tour Coordinator at </w:t>
      </w:r>
      <w:hyperlink r:id="rId9" w:history="1">
        <w:r w:rsidRPr="00E947D4">
          <w:rPr>
            <w:rStyle w:val="Hyperlink"/>
          </w:rPr>
          <w:t>ieu@act.gov.au</w:t>
        </w:r>
      </w:hyperlink>
      <w:r>
        <w:t>.</w:t>
      </w:r>
    </w:p>
    <w:p w:rsidR="00692CF6" w:rsidRDefault="005169F4" w:rsidP="00131156">
      <w:pPr>
        <w:pStyle w:val="PolicyHeading2-Accessible"/>
      </w:pPr>
      <w:r>
        <w:t>Complaints</w:t>
      </w:r>
      <w:bookmarkEnd w:id="5"/>
    </w:p>
    <w:p w:rsidR="00E07686" w:rsidRDefault="00E07686" w:rsidP="00177930">
      <w:pPr>
        <w:pStyle w:val="Policy-BodyText"/>
        <w:ind w:left="567" w:hanging="567"/>
      </w:pPr>
      <w:r>
        <w:t>Any concerns about the application of this p</w:t>
      </w:r>
      <w:r w:rsidR="00305253">
        <w:t>rocedure</w:t>
      </w:r>
      <w:r>
        <w:t xml:space="preserve"> or the p</w:t>
      </w:r>
      <w:r w:rsidR="00305253">
        <w:t>rocedure</w:t>
      </w:r>
      <w:r>
        <w:t xml:space="preserve"> itself, should be raised with:</w:t>
      </w:r>
    </w:p>
    <w:p w:rsidR="00E07686" w:rsidRDefault="00E07686" w:rsidP="00E07686">
      <w:pPr>
        <w:pStyle w:val="Policy-BodyText"/>
        <w:numPr>
          <w:ilvl w:val="0"/>
          <w:numId w:val="23"/>
        </w:numPr>
        <w:ind w:left="851" w:hanging="284"/>
      </w:pPr>
      <w:r>
        <w:t xml:space="preserve">the school principal </w:t>
      </w:r>
      <w:r w:rsidRPr="009F40BB">
        <w:t>in the first instance;</w:t>
      </w:r>
    </w:p>
    <w:p w:rsidR="00E07686" w:rsidRDefault="00E07686" w:rsidP="00E07686">
      <w:pPr>
        <w:pStyle w:val="Policy-BodyText"/>
        <w:numPr>
          <w:ilvl w:val="0"/>
          <w:numId w:val="23"/>
        </w:numPr>
        <w:ind w:left="851" w:hanging="284"/>
      </w:pPr>
      <w:r>
        <w:t>contact the Directorate’s Liaison Unit on (02) 6205 5429</w:t>
      </w:r>
      <w:r w:rsidR="00653AB7">
        <w:t>;</w:t>
      </w:r>
      <w:r>
        <w:t xml:space="preserve"> </w:t>
      </w:r>
    </w:p>
    <w:p w:rsidR="00E07686" w:rsidRDefault="00E07686" w:rsidP="00E07686">
      <w:pPr>
        <w:pStyle w:val="Policy-BodyText"/>
        <w:numPr>
          <w:ilvl w:val="0"/>
          <w:numId w:val="23"/>
        </w:numPr>
        <w:ind w:left="851" w:hanging="284"/>
      </w:pPr>
      <w:r>
        <w:t xml:space="preserve">online at </w:t>
      </w:r>
      <w:hyperlink r:id="rId10" w:history="1">
        <w:r w:rsidRPr="007C0BC2">
          <w:rPr>
            <w:rStyle w:val="Hyperlink"/>
          </w:rPr>
          <w:t>http://www.det.act.gov.au/contact_us</w:t>
        </w:r>
      </w:hyperlink>
      <w:r w:rsidR="00653AB7">
        <w:t>;</w:t>
      </w:r>
    </w:p>
    <w:p w:rsidR="007C6BE8" w:rsidRDefault="00E07686" w:rsidP="00E07686">
      <w:pPr>
        <w:pStyle w:val="Policy-BodyText"/>
        <w:numPr>
          <w:ilvl w:val="0"/>
          <w:numId w:val="23"/>
        </w:numPr>
        <w:ind w:left="851" w:hanging="284"/>
      </w:pPr>
      <w:r>
        <w:t xml:space="preserve">see also the </w:t>
      </w:r>
      <w:r>
        <w:rPr>
          <w:i/>
        </w:rPr>
        <w:t xml:space="preserve">Complaints </w:t>
      </w:r>
      <w:r w:rsidRPr="00FB47B5">
        <w:rPr>
          <w:i/>
        </w:rPr>
        <w:t>P</w:t>
      </w:r>
      <w:r w:rsidRPr="000E25E2">
        <w:rPr>
          <w:i/>
        </w:rPr>
        <w:t>olicy</w:t>
      </w:r>
      <w:r>
        <w:t xml:space="preserve"> </w:t>
      </w:r>
      <w:r w:rsidRPr="00CF0E12">
        <w:t>on the Directorate’s website</w:t>
      </w:r>
      <w:r>
        <w:t>.</w:t>
      </w:r>
    </w:p>
    <w:p w:rsidR="00BD68F4" w:rsidRDefault="00F5482B" w:rsidP="00BD68F4">
      <w:pPr>
        <w:pStyle w:val="PolicyHeading2-Accessible"/>
      </w:pPr>
      <w:bookmarkStart w:id="6" w:name="_Toc419889964"/>
      <w:r>
        <w:t>References</w:t>
      </w:r>
      <w:bookmarkEnd w:id="6"/>
    </w:p>
    <w:p w:rsidR="00DF6DBC" w:rsidRPr="00BC0D96" w:rsidRDefault="00835401" w:rsidP="00AD694F">
      <w:pPr>
        <w:pStyle w:val="Policy-BodyText"/>
        <w:rPr>
          <w:b/>
        </w:rPr>
      </w:pPr>
      <w:r w:rsidRPr="00BC0D96">
        <w:rPr>
          <w:b/>
        </w:rPr>
        <w:t>Definitions</w:t>
      </w:r>
    </w:p>
    <w:p w:rsidR="000E5EFA" w:rsidRPr="000E5EFA" w:rsidRDefault="000E5EFA" w:rsidP="000E5EFA">
      <w:pPr>
        <w:pStyle w:val="Policy-BodyText"/>
        <w:numPr>
          <w:ilvl w:val="0"/>
          <w:numId w:val="23"/>
        </w:numPr>
        <w:ind w:left="851" w:hanging="284"/>
      </w:pPr>
      <w:r w:rsidRPr="000E5EFA">
        <w:t>An</w:t>
      </w:r>
      <w:r w:rsidRPr="000E5EFA">
        <w:rPr>
          <w:i/>
        </w:rPr>
        <w:t xml:space="preserve"> </w:t>
      </w:r>
      <w:r w:rsidRPr="00862819">
        <w:rPr>
          <w:b/>
        </w:rPr>
        <w:t>agent</w:t>
      </w:r>
      <w:r w:rsidR="00862819" w:rsidRPr="00862819">
        <w:rPr>
          <w:b/>
        </w:rPr>
        <w:t>:</w:t>
      </w:r>
      <w:r w:rsidRPr="000E5EFA">
        <w:rPr>
          <w:i/>
        </w:rPr>
        <w:t xml:space="preserve"> </w:t>
      </w:r>
      <w:r w:rsidRPr="000E5EFA">
        <w:t>is an individual, company or other organisation providing services on a commercial basis under an agreement with the ACT Government to assist individuals to participate in an ACT Government Education and Training Directorate study tour or delegation. Agents include:</w:t>
      </w:r>
    </w:p>
    <w:p w:rsidR="000E5EFA" w:rsidRPr="000E5EFA" w:rsidRDefault="000E5EFA" w:rsidP="008F2B26">
      <w:pPr>
        <w:pStyle w:val="Policy-BodyText"/>
        <w:numPr>
          <w:ilvl w:val="1"/>
          <w:numId w:val="23"/>
        </w:numPr>
        <w:ind w:left="1134" w:hanging="283"/>
        <w:rPr>
          <w:i/>
        </w:rPr>
      </w:pPr>
      <w:r>
        <w:rPr>
          <w:i/>
        </w:rPr>
        <w:t>e</w:t>
      </w:r>
      <w:r w:rsidRPr="000E5EFA">
        <w:rPr>
          <w:i/>
        </w:rPr>
        <w:t>ducation specialists who place students on behalf of one or more institutions;</w:t>
      </w:r>
    </w:p>
    <w:p w:rsidR="000E5EFA" w:rsidRPr="000E5EFA" w:rsidRDefault="000E5EFA" w:rsidP="008F2B26">
      <w:pPr>
        <w:pStyle w:val="Policy-BodyText"/>
        <w:numPr>
          <w:ilvl w:val="1"/>
          <w:numId w:val="23"/>
        </w:numPr>
        <w:ind w:left="1134" w:hanging="283"/>
        <w:rPr>
          <w:i/>
        </w:rPr>
      </w:pPr>
      <w:r>
        <w:rPr>
          <w:i/>
        </w:rPr>
        <w:t>e</w:t>
      </w:r>
      <w:r w:rsidRPr="000E5EFA">
        <w:rPr>
          <w:i/>
        </w:rPr>
        <w:t>ducation specialists who place students but with no ties to any particular institution;</w:t>
      </w:r>
    </w:p>
    <w:p w:rsidR="000E5EFA" w:rsidRPr="000E5EFA" w:rsidRDefault="000E5EFA" w:rsidP="008F2B26">
      <w:pPr>
        <w:pStyle w:val="Policy-BodyText"/>
        <w:numPr>
          <w:ilvl w:val="1"/>
          <w:numId w:val="23"/>
        </w:numPr>
        <w:ind w:left="1134" w:hanging="283"/>
        <w:rPr>
          <w:i/>
        </w:rPr>
      </w:pPr>
      <w:r>
        <w:rPr>
          <w:i/>
        </w:rPr>
        <w:t>n</w:t>
      </w:r>
      <w:r w:rsidRPr="000E5EFA">
        <w:rPr>
          <w:i/>
        </w:rPr>
        <w:t>on-education specialists, for example travel agents, who may offer overseas education placement services as a subsidiary activity.</w:t>
      </w:r>
    </w:p>
    <w:p w:rsidR="00862819" w:rsidRPr="00862819" w:rsidRDefault="00862819" w:rsidP="00862819">
      <w:pPr>
        <w:pStyle w:val="Policy-BodyText"/>
        <w:numPr>
          <w:ilvl w:val="0"/>
          <w:numId w:val="23"/>
        </w:numPr>
        <w:ind w:left="851" w:hanging="284"/>
      </w:pPr>
      <w:r w:rsidRPr="00862819">
        <w:rPr>
          <w:b/>
        </w:rPr>
        <w:t>Study Tours and Education Programs</w:t>
      </w:r>
      <w:r>
        <w:rPr>
          <w:b/>
        </w:rPr>
        <w:t>:</w:t>
      </w:r>
      <w:r>
        <w:rPr>
          <w:i/>
        </w:rPr>
        <w:t xml:space="preserve"> </w:t>
      </w:r>
      <w:r>
        <w:t>r</w:t>
      </w:r>
      <w:r w:rsidRPr="000E5EFA">
        <w:t xml:space="preserve">efers to study tours, delegations and all international programs hosted by </w:t>
      </w:r>
      <w:r>
        <w:t xml:space="preserve">the </w:t>
      </w:r>
      <w:r w:rsidRPr="000E5EFA">
        <w:t>Education and Training Directorate.</w:t>
      </w:r>
    </w:p>
    <w:p w:rsidR="00032B16" w:rsidRPr="007164F4" w:rsidRDefault="00BC0D96" w:rsidP="00653AB7">
      <w:pPr>
        <w:pStyle w:val="Policy-BodyText"/>
        <w:rPr>
          <w:b/>
        </w:rPr>
      </w:pPr>
      <w:r w:rsidRPr="007164F4">
        <w:rPr>
          <w:b/>
        </w:rPr>
        <w:t>Rel</w:t>
      </w:r>
      <w:r w:rsidR="006E01E3" w:rsidRPr="007164F4">
        <w:rPr>
          <w:b/>
        </w:rPr>
        <w:t>a</w:t>
      </w:r>
      <w:r w:rsidRPr="007164F4">
        <w:rPr>
          <w:b/>
        </w:rPr>
        <w:t>t</w:t>
      </w:r>
      <w:r w:rsidR="006E01E3" w:rsidRPr="007164F4">
        <w:rPr>
          <w:b/>
        </w:rPr>
        <w:t>ed</w:t>
      </w:r>
      <w:r w:rsidRPr="007164F4">
        <w:rPr>
          <w:b/>
        </w:rPr>
        <w:t xml:space="preserve"> </w:t>
      </w:r>
      <w:r w:rsidR="004030AB" w:rsidRPr="007164F4">
        <w:rPr>
          <w:b/>
        </w:rPr>
        <w:t xml:space="preserve">Policies and </w:t>
      </w:r>
      <w:r w:rsidR="00032B16" w:rsidRPr="007164F4">
        <w:rPr>
          <w:b/>
        </w:rPr>
        <w:t>Documents</w:t>
      </w:r>
    </w:p>
    <w:p w:rsidR="00D474DB" w:rsidRPr="00A81FA2" w:rsidRDefault="00D474DB" w:rsidP="0002321A">
      <w:pPr>
        <w:pStyle w:val="Policy-BodyText"/>
        <w:numPr>
          <w:ilvl w:val="0"/>
          <w:numId w:val="26"/>
        </w:numPr>
        <w:ind w:left="851" w:hanging="283"/>
        <w:rPr>
          <w:rFonts w:asciiTheme="majorHAnsi" w:hAnsiTheme="majorHAnsi"/>
        </w:rPr>
      </w:pPr>
      <w:r>
        <w:t>Enrolment of the Dependants of Temporary Residents Policy</w:t>
      </w:r>
    </w:p>
    <w:p w:rsidR="000E5EFA" w:rsidRDefault="000E5EFA" w:rsidP="0002321A">
      <w:pPr>
        <w:pStyle w:val="Policy-BodyText"/>
        <w:numPr>
          <w:ilvl w:val="0"/>
          <w:numId w:val="26"/>
        </w:numPr>
        <w:ind w:left="851" w:hanging="283"/>
        <w:rPr>
          <w:rFonts w:asciiTheme="majorHAnsi" w:hAnsiTheme="majorHAnsi"/>
        </w:rPr>
      </w:pPr>
      <w:r w:rsidRPr="00D474DB">
        <w:rPr>
          <w:rFonts w:asciiTheme="majorHAnsi" w:hAnsiTheme="majorHAnsi"/>
        </w:rPr>
        <w:t>International Secondary Student Exchange Programs Policy</w:t>
      </w:r>
    </w:p>
    <w:p w:rsidR="000E5EFA" w:rsidRDefault="000E5EFA" w:rsidP="0002321A">
      <w:pPr>
        <w:pStyle w:val="Policy-BodyText"/>
        <w:numPr>
          <w:ilvl w:val="0"/>
          <w:numId w:val="26"/>
        </w:numPr>
        <w:ind w:left="851" w:hanging="283"/>
        <w:rPr>
          <w:rFonts w:asciiTheme="majorHAnsi" w:hAnsiTheme="majorHAnsi"/>
        </w:rPr>
      </w:pPr>
      <w:r w:rsidRPr="00D474DB">
        <w:rPr>
          <w:rFonts w:asciiTheme="majorHAnsi" w:hAnsiTheme="majorHAnsi"/>
        </w:rPr>
        <w:t>International Fee Paying Students Policy</w:t>
      </w:r>
    </w:p>
    <w:sectPr w:rsidR="000E5EFA" w:rsidSect="00277E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851" w:right="1077" w:bottom="1418" w:left="1077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D1D" w:rsidRDefault="00650D1D" w:rsidP="00477967">
      <w:r>
        <w:separator/>
      </w:r>
    </w:p>
    <w:p w:rsidR="00650D1D" w:rsidRDefault="00650D1D"/>
  </w:endnote>
  <w:endnote w:type="continuationSeparator" w:id="0">
    <w:p w:rsidR="00650D1D" w:rsidRDefault="00650D1D" w:rsidP="00477967">
      <w:r>
        <w:continuationSeparator/>
      </w:r>
    </w:p>
    <w:p w:rsidR="00650D1D" w:rsidRDefault="00650D1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3D" w:rsidRDefault="00C374ED" w:rsidP="003E61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7C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7C3D" w:rsidRDefault="00F57C3D" w:rsidP="003E3F17">
    <w:pPr>
      <w:pStyle w:val="Footer"/>
      <w:ind w:right="360"/>
    </w:pPr>
  </w:p>
  <w:p w:rsidR="00F57C3D" w:rsidRDefault="00F57C3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42337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F57C3D" w:rsidRPr="00FA1FA7" w:rsidRDefault="00F57C3D" w:rsidP="00262C02">
        <w:pPr>
          <w:pStyle w:val="Footer"/>
          <w:rPr>
            <w:rFonts w:asciiTheme="majorHAnsi" w:hAnsiTheme="majorHAnsi"/>
            <w:sz w:val="20"/>
            <w:szCs w:val="20"/>
          </w:rPr>
        </w:pPr>
      </w:p>
      <w:p w:rsidR="00F57C3D" w:rsidRPr="002628E5" w:rsidRDefault="00C374ED">
        <w:pPr>
          <w:pStyle w:val="Footer"/>
          <w:jc w:val="right"/>
          <w:rPr>
            <w:rFonts w:asciiTheme="majorHAnsi" w:hAnsiTheme="majorHAnsi"/>
          </w:rPr>
        </w:pPr>
        <w:r w:rsidRPr="002628E5">
          <w:rPr>
            <w:rFonts w:asciiTheme="majorHAnsi" w:hAnsiTheme="majorHAnsi"/>
            <w:sz w:val="20"/>
          </w:rPr>
          <w:fldChar w:fldCharType="begin"/>
        </w:r>
        <w:r w:rsidR="00F57C3D" w:rsidRPr="002628E5">
          <w:rPr>
            <w:rFonts w:asciiTheme="majorHAnsi" w:hAnsiTheme="majorHAnsi"/>
            <w:sz w:val="20"/>
          </w:rPr>
          <w:instrText xml:space="preserve"> PAGE   \* MERGEFORMAT </w:instrText>
        </w:r>
        <w:r w:rsidRPr="002628E5">
          <w:rPr>
            <w:rFonts w:asciiTheme="majorHAnsi" w:hAnsiTheme="majorHAnsi"/>
            <w:sz w:val="20"/>
          </w:rPr>
          <w:fldChar w:fldCharType="separate"/>
        </w:r>
        <w:r w:rsidR="007164F4">
          <w:rPr>
            <w:rFonts w:asciiTheme="majorHAnsi" w:hAnsiTheme="majorHAnsi"/>
            <w:noProof/>
            <w:sz w:val="20"/>
          </w:rPr>
          <w:t>2</w:t>
        </w:r>
        <w:r w:rsidRPr="002628E5">
          <w:rPr>
            <w:rFonts w:asciiTheme="majorHAnsi" w:hAnsiTheme="majorHAnsi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D1D" w:rsidRDefault="00650D1D" w:rsidP="00477967">
      <w:r>
        <w:separator/>
      </w:r>
    </w:p>
    <w:p w:rsidR="00650D1D" w:rsidRDefault="00650D1D"/>
  </w:footnote>
  <w:footnote w:type="continuationSeparator" w:id="0">
    <w:p w:rsidR="00650D1D" w:rsidRDefault="00650D1D" w:rsidP="00477967">
      <w:r>
        <w:continuationSeparator/>
      </w:r>
    </w:p>
    <w:p w:rsidR="00650D1D" w:rsidRDefault="00650D1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3D" w:rsidRDefault="00C374ED">
    <w:pPr>
      <w:pStyle w:val="Header"/>
    </w:pPr>
    <w:r w:rsidRPr="00C374ED"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in;height:1in;z-index:251661312"/>
      </w:pict>
    </w:r>
  </w:p>
  <w:p w:rsidR="00F57C3D" w:rsidRDefault="00F57C3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3D" w:rsidRPr="00225547" w:rsidRDefault="00C374ED" w:rsidP="00DD1E8F">
    <w:pPr>
      <w:pStyle w:val="Header"/>
      <w:rPr>
        <w:rFonts w:asciiTheme="majorHAnsi" w:hAnsiTheme="majorHAnsi"/>
      </w:rPr>
    </w:pPr>
    <w:r w:rsidRPr="00C374ED">
      <w:rPr>
        <w:rFonts w:asciiTheme="majorHAnsi" w:hAnsiTheme="majorHAnsi"/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in;height:1in;z-index:251659264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3D" w:rsidRDefault="00C374ED">
    <w:pPr>
      <w:pStyle w:val="Header"/>
    </w:pPr>
    <w:r w:rsidRPr="00C374ED"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1in;height:1in;z-index:251663360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D5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C6DE9"/>
    <w:multiLevelType w:val="hybridMultilevel"/>
    <w:tmpl w:val="8948EF4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5A3851"/>
    <w:multiLevelType w:val="hybridMultilevel"/>
    <w:tmpl w:val="7D78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82872"/>
    <w:multiLevelType w:val="multilevel"/>
    <w:tmpl w:val="8564C9A4"/>
    <w:styleLink w:val="PolicyNumbering-Accessibl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</w:abstractNum>
  <w:abstractNum w:abstractNumId="4">
    <w:nsid w:val="0F875121"/>
    <w:multiLevelType w:val="hybridMultilevel"/>
    <w:tmpl w:val="ABAE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4752"/>
    <w:multiLevelType w:val="hybridMultilevel"/>
    <w:tmpl w:val="8ADA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3BE1"/>
    <w:multiLevelType w:val="hybridMultilevel"/>
    <w:tmpl w:val="AF7C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66857"/>
    <w:multiLevelType w:val="multilevel"/>
    <w:tmpl w:val="26D40B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2B678DA"/>
    <w:multiLevelType w:val="multilevel"/>
    <w:tmpl w:val="0B8E8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8C1AC0"/>
    <w:multiLevelType w:val="hybridMultilevel"/>
    <w:tmpl w:val="CA1E7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95E76"/>
    <w:multiLevelType w:val="hybridMultilevel"/>
    <w:tmpl w:val="56964F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507CFD"/>
    <w:multiLevelType w:val="hybridMultilevel"/>
    <w:tmpl w:val="A93AA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F0D06"/>
    <w:multiLevelType w:val="multilevel"/>
    <w:tmpl w:val="9DE017D2"/>
    <w:lvl w:ilvl="0">
      <w:start w:val="1"/>
      <w:numFmt w:val="decimal"/>
      <w:pStyle w:val="PolicyHeading2-Accessible"/>
      <w:lvlText w:val="%1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1">
      <w:start w:val="1"/>
      <w:numFmt w:val="decimal"/>
      <w:pStyle w:val="Policy-BodyText"/>
      <w:lvlText w:val="%1.%2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</w:abstractNum>
  <w:abstractNum w:abstractNumId="13">
    <w:nsid w:val="210E3C18"/>
    <w:multiLevelType w:val="hybridMultilevel"/>
    <w:tmpl w:val="4AAAE89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2FD0810"/>
    <w:multiLevelType w:val="hybridMultilevel"/>
    <w:tmpl w:val="BD1450D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BC14CDD"/>
    <w:multiLevelType w:val="hybridMultilevel"/>
    <w:tmpl w:val="1220C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37CCD"/>
    <w:multiLevelType w:val="hybridMultilevel"/>
    <w:tmpl w:val="3312CAEA"/>
    <w:lvl w:ilvl="0" w:tplc="1FA6A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E40E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FE7A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43E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C42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D46D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842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0F2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D62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F05B3"/>
    <w:multiLevelType w:val="multilevel"/>
    <w:tmpl w:val="99365A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B310141"/>
    <w:multiLevelType w:val="hybridMultilevel"/>
    <w:tmpl w:val="A01AA6E4"/>
    <w:lvl w:ilvl="0" w:tplc="A70A9A0E">
      <w:start w:val="1"/>
      <w:numFmt w:val="decimal"/>
      <w:lvlText w:val="%1."/>
      <w:lvlJc w:val="left"/>
      <w:pPr>
        <w:ind w:left="720" w:hanging="360"/>
      </w:pPr>
    </w:lvl>
    <w:lvl w:ilvl="1" w:tplc="8EDCF30A" w:tentative="1">
      <w:start w:val="1"/>
      <w:numFmt w:val="lowerLetter"/>
      <w:lvlText w:val="%2."/>
      <w:lvlJc w:val="left"/>
      <w:pPr>
        <w:ind w:left="1440" w:hanging="360"/>
      </w:pPr>
    </w:lvl>
    <w:lvl w:ilvl="2" w:tplc="598A680E" w:tentative="1">
      <w:start w:val="1"/>
      <w:numFmt w:val="lowerRoman"/>
      <w:lvlText w:val="%3."/>
      <w:lvlJc w:val="right"/>
      <w:pPr>
        <w:ind w:left="2160" w:hanging="180"/>
      </w:pPr>
    </w:lvl>
    <w:lvl w:ilvl="3" w:tplc="4DC4EDD2" w:tentative="1">
      <w:start w:val="1"/>
      <w:numFmt w:val="decimal"/>
      <w:lvlText w:val="%4."/>
      <w:lvlJc w:val="left"/>
      <w:pPr>
        <w:ind w:left="2880" w:hanging="360"/>
      </w:pPr>
    </w:lvl>
    <w:lvl w:ilvl="4" w:tplc="16DC4388" w:tentative="1">
      <w:start w:val="1"/>
      <w:numFmt w:val="lowerLetter"/>
      <w:lvlText w:val="%5."/>
      <w:lvlJc w:val="left"/>
      <w:pPr>
        <w:ind w:left="3600" w:hanging="360"/>
      </w:pPr>
    </w:lvl>
    <w:lvl w:ilvl="5" w:tplc="0C1018C0" w:tentative="1">
      <w:start w:val="1"/>
      <w:numFmt w:val="lowerRoman"/>
      <w:lvlText w:val="%6."/>
      <w:lvlJc w:val="right"/>
      <w:pPr>
        <w:ind w:left="4320" w:hanging="180"/>
      </w:pPr>
    </w:lvl>
    <w:lvl w:ilvl="6" w:tplc="051660AE" w:tentative="1">
      <w:start w:val="1"/>
      <w:numFmt w:val="decimal"/>
      <w:lvlText w:val="%7."/>
      <w:lvlJc w:val="left"/>
      <w:pPr>
        <w:ind w:left="5040" w:hanging="360"/>
      </w:pPr>
    </w:lvl>
    <w:lvl w:ilvl="7" w:tplc="655E5D9A" w:tentative="1">
      <w:start w:val="1"/>
      <w:numFmt w:val="lowerLetter"/>
      <w:lvlText w:val="%8."/>
      <w:lvlJc w:val="left"/>
      <w:pPr>
        <w:ind w:left="5760" w:hanging="360"/>
      </w:pPr>
    </w:lvl>
    <w:lvl w:ilvl="8" w:tplc="5AB68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914D3"/>
    <w:multiLevelType w:val="hybridMultilevel"/>
    <w:tmpl w:val="44F83D00"/>
    <w:lvl w:ilvl="0" w:tplc="04D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6606DE" w:tentative="1">
      <w:start w:val="1"/>
      <w:numFmt w:val="lowerLetter"/>
      <w:lvlText w:val="%2."/>
      <w:lvlJc w:val="left"/>
      <w:pPr>
        <w:ind w:left="1440" w:hanging="360"/>
      </w:pPr>
    </w:lvl>
    <w:lvl w:ilvl="2" w:tplc="CDC45CB4" w:tentative="1">
      <w:start w:val="1"/>
      <w:numFmt w:val="lowerRoman"/>
      <w:lvlText w:val="%3."/>
      <w:lvlJc w:val="right"/>
      <w:pPr>
        <w:ind w:left="2160" w:hanging="180"/>
      </w:pPr>
    </w:lvl>
    <w:lvl w:ilvl="3" w:tplc="BEA8B2AE" w:tentative="1">
      <w:start w:val="1"/>
      <w:numFmt w:val="decimal"/>
      <w:lvlText w:val="%4."/>
      <w:lvlJc w:val="left"/>
      <w:pPr>
        <w:ind w:left="2880" w:hanging="360"/>
      </w:pPr>
    </w:lvl>
    <w:lvl w:ilvl="4" w:tplc="5D0E6228" w:tentative="1">
      <w:start w:val="1"/>
      <w:numFmt w:val="lowerLetter"/>
      <w:lvlText w:val="%5."/>
      <w:lvlJc w:val="left"/>
      <w:pPr>
        <w:ind w:left="3600" w:hanging="360"/>
      </w:pPr>
    </w:lvl>
    <w:lvl w:ilvl="5" w:tplc="F33E1960" w:tentative="1">
      <w:start w:val="1"/>
      <w:numFmt w:val="lowerRoman"/>
      <w:lvlText w:val="%6."/>
      <w:lvlJc w:val="right"/>
      <w:pPr>
        <w:ind w:left="4320" w:hanging="180"/>
      </w:pPr>
    </w:lvl>
    <w:lvl w:ilvl="6" w:tplc="CB7E1AB4" w:tentative="1">
      <w:start w:val="1"/>
      <w:numFmt w:val="decimal"/>
      <w:lvlText w:val="%7."/>
      <w:lvlJc w:val="left"/>
      <w:pPr>
        <w:ind w:left="5040" w:hanging="360"/>
      </w:pPr>
    </w:lvl>
    <w:lvl w:ilvl="7" w:tplc="C9E4D80E" w:tentative="1">
      <w:start w:val="1"/>
      <w:numFmt w:val="lowerLetter"/>
      <w:lvlText w:val="%8."/>
      <w:lvlJc w:val="left"/>
      <w:pPr>
        <w:ind w:left="5760" w:hanging="360"/>
      </w:pPr>
    </w:lvl>
    <w:lvl w:ilvl="8" w:tplc="0E0E7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D37D5"/>
    <w:multiLevelType w:val="hybridMultilevel"/>
    <w:tmpl w:val="3C62E096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520F86"/>
    <w:multiLevelType w:val="hybridMultilevel"/>
    <w:tmpl w:val="81CE3216"/>
    <w:lvl w:ilvl="0" w:tplc="1908A59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DB4AC4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99CD1B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7CAF40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6168FF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55A50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270E24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50ADD2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F36C11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224725"/>
    <w:multiLevelType w:val="hybridMultilevel"/>
    <w:tmpl w:val="3828B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E00E8"/>
    <w:multiLevelType w:val="multilevel"/>
    <w:tmpl w:val="8564C9A4"/>
    <w:numStyleLink w:val="PolicyNumbering-Accessible"/>
  </w:abstractNum>
  <w:abstractNum w:abstractNumId="24">
    <w:nsid w:val="4E8B61AE"/>
    <w:multiLevelType w:val="hybridMultilevel"/>
    <w:tmpl w:val="516640F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B049B0"/>
    <w:multiLevelType w:val="hybridMultilevel"/>
    <w:tmpl w:val="0EF297B4"/>
    <w:lvl w:ilvl="0" w:tplc="80104C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39DAD8D6" w:tentative="1">
      <w:start w:val="1"/>
      <w:numFmt w:val="lowerLetter"/>
      <w:lvlText w:val="%2."/>
      <w:lvlJc w:val="left"/>
      <w:pPr>
        <w:ind w:left="1440" w:hanging="360"/>
      </w:pPr>
    </w:lvl>
    <w:lvl w:ilvl="2" w:tplc="32288DC0" w:tentative="1">
      <w:start w:val="1"/>
      <w:numFmt w:val="lowerRoman"/>
      <w:lvlText w:val="%3."/>
      <w:lvlJc w:val="right"/>
      <w:pPr>
        <w:ind w:left="2160" w:hanging="180"/>
      </w:pPr>
    </w:lvl>
    <w:lvl w:ilvl="3" w:tplc="716E20AC" w:tentative="1">
      <w:start w:val="1"/>
      <w:numFmt w:val="decimal"/>
      <w:lvlText w:val="%4."/>
      <w:lvlJc w:val="left"/>
      <w:pPr>
        <w:ind w:left="2880" w:hanging="360"/>
      </w:pPr>
    </w:lvl>
    <w:lvl w:ilvl="4" w:tplc="A9F6C360" w:tentative="1">
      <w:start w:val="1"/>
      <w:numFmt w:val="lowerLetter"/>
      <w:lvlText w:val="%5."/>
      <w:lvlJc w:val="left"/>
      <w:pPr>
        <w:ind w:left="3600" w:hanging="360"/>
      </w:pPr>
    </w:lvl>
    <w:lvl w:ilvl="5" w:tplc="B4EC5554" w:tentative="1">
      <w:start w:val="1"/>
      <w:numFmt w:val="lowerRoman"/>
      <w:lvlText w:val="%6."/>
      <w:lvlJc w:val="right"/>
      <w:pPr>
        <w:ind w:left="4320" w:hanging="180"/>
      </w:pPr>
    </w:lvl>
    <w:lvl w:ilvl="6" w:tplc="0BAC0F9E" w:tentative="1">
      <w:start w:val="1"/>
      <w:numFmt w:val="decimal"/>
      <w:lvlText w:val="%7."/>
      <w:lvlJc w:val="left"/>
      <w:pPr>
        <w:ind w:left="5040" w:hanging="360"/>
      </w:pPr>
    </w:lvl>
    <w:lvl w:ilvl="7" w:tplc="6BF2B36A" w:tentative="1">
      <w:start w:val="1"/>
      <w:numFmt w:val="lowerLetter"/>
      <w:lvlText w:val="%8."/>
      <w:lvlJc w:val="left"/>
      <w:pPr>
        <w:ind w:left="5760" w:hanging="360"/>
      </w:pPr>
    </w:lvl>
    <w:lvl w:ilvl="8" w:tplc="609823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013BE"/>
    <w:multiLevelType w:val="hybridMultilevel"/>
    <w:tmpl w:val="33DCFD88"/>
    <w:lvl w:ilvl="0" w:tplc="56824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657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2EA0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211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01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814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690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862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7C8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97E3A"/>
    <w:multiLevelType w:val="multilevel"/>
    <w:tmpl w:val="AFA4AC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983278"/>
    <w:multiLevelType w:val="hybridMultilevel"/>
    <w:tmpl w:val="C60661AC"/>
    <w:lvl w:ilvl="0" w:tplc="0C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40690"/>
    <w:multiLevelType w:val="hybridMultilevel"/>
    <w:tmpl w:val="FD4AAD48"/>
    <w:lvl w:ilvl="0" w:tplc="7D5A8AD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29273C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D94D6E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E942E7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2D20F9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91ED3A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CFC535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0DAF00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E04AC5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C0962D0"/>
    <w:multiLevelType w:val="multilevel"/>
    <w:tmpl w:val="1BA024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32C2C0D"/>
    <w:multiLevelType w:val="hybridMultilevel"/>
    <w:tmpl w:val="E86AB296"/>
    <w:lvl w:ilvl="0" w:tplc="C1AC9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00B71"/>
    <w:multiLevelType w:val="hybridMultilevel"/>
    <w:tmpl w:val="4D54EE7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6"/>
  </w:num>
  <w:num w:numId="4">
    <w:abstractNumId w:val="30"/>
  </w:num>
  <w:num w:numId="5">
    <w:abstractNumId w:val="17"/>
  </w:num>
  <w:num w:numId="6">
    <w:abstractNumId w:val="8"/>
  </w:num>
  <w:num w:numId="7">
    <w:abstractNumId w:val="27"/>
  </w:num>
  <w:num w:numId="8">
    <w:abstractNumId w:val="11"/>
  </w:num>
  <w:num w:numId="9">
    <w:abstractNumId w:val="4"/>
  </w:num>
  <w:num w:numId="10">
    <w:abstractNumId w:val="25"/>
  </w:num>
  <w:num w:numId="11">
    <w:abstractNumId w:val="28"/>
  </w:num>
  <w:num w:numId="12">
    <w:abstractNumId w:val="19"/>
  </w:num>
  <w:num w:numId="13">
    <w:abstractNumId w:val="7"/>
  </w:num>
  <w:num w:numId="14">
    <w:abstractNumId w:val="6"/>
  </w:num>
  <w:num w:numId="15">
    <w:abstractNumId w:val="9"/>
  </w:num>
  <w:num w:numId="16">
    <w:abstractNumId w:val="18"/>
  </w:num>
  <w:num w:numId="17">
    <w:abstractNumId w:val="2"/>
  </w:num>
  <w:num w:numId="18">
    <w:abstractNumId w:val="22"/>
  </w:num>
  <w:num w:numId="19">
    <w:abstractNumId w:val="0"/>
  </w:num>
  <w:num w:numId="20">
    <w:abstractNumId w:val="31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3"/>
  </w:num>
  <w:num w:numId="25">
    <w:abstractNumId w:val="12"/>
  </w:num>
  <w:num w:numId="26">
    <w:abstractNumId w:val="24"/>
  </w:num>
  <w:num w:numId="27">
    <w:abstractNumId w:val="10"/>
  </w:num>
  <w:num w:numId="28">
    <w:abstractNumId w:val="13"/>
  </w:num>
  <w:num w:numId="29">
    <w:abstractNumId w:val="21"/>
  </w:num>
  <w:num w:numId="30">
    <w:abstractNumId w:val="32"/>
  </w:num>
  <w:num w:numId="31">
    <w:abstractNumId w:val="29"/>
  </w:num>
  <w:num w:numId="32">
    <w:abstractNumId w:val="1"/>
  </w:num>
  <w:num w:numId="33">
    <w:abstractNumId w:val="15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1B51"/>
    <w:rsid w:val="00012069"/>
    <w:rsid w:val="00015D27"/>
    <w:rsid w:val="00016260"/>
    <w:rsid w:val="0002321A"/>
    <w:rsid w:val="00032B16"/>
    <w:rsid w:val="00034478"/>
    <w:rsid w:val="00036993"/>
    <w:rsid w:val="0004381A"/>
    <w:rsid w:val="00047E4C"/>
    <w:rsid w:val="00052059"/>
    <w:rsid w:val="00053E67"/>
    <w:rsid w:val="00055267"/>
    <w:rsid w:val="00062F00"/>
    <w:rsid w:val="00063211"/>
    <w:rsid w:val="00067924"/>
    <w:rsid w:val="00073624"/>
    <w:rsid w:val="00095791"/>
    <w:rsid w:val="000A143E"/>
    <w:rsid w:val="000A2B3A"/>
    <w:rsid w:val="000A63D0"/>
    <w:rsid w:val="000A7D0E"/>
    <w:rsid w:val="000B3386"/>
    <w:rsid w:val="000B3AA3"/>
    <w:rsid w:val="000E1A2E"/>
    <w:rsid w:val="000E3F86"/>
    <w:rsid w:val="000E5EFA"/>
    <w:rsid w:val="0010178C"/>
    <w:rsid w:val="00113746"/>
    <w:rsid w:val="00117A1B"/>
    <w:rsid w:val="00121B20"/>
    <w:rsid w:val="00131156"/>
    <w:rsid w:val="001527EF"/>
    <w:rsid w:val="00155F87"/>
    <w:rsid w:val="00167B4F"/>
    <w:rsid w:val="00177930"/>
    <w:rsid w:val="0019042D"/>
    <w:rsid w:val="00197936"/>
    <w:rsid w:val="001A4902"/>
    <w:rsid w:val="001A55B8"/>
    <w:rsid w:val="001D3ADA"/>
    <w:rsid w:val="001D4D0C"/>
    <w:rsid w:val="001E6164"/>
    <w:rsid w:val="002021D1"/>
    <w:rsid w:val="002164A7"/>
    <w:rsid w:val="00225547"/>
    <w:rsid w:val="00232B75"/>
    <w:rsid w:val="00237594"/>
    <w:rsid w:val="00245EA7"/>
    <w:rsid w:val="00262099"/>
    <w:rsid w:val="002628E5"/>
    <w:rsid w:val="00262C02"/>
    <w:rsid w:val="00271897"/>
    <w:rsid w:val="002744A6"/>
    <w:rsid w:val="00277E3D"/>
    <w:rsid w:val="00280014"/>
    <w:rsid w:val="0029158B"/>
    <w:rsid w:val="002958A7"/>
    <w:rsid w:val="002A1BD4"/>
    <w:rsid w:val="002A5A65"/>
    <w:rsid w:val="002C2E91"/>
    <w:rsid w:val="002D5091"/>
    <w:rsid w:val="002F782F"/>
    <w:rsid w:val="00301B22"/>
    <w:rsid w:val="00302521"/>
    <w:rsid w:val="00305253"/>
    <w:rsid w:val="00306C86"/>
    <w:rsid w:val="00312DDA"/>
    <w:rsid w:val="00323AF4"/>
    <w:rsid w:val="00327556"/>
    <w:rsid w:val="003407C0"/>
    <w:rsid w:val="00360BDE"/>
    <w:rsid w:val="00362B33"/>
    <w:rsid w:val="00363196"/>
    <w:rsid w:val="003644FA"/>
    <w:rsid w:val="00365BE8"/>
    <w:rsid w:val="003E3F17"/>
    <w:rsid w:val="003E61B7"/>
    <w:rsid w:val="004030AB"/>
    <w:rsid w:val="004122D5"/>
    <w:rsid w:val="00414471"/>
    <w:rsid w:val="004601ED"/>
    <w:rsid w:val="0047556B"/>
    <w:rsid w:val="00477967"/>
    <w:rsid w:val="004832E3"/>
    <w:rsid w:val="004932BD"/>
    <w:rsid w:val="0049402A"/>
    <w:rsid w:val="00496DF0"/>
    <w:rsid w:val="004A038D"/>
    <w:rsid w:val="004B6EFF"/>
    <w:rsid w:val="004D0430"/>
    <w:rsid w:val="004D16B9"/>
    <w:rsid w:val="004D5FB5"/>
    <w:rsid w:val="004F4F07"/>
    <w:rsid w:val="0050774B"/>
    <w:rsid w:val="005169F4"/>
    <w:rsid w:val="00517F94"/>
    <w:rsid w:val="00522F63"/>
    <w:rsid w:val="00525A93"/>
    <w:rsid w:val="005305C2"/>
    <w:rsid w:val="005376D1"/>
    <w:rsid w:val="00542021"/>
    <w:rsid w:val="005578F8"/>
    <w:rsid w:val="00567A46"/>
    <w:rsid w:val="00577FED"/>
    <w:rsid w:val="00592F7C"/>
    <w:rsid w:val="005A55B5"/>
    <w:rsid w:val="005B0977"/>
    <w:rsid w:val="005C44BD"/>
    <w:rsid w:val="005C44E4"/>
    <w:rsid w:val="005D73D9"/>
    <w:rsid w:val="00622E34"/>
    <w:rsid w:val="00622F41"/>
    <w:rsid w:val="00626271"/>
    <w:rsid w:val="006265EA"/>
    <w:rsid w:val="0063541B"/>
    <w:rsid w:val="006354F6"/>
    <w:rsid w:val="00647770"/>
    <w:rsid w:val="00650D1D"/>
    <w:rsid w:val="00653AB7"/>
    <w:rsid w:val="00654C57"/>
    <w:rsid w:val="00673AFC"/>
    <w:rsid w:val="00674D78"/>
    <w:rsid w:val="006800E3"/>
    <w:rsid w:val="006920A0"/>
    <w:rsid w:val="00692CF6"/>
    <w:rsid w:val="00694C1C"/>
    <w:rsid w:val="006950F6"/>
    <w:rsid w:val="006B757B"/>
    <w:rsid w:val="006C4EC1"/>
    <w:rsid w:val="006D356B"/>
    <w:rsid w:val="006E01E3"/>
    <w:rsid w:val="006F700B"/>
    <w:rsid w:val="007025CB"/>
    <w:rsid w:val="007107A5"/>
    <w:rsid w:val="007164F4"/>
    <w:rsid w:val="00721DAF"/>
    <w:rsid w:val="00734442"/>
    <w:rsid w:val="00744827"/>
    <w:rsid w:val="007457A7"/>
    <w:rsid w:val="007600E2"/>
    <w:rsid w:val="0076118E"/>
    <w:rsid w:val="0076340C"/>
    <w:rsid w:val="007710A4"/>
    <w:rsid w:val="00775752"/>
    <w:rsid w:val="0078592F"/>
    <w:rsid w:val="007A0472"/>
    <w:rsid w:val="007A2043"/>
    <w:rsid w:val="007A283D"/>
    <w:rsid w:val="007B0AF3"/>
    <w:rsid w:val="007B3DA1"/>
    <w:rsid w:val="007B5796"/>
    <w:rsid w:val="007B7B1D"/>
    <w:rsid w:val="007C6BE8"/>
    <w:rsid w:val="007C72BD"/>
    <w:rsid w:val="007D71D2"/>
    <w:rsid w:val="007E4699"/>
    <w:rsid w:val="007E69D6"/>
    <w:rsid w:val="007E6AD2"/>
    <w:rsid w:val="007F5289"/>
    <w:rsid w:val="00821273"/>
    <w:rsid w:val="008312E7"/>
    <w:rsid w:val="00835401"/>
    <w:rsid w:val="00836B62"/>
    <w:rsid w:val="00837D66"/>
    <w:rsid w:val="00841941"/>
    <w:rsid w:val="00843051"/>
    <w:rsid w:val="008575F9"/>
    <w:rsid w:val="00862819"/>
    <w:rsid w:val="00867398"/>
    <w:rsid w:val="00880A09"/>
    <w:rsid w:val="008923C4"/>
    <w:rsid w:val="00892568"/>
    <w:rsid w:val="008A6FA4"/>
    <w:rsid w:val="008B34D3"/>
    <w:rsid w:val="008B691C"/>
    <w:rsid w:val="008C2A9B"/>
    <w:rsid w:val="008C6F0D"/>
    <w:rsid w:val="008D0E94"/>
    <w:rsid w:val="008E3133"/>
    <w:rsid w:val="008E4B9A"/>
    <w:rsid w:val="008F2B26"/>
    <w:rsid w:val="008F4280"/>
    <w:rsid w:val="009024BA"/>
    <w:rsid w:val="00902584"/>
    <w:rsid w:val="00902FD8"/>
    <w:rsid w:val="00907F1E"/>
    <w:rsid w:val="00912CDF"/>
    <w:rsid w:val="00916584"/>
    <w:rsid w:val="00916DD5"/>
    <w:rsid w:val="009355D7"/>
    <w:rsid w:val="00935EB0"/>
    <w:rsid w:val="00935ECC"/>
    <w:rsid w:val="009505CE"/>
    <w:rsid w:val="00956A94"/>
    <w:rsid w:val="00964234"/>
    <w:rsid w:val="00971B8E"/>
    <w:rsid w:val="009837ED"/>
    <w:rsid w:val="009B0FA1"/>
    <w:rsid w:val="009E4C8D"/>
    <w:rsid w:val="00A00B78"/>
    <w:rsid w:val="00A0131D"/>
    <w:rsid w:val="00A32ADA"/>
    <w:rsid w:val="00A37060"/>
    <w:rsid w:val="00A5315E"/>
    <w:rsid w:val="00A56EFA"/>
    <w:rsid w:val="00A634E8"/>
    <w:rsid w:val="00A84875"/>
    <w:rsid w:val="00A922E1"/>
    <w:rsid w:val="00A956ED"/>
    <w:rsid w:val="00AA367F"/>
    <w:rsid w:val="00AA4633"/>
    <w:rsid w:val="00AA7801"/>
    <w:rsid w:val="00AB15D9"/>
    <w:rsid w:val="00AB2BCA"/>
    <w:rsid w:val="00AB4692"/>
    <w:rsid w:val="00AD1E35"/>
    <w:rsid w:val="00AD6676"/>
    <w:rsid w:val="00AD694F"/>
    <w:rsid w:val="00B00F28"/>
    <w:rsid w:val="00B3089E"/>
    <w:rsid w:val="00B31170"/>
    <w:rsid w:val="00B44478"/>
    <w:rsid w:val="00B6125A"/>
    <w:rsid w:val="00B7017C"/>
    <w:rsid w:val="00B81512"/>
    <w:rsid w:val="00B81B4D"/>
    <w:rsid w:val="00B91BD6"/>
    <w:rsid w:val="00B91ED0"/>
    <w:rsid w:val="00B95751"/>
    <w:rsid w:val="00BB39B8"/>
    <w:rsid w:val="00BB7564"/>
    <w:rsid w:val="00BC0D96"/>
    <w:rsid w:val="00BC227E"/>
    <w:rsid w:val="00BC7BF0"/>
    <w:rsid w:val="00BD68F4"/>
    <w:rsid w:val="00BD7510"/>
    <w:rsid w:val="00BD796D"/>
    <w:rsid w:val="00BF1478"/>
    <w:rsid w:val="00BF1E93"/>
    <w:rsid w:val="00C260E2"/>
    <w:rsid w:val="00C322E3"/>
    <w:rsid w:val="00C374ED"/>
    <w:rsid w:val="00C560DD"/>
    <w:rsid w:val="00C62219"/>
    <w:rsid w:val="00C96063"/>
    <w:rsid w:val="00C96167"/>
    <w:rsid w:val="00CA1F5D"/>
    <w:rsid w:val="00CA5D0F"/>
    <w:rsid w:val="00CA7692"/>
    <w:rsid w:val="00CB2B52"/>
    <w:rsid w:val="00CB2C2E"/>
    <w:rsid w:val="00CC35B7"/>
    <w:rsid w:val="00CC42F9"/>
    <w:rsid w:val="00CC5826"/>
    <w:rsid w:val="00CC5C55"/>
    <w:rsid w:val="00CE2F22"/>
    <w:rsid w:val="00CF0E12"/>
    <w:rsid w:val="00CF2FCB"/>
    <w:rsid w:val="00CF32F2"/>
    <w:rsid w:val="00CF404F"/>
    <w:rsid w:val="00CF7222"/>
    <w:rsid w:val="00D1251F"/>
    <w:rsid w:val="00D23AB5"/>
    <w:rsid w:val="00D327C7"/>
    <w:rsid w:val="00D474DB"/>
    <w:rsid w:val="00D50C8D"/>
    <w:rsid w:val="00D65A1A"/>
    <w:rsid w:val="00D91B51"/>
    <w:rsid w:val="00DA3372"/>
    <w:rsid w:val="00DA6613"/>
    <w:rsid w:val="00DB48C5"/>
    <w:rsid w:val="00DB725F"/>
    <w:rsid w:val="00DD1E8F"/>
    <w:rsid w:val="00DE2996"/>
    <w:rsid w:val="00DE53C9"/>
    <w:rsid w:val="00DF6DBC"/>
    <w:rsid w:val="00E07686"/>
    <w:rsid w:val="00E222AC"/>
    <w:rsid w:val="00E25C2B"/>
    <w:rsid w:val="00E304D3"/>
    <w:rsid w:val="00E32CFB"/>
    <w:rsid w:val="00E507C9"/>
    <w:rsid w:val="00E55351"/>
    <w:rsid w:val="00E72F2B"/>
    <w:rsid w:val="00E76175"/>
    <w:rsid w:val="00E825E1"/>
    <w:rsid w:val="00E86CF4"/>
    <w:rsid w:val="00E97AF6"/>
    <w:rsid w:val="00EA5217"/>
    <w:rsid w:val="00EB2878"/>
    <w:rsid w:val="00EC13A6"/>
    <w:rsid w:val="00ED180C"/>
    <w:rsid w:val="00ED61CD"/>
    <w:rsid w:val="00EE4204"/>
    <w:rsid w:val="00EF12DD"/>
    <w:rsid w:val="00F128A9"/>
    <w:rsid w:val="00F32479"/>
    <w:rsid w:val="00F32AA9"/>
    <w:rsid w:val="00F5482B"/>
    <w:rsid w:val="00F57063"/>
    <w:rsid w:val="00F57C3D"/>
    <w:rsid w:val="00F92138"/>
    <w:rsid w:val="00FA1FA7"/>
    <w:rsid w:val="00FB246D"/>
    <w:rsid w:val="00FC3D2D"/>
    <w:rsid w:val="00FC4883"/>
    <w:rsid w:val="00FC6D75"/>
    <w:rsid w:val="00FE1684"/>
    <w:rsid w:val="00FE5839"/>
    <w:rsid w:val="00FE5CCD"/>
    <w:rsid w:val="00F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31170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rsid w:val="00F128A9"/>
    <w:pPr>
      <w:keepNext/>
      <w:keepLines/>
      <w:suppressAutoHyphens/>
      <w:spacing w:before="120" w:after="120"/>
      <w:outlineLvl w:val="0"/>
    </w:pPr>
    <w:rPr>
      <w:rFonts w:ascii="Calibri Light" w:eastAsiaTheme="majorEastAsia" w:hAnsi="Calibri Light" w:cstheme="majorBidi"/>
      <w:bCs/>
      <w:color w:val="002F5F"/>
      <w:sz w:val="48"/>
      <w:szCs w:val="48"/>
    </w:rPr>
  </w:style>
  <w:style w:type="paragraph" w:styleId="Heading2">
    <w:name w:val="heading 2"/>
    <w:basedOn w:val="Heading1"/>
    <w:next w:val="Normal"/>
    <w:link w:val="Heading2Char"/>
    <w:qFormat/>
    <w:rsid w:val="007C6BE8"/>
    <w:pPr>
      <w:keepNext w:val="0"/>
      <w:keepLines w:val="0"/>
      <w:tabs>
        <w:tab w:val="num" w:pos="851"/>
      </w:tabs>
      <w:suppressAutoHyphens w:val="0"/>
      <w:spacing w:before="0" w:after="0"/>
      <w:ind w:left="851" w:hanging="851"/>
      <w:contextualSpacing/>
      <w:outlineLvl w:val="1"/>
    </w:pPr>
    <w:rPr>
      <w:rFonts w:ascii="Calibri" w:eastAsia="Times New Roman" w:hAnsi="Calibri" w:cs="Calibri"/>
      <w:b/>
      <w:color w:val="auto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128A9"/>
    <w:pPr>
      <w:tabs>
        <w:tab w:val="left" w:pos="426"/>
      </w:tabs>
      <w:spacing w:before="120" w:after="120"/>
      <w:ind w:right="254"/>
      <w:outlineLvl w:val="2"/>
    </w:pPr>
    <w:rPr>
      <w:rFonts w:ascii="Calibri Light" w:hAnsi="Calibri Light"/>
      <w:b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471"/>
    <w:pPr>
      <w:ind w:left="720"/>
      <w:contextualSpacing/>
    </w:pPr>
  </w:style>
  <w:style w:type="table" w:styleId="TableGrid">
    <w:name w:val="Table Grid"/>
    <w:basedOn w:val="TableNormal"/>
    <w:uiPriority w:val="59"/>
    <w:rsid w:val="00414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128A9"/>
    <w:rPr>
      <w:rFonts w:ascii="Calibri Light" w:eastAsiaTheme="majorEastAsia" w:hAnsi="Calibri Light" w:cstheme="majorBidi"/>
      <w:bCs/>
      <w:color w:val="002F5F"/>
      <w:sz w:val="48"/>
      <w:szCs w:val="4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128A9"/>
    <w:rPr>
      <w:rFonts w:ascii="Calibri Light" w:hAnsi="Calibri Light"/>
      <w:b/>
      <w:color w:val="262626" w:themeColor="text1" w:themeTint="D9"/>
      <w:sz w:val="28"/>
      <w:szCs w:val="28"/>
      <w:lang w:val="en-AU"/>
    </w:rPr>
  </w:style>
  <w:style w:type="paragraph" w:styleId="Quote">
    <w:name w:val="Quote"/>
    <w:basedOn w:val="NoSpacing"/>
    <w:next w:val="Normal"/>
    <w:link w:val="QuoteChar"/>
    <w:uiPriority w:val="29"/>
    <w:rsid w:val="00F128A9"/>
    <w:pPr>
      <w:spacing w:before="120" w:after="120"/>
      <w:ind w:right="255"/>
    </w:pPr>
    <w:rPr>
      <w:rFonts w:ascii="Calibri Light" w:hAnsi="Calibri Light"/>
      <w:i/>
      <w:color w:val="002F5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F128A9"/>
    <w:rPr>
      <w:rFonts w:ascii="Calibri Light" w:hAnsi="Calibri Light"/>
      <w:i/>
      <w:color w:val="002F5F"/>
      <w:sz w:val="22"/>
      <w:szCs w:val="22"/>
      <w:lang w:val="en-AU"/>
    </w:rPr>
  </w:style>
  <w:style w:type="paragraph" w:customStyle="1" w:styleId="BodyText1">
    <w:name w:val="Body Text1"/>
    <w:rsid w:val="00F128A9"/>
    <w:pPr>
      <w:tabs>
        <w:tab w:val="left" w:pos="426"/>
      </w:tabs>
      <w:spacing w:before="120" w:after="120"/>
      <w:ind w:right="255"/>
    </w:pPr>
    <w:rPr>
      <w:rFonts w:ascii="Calibri Light" w:hAnsi="Calibri Light" w:cs="Arial"/>
      <w:color w:val="262626" w:themeColor="text1" w:themeTint="D9"/>
      <w:sz w:val="21"/>
      <w:szCs w:val="21"/>
      <w:lang w:val="en-AU"/>
    </w:rPr>
  </w:style>
  <w:style w:type="paragraph" w:styleId="NoSpacing">
    <w:name w:val="No Spacing"/>
    <w:uiPriority w:val="1"/>
    <w:rsid w:val="00F128A9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C44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C44BD"/>
  </w:style>
  <w:style w:type="character" w:customStyle="1" w:styleId="CommentTextChar">
    <w:name w:val="Comment Text Char"/>
    <w:basedOn w:val="DefaultParagraphFont"/>
    <w:link w:val="CommentText"/>
    <w:uiPriority w:val="99"/>
    <w:rsid w:val="005C44BD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4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BD"/>
    <w:rPr>
      <w:rFonts w:ascii="Lucida Grande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779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96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77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967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3E3F17"/>
  </w:style>
  <w:style w:type="paragraph" w:customStyle="1" w:styleId="PolicyHeading1-Accessible">
    <w:name w:val="Policy Heading 1 - Accessible"/>
    <w:basedOn w:val="Heading1"/>
    <w:qFormat/>
    <w:rsid w:val="002D5091"/>
    <w:pPr>
      <w:spacing w:after="0"/>
    </w:pPr>
    <w:rPr>
      <w:rFonts w:asciiTheme="majorHAnsi" w:hAnsiTheme="majorHAnsi"/>
      <w:b/>
      <w:color w:val="auto"/>
      <w:sz w:val="28"/>
      <w:szCs w:val="28"/>
    </w:rPr>
  </w:style>
  <w:style w:type="paragraph" w:customStyle="1" w:styleId="PolicyHeading2-Accessible">
    <w:name w:val="Policy Heading 2 - Accessible"/>
    <w:basedOn w:val="Heading2"/>
    <w:next w:val="Policy-BodyText"/>
    <w:qFormat/>
    <w:rsid w:val="00E222AC"/>
    <w:pPr>
      <w:numPr>
        <w:numId w:val="25"/>
      </w:numPr>
      <w:spacing w:before="120"/>
      <w:contextualSpacing w:val="0"/>
    </w:pPr>
    <w:rPr>
      <w:sz w:val="24"/>
    </w:rPr>
  </w:style>
  <w:style w:type="paragraph" w:customStyle="1" w:styleId="Policy-BodyText">
    <w:name w:val="Policy - Body Text"/>
    <w:basedOn w:val="Normal"/>
    <w:qFormat/>
    <w:rsid w:val="00053E67"/>
    <w:pPr>
      <w:numPr>
        <w:ilvl w:val="1"/>
        <w:numId w:val="25"/>
      </w:numPr>
      <w:contextualSpacing/>
    </w:pPr>
    <w:rPr>
      <w:rFonts w:ascii="Calibri" w:hAnsi="Calibri"/>
    </w:rPr>
  </w:style>
  <w:style w:type="numbering" w:customStyle="1" w:styleId="PolicyNumbering-Accessible">
    <w:name w:val="Policy Numbering - Accessible"/>
    <w:uiPriority w:val="99"/>
    <w:rsid w:val="002A5A65"/>
    <w:pPr>
      <w:numPr>
        <w:numId w:val="21"/>
      </w:numPr>
    </w:pPr>
  </w:style>
  <w:style w:type="character" w:customStyle="1" w:styleId="Heading2Char">
    <w:name w:val="Heading 2 Char"/>
    <w:basedOn w:val="DefaultParagraphFont"/>
    <w:link w:val="Heading2"/>
    <w:rsid w:val="007C6BE8"/>
    <w:rPr>
      <w:rFonts w:ascii="Calibri" w:eastAsia="Times New Roman" w:hAnsi="Calibri" w:cs="Calibri"/>
      <w:b/>
      <w:bCs/>
      <w:sz w:val="22"/>
      <w:szCs w:val="22"/>
      <w:lang w:val="en-AU"/>
    </w:rPr>
  </w:style>
  <w:style w:type="paragraph" w:customStyle="1" w:styleId="ExplanatoryText">
    <w:name w:val="Explanatory Text"/>
    <w:basedOn w:val="Normal"/>
    <w:link w:val="ExplanatoryTextChar"/>
    <w:rsid w:val="007C6BE8"/>
    <w:pPr>
      <w:numPr>
        <w:ilvl w:val="1"/>
      </w:numPr>
      <w:tabs>
        <w:tab w:val="num" w:pos="851"/>
      </w:tabs>
      <w:ind w:left="851" w:hanging="851"/>
      <w:contextualSpacing/>
    </w:pPr>
    <w:rPr>
      <w:rFonts w:ascii="Calibri" w:eastAsia="Times New Roman" w:hAnsi="Calibri" w:cs="Calibri"/>
      <w:b/>
      <w:sz w:val="22"/>
      <w:szCs w:val="22"/>
    </w:rPr>
  </w:style>
  <w:style w:type="character" w:customStyle="1" w:styleId="ExplanatoryTextChar">
    <w:name w:val="Explanatory Text Char"/>
    <w:basedOn w:val="DefaultParagraphFont"/>
    <w:link w:val="ExplanatoryText"/>
    <w:rsid w:val="007C6BE8"/>
    <w:rPr>
      <w:rFonts w:ascii="Calibri" w:eastAsia="Times New Roman" w:hAnsi="Calibri" w:cs="Calibri"/>
      <w:b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7C6BE8"/>
    <w:rPr>
      <w:color w:val="0000FF" w:themeColor="hyperlink"/>
      <w:u w:val="single"/>
    </w:rPr>
  </w:style>
  <w:style w:type="paragraph" w:customStyle="1" w:styleId="PolicySubHeading3-Accessible">
    <w:name w:val="Policy Sub Heading 3 - Accessible"/>
    <w:basedOn w:val="Heading3"/>
    <w:next w:val="PolicyHeading2-Accessible"/>
    <w:qFormat/>
    <w:rsid w:val="00E76175"/>
    <w:pPr>
      <w:spacing w:after="0" w:line="264" w:lineRule="auto"/>
      <w:ind w:left="1134" w:right="0" w:hanging="567"/>
    </w:pPr>
    <w:rPr>
      <w:rFonts w:ascii="Calibri" w:hAnsi="Calibri"/>
      <w:sz w:val="24"/>
    </w:rPr>
  </w:style>
  <w:style w:type="paragraph" w:customStyle="1" w:styleId="Default">
    <w:name w:val="Default"/>
    <w:rsid w:val="00ED180C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A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AF6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B0AF3"/>
    <w:pPr>
      <w:suppressAutoHyphens w:val="0"/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B0A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0AF3"/>
    <w:pPr>
      <w:spacing w:after="100"/>
      <w:ind w:left="240"/>
    </w:pPr>
  </w:style>
  <w:style w:type="paragraph" w:customStyle="1" w:styleId="BlankLine">
    <w:name w:val="Blank Line"/>
    <w:basedOn w:val="Normal"/>
    <w:link w:val="BlankLineChar"/>
    <w:qFormat/>
    <w:rsid w:val="000E5EFA"/>
    <w:pPr>
      <w:ind w:left="851" w:hanging="851"/>
      <w:contextualSpacing/>
    </w:pPr>
    <w:rPr>
      <w:rFonts w:ascii="Calibri" w:eastAsia="Times New Roman" w:hAnsi="Calibri" w:cs="Calibri"/>
      <w:sz w:val="22"/>
      <w:szCs w:val="22"/>
    </w:rPr>
  </w:style>
  <w:style w:type="character" w:customStyle="1" w:styleId="BlankLineChar">
    <w:name w:val="Blank Line Char"/>
    <w:basedOn w:val="DefaultParagraphFont"/>
    <w:link w:val="BlankLine"/>
    <w:rsid w:val="000E5EFA"/>
    <w:rPr>
      <w:rFonts w:ascii="Calibri" w:eastAsia="Times New Roman" w:hAnsi="Calibri" w:cs="Calibri"/>
      <w:sz w:val="22"/>
      <w:szCs w:val="22"/>
      <w:lang w:val="en-AU"/>
    </w:rPr>
  </w:style>
  <w:style w:type="character" w:styleId="Emphasis">
    <w:name w:val="Emphasis"/>
    <w:qFormat/>
    <w:rsid w:val="000E5EFA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8A9"/>
    <w:pPr>
      <w:keepNext/>
      <w:keepLines/>
      <w:suppressAutoHyphens/>
      <w:spacing w:before="120" w:after="120"/>
      <w:outlineLvl w:val="0"/>
    </w:pPr>
    <w:rPr>
      <w:rFonts w:ascii="Calibri Light" w:eastAsiaTheme="majorEastAsia" w:hAnsi="Calibri Light" w:cstheme="majorBidi"/>
      <w:bCs/>
      <w:color w:val="002F5F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8A9"/>
    <w:pPr>
      <w:tabs>
        <w:tab w:val="left" w:pos="426"/>
      </w:tabs>
      <w:spacing w:before="120" w:after="120"/>
      <w:ind w:right="254"/>
      <w:outlineLvl w:val="2"/>
    </w:pPr>
    <w:rPr>
      <w:rFonts w:ascii="Calibri Light" w:hAnsi="Calibri Light"/>
      <w:b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471"/>
    <w:pPr>
      <w:ind w:left="720"/>
      <w:contextualSpacing/>
    </w:pPr>
  </w:style>
  <w:style w:type="table" w:styleId="TableGrid">
    <w:name w:val="Table Grid"/>
    <w:basedOn w:val="TableNormal"/>
    <w:uiPriority w:val="59"/>
    <w:rsid w:val="00414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128A9"/>
    <w:rPr>
      <w:rFonts w:ascii="Calibri Light" w:eastAsiaTheme="majorEastAsia" w:hAnsi="Calibri Light" w:cstheme="majorBidi"/>
      <w:bCs/>
      <w:color w:val="002F5F"/>
      <w:sz w:val="48"/>
      <w:szCs w:val="4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128A9"/>
    <w:rPr>
      <w:rFonts w:ascii="Calibri Light" w:hAnsi="Calibri Light"/>
      <w:b/>
      <w:color w:val="262626" w:themeColor="text1" w:themeTint="D9"/>
      <w:sz w:val="28"/>
      <w:szCs w:val="28"/>
      <w:lang w:val="en-AU"/>
    </w:rPr>
  </w:style>
  <w:style w:type="paragraph" w:styleId="Quote">
    <w:name w:val="Quote"/>
    <w:basedOn w:val="NoSpacing"/>
    <w:next w:val="Normal"/>
    <w:link w:val="QuoteChar"/>
    <w:uiPriority w:val="29"/>
    <w:qFormat/>
    <w:rsid w:val="00F128A9"/>
    <w:pPr>
      <w:spacing w:before="120" w:after="120"/>
      <w:ind w:right="255"/>
    </w:pPr>
    <w:rPr>
      <w:rFonts w:ascii="Calibri Light" w:hAnsi="Calibri Light"/>
      <w:i/>
      <w:color w:val="002F5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F128A9"/>
    <w:rPr>
      <w:rFonts w:ascii="Calibri Light" w:hAnsi="Calibri Light"/>
      <w:i/>
      <w:color w:val="002F5F"/>
      <w:sz w:val="22"/>
      <w:szCs w:val="22"/>
      <w:lang w:val="en-AU"/>
    </w:rPr>
  </w:style>
  <w:style w:type="paragraph" w:customStyle="1" w:styleId="BodyText1">
    <w:name w:val="Body Text1"/>
    <w:qFormat/>
    <w:rsid w:val="00F128A9"/>
    <w:pPr>
      <w:tabs>
        <w:tab w:val="left" w:pos="426"/>
      </w:tabs>
      <w:spacing w:before="120" w:after="120"/>
      <w:ind w:right="255"/>
    </w:pPr>
    <w:rPr>
      <w:rFonts w:ascii="Calibri Light" w:hAnsi="Calibri Light" w:cs="Arial"/>
      <w:color w:val="262626" w:themeColor="text1" w:themeTint="D9"/>
      <w:sz w:val="21"/>
      <w:szCs w:val="21"/>
      <w:lang w:val="en-AU"/>
    </w:rPr>
  </w:style>
  <w:style w:type="paragraph" w:styleId="NoSpacing">
    <w:name w:val="No Spacing"/>
    <w:uiPriority w:val="1"/>
    <w:qFormat/>
    <w:rsid w:val="00F128A9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C44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4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4BD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4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BD"/>
    <w:rPr>
      <w:rFonts w:ascii="Lucida Grande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779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96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77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967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3E3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et.act.gov.au/contact_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u@act.gov.au" TargetMode="External"/><Relationship Id="rId14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FFEE8-2CD1-4F4D-8CCB-C27BF930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ACT Government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Tours Program International Visitor Procedure</dc:title>
  <dc:subject>Study Tours Program International Visitor Procedure</dc:subject>
  <dc:creator>ACT Education and Training</dc:creator>
  <cp:lastModifiedBy>Leeanne Honeyball</cp:lastModifiedBy>
  <cp:revision>14</cp:revision>
  <cp:lastPrinted>2015-09-23T00:59:00Z</cp:lastPrinted>
  <dcterms:created xsi:type="dcterms:W3CDTF">2015-10-02T01:17:00Z</dcterms:created>
  <dcterms:modified xsi:type="dcterms:W3CDTF">2015-12-10T05:38:00Z</dcterms:modified>
</cp:coreProperties>
</file>