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412B" w:rsidRPr="00121500" w:rsidRDefault="00F0412B" w:rsidP="00F0412B">
      <w:pPr>
        <w:rPr>
          <w:rFonts w:asciiTheme="minorHAnsi" w:hAnsiTheme="minorHAnsi" w:cstheme="minorHAnsi"/>
        </w:rPr>
      </w:pPr>
    </w:p>
    <w:tbl>
      <w:tblPr>
        <w:tblW w:w="10297" w:type="dxa"/>
        <w:jc w:val="center"/>
        <w:tblCellSpacing w:w="0" w:type="dxa"/>
        <w:shd w:val="clear" w:color="auto" w:fill="F2F2F2"/>
        <w:tblCellMar>
          <w:left w:w="0" w:type="dxa"/>
          <w:right w:w="0" w:type="dxa"/>
        </w:tblCellMar>
        <w:tblLook w:val="04A0" w:firstRow="1" w:lastRow="0" w:firstColumn="1" w:lastColumn="0" w:noHBand="0" w:noVBand="1"/>
      </w:tblPr>
      <w:tblGrid>
        <w:gridCol w:w="2507"/>
        <w:gridCol w:w="1776"/>
        <w:gridCol w:w="6334"/>
        <w:gridCol w:w="6"/>
      </w:tblGrid>
      <w:tr w:rsidR="00F0412B" w:rsidRPr="00121500" w:rsidTr="003F7DBA">
        <w:trPr>
          <w:tblCellSpacing w:w="0" w:type="dxa"/>
          <w:jc w:val="center"/>
        </w:trPr>
        <w:tc>
          <w:tcPr>
            <w:tcW w:w="2309" w:type="dxa"/>
            <w:shd w:val="clear" w:color="auto" w:fill="5C5C5C"/>
            <w:tcMar>
              <w:top w:w="225" w:type="dxa"/>
              <w:left w:w="465" w:type="dxa"/>
              <w:bottom w:w="225" w:type="dxa"/>
              <w:right w:w="0" w:type="dxa"/>
            </w:tcMar>
            <w:vAlign w:val="center"/>
            <w:hideMark/>
          </w:tcPr>
          <w:p w:rsidR="00F0412B" w:rsidRPr="00121500" w:rsidRDefault="00F0412B" w:rsidP="00C600AD">
            <w:pPr>
              <w:rPr>
                <w:rFonts w:asciiTheme="minorHAnsi" w:hAnsiTheme="minorHAnsi" w:cstheme="minorHAnsi"/>
              </w:rPr>
            </w:pPr>
          </w:p>
        </w:tc>
        <w:tc>
          <w:tcPr>
            <w:tcW w:w="1318" w:type="dxa"/>
            <w:shd w:val="clear" w:color="auto" w:fill="5C5C5C"/>
            <w:tcMar>
              <w:top w:w="225" w:type="dxa"/>
              <w:left w:w="645" w:type="dxa"/>
              <w:bottom w:w="225" w:type="dxa"/>
              <w:right w:w="0" w:type="dxa"/>
            </w:tcMar>
            <w:vAlign w:val="center"/>
            <w:hideMark/>
          </w:tcPr>
          <w:p w:rsidR="00F0412B" w:rsidRPr="00121500" w:rsidRDefault="00F0412B" w:rsidP="00C600AD">
            <w:pPr>
              <w:ind w:left="-2100"/>
              <w:rPr>
                <w:rFonts w:asciiTheme="minorHAnsi" w:eastAsia="Times New Roman" w:hAnsiTheme="minorHAnsi" w:cstheme="minorHAnsi"/>
                <w:sz w:val="20"/>
                <w:szCs w:val="20"/>
                <w:lang w:eastAsia="en-AU"/>
              </w:rPr>
            </w:pPr>
          </w:p>
        </w:tc>
        <w:tc>
          <w:tcPr>
            <w:tcW w:w="6670" w:type="dxa"/>
            <w:gridSpan w:val="2"/>
            <w:shd w:val="clear" w:color="auto" w:fill="5C5C5C"/>
            <w:tcMar>
              <w:top w:w="225" w:type="dxa"/>
              <w:left w:w="0" w:type="dxa"/>
              <w:bottom w:w="225" w:type="dxa"/>
              <w:right w:w="375" w:type="dxa"/>
            </w:tcMar>
            <w:vAlign w:val="center"/>
            <w:hideMark/>
          </w:tcPr>
          <w:p w:rsidR="00F0412B" w:rsidRPr="00121500" w:rsidRDefault="00F0412B" w:rsidP="00C600AD">
            <w:pPr>
              <w:spacing w:before="100" w:beforeAutospacing="1" w:after="100" w:afterAutospacing="1"/>
              <w:ind w:left="-1137"/>
              <w:jc w:val="right"/>
              <w:rPr>
                <w:rFonts w:asciiTheme="minorHAnsi" w:hAnsiTheme="minorHAnsi" w:cstheme="minorHAnsi"/>
                <w:color w:val="FFFFFF"/>
                <w:sz w:val="20"/>
                <w:szCs w:val="20"/>
                <w:lang w:eastAsia="en-AU"/>
              </w:rPr>
            </w:pPr>
            <w:r w:rsidRPr="00121500">
              <w:rPr>
                <w:rFonts w:asciiTheme="minorHAnsi" w:hAnsiTheme="minorHAnsi" w:cstheme="minorHAnsi"/>
                <w:noProof/>
                <w:color w:val="000000"/>
              </w:rPr>
              <w:drawing>
                <wp:inline distT="0" distB="0" distL="0" distR="0" wp14:anchorId="6230F627" wp14:editId="0B60328D">
                  <wp:extent cx="209550" cy="2095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21500">
              <w:rPr>
                <w:rFonts w:asciiTheme="minorHAnsi" w:hAnsiTheme="minorHAnsi" w:cstheme="minorHAnsi"/>
                <w:noProof/>
                <w:color w:val="000000"/>
              </w:rPr>
              <w:drawing>
                <wp:inline distT="0" distB="0" distL="0" distR="0" wp14:anchorId="048012C8" wp14:editId="405D480A">
                  <wp:extent cx="209550" cy="2095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21500">
              <w:rPr>
                <w:rFonts w:asciiTheme="minorHAnsi" w:hAnsiTheme="minorHAnsi" w:cstheme="minorHAnsi"/>
                <w:noProof/>
                <w:color w:val="000000"/>
              </w:rPr>
              <w:drawing>
                <wp:inline distT="0" distB="0" distL="0" distR="0" wp14:anchorId="55A1891D" wp14:editId="31160370">
                  <wp:extent cx="209550" cy="2095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F0412B" w:rsidRPr="00121500" w:rsidTr="003F7DBA">
        <w:trPr>
          <w:gridAfter w:val="1"/>
          <w:wAfter w:w="23" w:type="dxa"/>
          <w:tblCellSpacing w:w="0" w:type="dxa"/>
          <w:jc w:val="center"/>
        </w:trPr>
        <w:tc>
          <w:tcPr>
            <w:tcW w:w="10274" w:type="dxa"/>
            <w:gridSpan w:val="3"/>
            <w:shd w:val="clear" w:color="auto" w:fill="342682"/>
            <w:vAlign w:val="center"/>
            <w:hideMark/>
          </w:tcPr>
          <w:p w:rsidR="00F0412B" w:rsidRPr="00121500" w:rsidRDefault="00F0412B" w:rsidP="00C600AD">
            <w:pPr>
              <w:rPr>
                <w:rFonts w:asciiTheme="minorHAnsi" w:hAnsiTheme="minorHAnsi" w:cstheme="minorHAnsi"/>
                <w:color w:val="333132"/>
              </w:rPr>
            </w:pPr>
            <w:r w:rsidRPr="00121500">
              <w:rPr>
                <w:rFonts w:asciiTheme="minorHAnsi" w:hAnsiTheme="minorHAnsi" w:cstheme="minorHAnsi"/>
                <w:noProof/>
                <w:color w:val="333132"/>
              </w:rPr>
              <w:drawing>
                <wp:inline distT="0" distB="0" distL="0" distR="0" wp14:anchorId="348EBABA" wp14:editId="716BE50E">
                  <wp:extent cx="6742365" cy="1925003"/>
                  <wp:effectExtent l="0" t="0" r="0" b="0"/>
                  <wp:docPr id="76" name="Picture 76" descr="Children's Education and Care Assurance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s Education and Care Assurance Aler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777158" cy="1934937"/>
                          </a:xfrm>
                          <a:prstGeom prst="rect">
                            <a:avLst/>
                          </a:prstGeom>
                          <a:noFill/>
                          <a:ln>
                            <a:noFill/>
                          </a:ln>
                        </pic:spPr>
                      </pic:pic>
                    </a:graphicData>
                  </a:graphic>
                </wp:inline>
              </w:drawing>
            </w:r>
          </w:p>
        </w:tc>
      </w:tr>
    </w:tbl>
    <w:p w:rsidR="00F0412B" w:rsidRPr="00121500" w:rsidRDefault="00F0412B" w:rsidP="00F0412B">
      <w:pPr>
        <w:rPr>
          <w:rFonts w:asciiTheme="minorHAnsi" w:hAnsiTheme="minorHAnsi" w:cstheme="minorHAnsi"/>
        </w:rPr>
      </w:pPr>
    </w:p>
    <w:tbl>
      <w:tblPr>
        <w:tblW w:w="10260" w:type="dxa"/>
        <w:jc w:val="center"/>
        <w:tblCellSpacing w:w="0" w:type="dxa"/>
        <w:shd w:val="clear" w:color="auto" w:fill="F2F2F2"/>
        <w:tblCellMar>
          <w:left w:w="0" w:type="dxa"/>
          <w:right w:w="0" w:type="dxa"/>
        </w:tblCellMar>
        <w:tblLook w:val="04A0" w:firstRow="1" w:lastRow="0" w:firstColumn="1" w:lastColumn="0" w:noHBand="0" w:noVBand="1"/>
      </w:tblPr>
      <w:tblGrid>
        <w:gridCol w:w="10260"/>
      </w:tblGrid>
      <w:tr w:rsidR="00F0412B" w:rsidRPr="00121500" w:rsidTr="00C600AD">
        <w:trPr>
          <w:trHeight w:val="2960"/>
          <w:tblCellSpacing w:w="0" w:type="dxa"/>
          <w:jc w:val="center"/>
        </w:trPr>
        <w:tc>
          <w:tcPr>
            <w:tcW w:w="0" w:type="auto"/>
            <w:shd w:val="clear" w:color="auto" w:fill="F2F2F2"/>
            <w:tcMar>
              <w:top w:w="300" w:type="dxa"/>
              <w:left w:w="750" w:type="dxa"/>
              <w:bottom w:w="375" w:type="dxa"/>
              <w:right w:w="630" w:type="dxa"/>
            </w:tcMar>
            <w:vAlign w:val="center"/>
          </w:tcPr>
          <w:p w:rsidR="00F0412B" w:rsidRPr="00121500" w:rsidRDefault="00F0412B" w:rsidP="00C600AD">
            <w:pPr>
              <w:spacing w:before="150" w:line="300" w:lineRule="exact"/>
              <w:rPr>
                <w:rFonts w:asciiTheme="minorHAnsi" w:hAnsiTheme="minorHAnsi" w:cstheme="minorHAnsi"/>
              </w:rPr>
            </w:pPr>
            <w:r w:rsidRPr="00121500">
              <w:rPr>
                <w:rFonts w:asciiTheme="minorHAnsi" w:hAnsiTheme="minorHAnsi" w:cstheme="minorHAnsi"/>
                <w:i/>
                <w:iCs/>
                <w:color w:val="222222"/>
                <w:sz w:val="20"/>
                <w:szCs w:val="20"/>
                <w:lang w:eastAsia="en-AU"/>
              </w:rPr>
              <w:t>The Children’s Education and Care Assurance Update links professionals, providers and educators with news, resources and information that supports quality outcomes for children in ACT education and care services</w:t>
            </w:r>
          </w:p>
          <w:p w:rsidR="008C3A64" w:rsidRPr="008C3A64" w:rsidRDefault="008C3A64" w:rsidP="008C3A64">
            <w:pPr>
              <w:spacing w:before="100" w:beforeAutospacing="1" w:after="100" w:afterAutospacing="1" w:line="276" w:lineRule="auto"/>
              <w:rPr>
                <w:sz w:val="24"/>
                <w:szCs w:val="24"/>
                <w:lang w:eastAsia="en-AU"/>
              </w:rPr>
            </w:pPr>
            <w:r w:rsidRPr="008C3A64">
              <w:rPr>
                <w:color w:val="000000"/>
                <w:sz w:val="24"/>
                <w:szCs w:val="24"/>
                <w:lang w:eastAsia="en-AU"/>
              </w:rPr>
              <w:t>13 October 2020</w:t>
            </w:r>
          </w:p>
          <w:p w:rsidR="008C3A64" w:rsidRPr="008C3A64" w:rsidRDefault="008C3A64" w:rsidP="008C3A64">
            <w:pPr>
              <w:spacing w:after="240" w:line="276" w:lineRule="auto"/>
              <w:rPr>
                <w:b/>
                <w:bCs/>
                <w:color w:val="000000"/>
                <w:sz w:val="28"/>
                <w:szCs w:val="28"/>
                <w:lang w:val="en"/>
              </w:rPr>
            </w:pPr>
            <w:r w:rsidRPr="008C3A64">
              <w:rPr>
                <w:b/>
                <w:bCs/>
                <w:color w:val="000000"/>
                <w:sz w:val="28"/>
                <w:szCs w:val="28"/>
                <w:lang w:val="en"/>
              </w:rPr>
              <w:t xml:space="preserve">CECA’s regulatory functions </w:t>
            </w:r>
          </w:p>
          <w:p w:rsidR="008C3A64" w:rsidRPr="008C3A64" w:rsidRDefault="008C3A64" w:rsidP="008C3A64">
            <w:pPr>
              <w:spacing w:after="240" w:line="276" w:lineRule="auto"/>
              <w:rPr>
                <w:b/>
                <w:bCs/>
                <w:color w:val="000000"/>
                <w:sz w:val="28"/>
                <w:szCs w:val="28"/>
                <w:lang w:val="en"/>
              </w:rPr>
            </w:pPr>
            <w:r w:rsidRPr="008C3A64">
              <w:rPr>
                <w:color w:val="000000"/>
                <w:sz w:val="24"/>
                <w:szCs w:val="24"/>
                <w:lang w:val="en"/>
              </w:rPr>
              <w:t xml:space="preserve">CECA </w:t>
            </w:r>
            <w:proofErr w:type="gramStart"/>
            <w:r w:rsidRPr="008C3A64">
              <w:rPr>
                <w:color w:val="000000"/>
                <w:sz w:val="24"/>
                <w:szCs w:val="24"/>
                <w:lang w:val="en"/>
              </w:rPr>
              <w:t>continues</w:t>
            </w:r>
            <w:proofErr w:type="gramEnd"/>
            <w:r w:rsidRPr="008C3A64">
              <w:rPr>
                <w:color w:val="000000"/>
                <w:sz w:val="24"/>
                <w:szCs w:val="24"/>
                <w:lang w:val="en"/>
              </w:rPr>
              <w:t xml:space="preserve"> to transition back to full regulatory functions in response to the changing needs of the sector during this time. From 19 October 2020, CECA will recommence unannounced compliance audits and scheduled assessment and rating cycles. All functions will be carried out in </w:t>
            </w:r>
            <w:r w:rsidRPr="008C3A64">
              <w:rPr>
                <w:color w:val="000000"/>
                <w:sz w:val="24"/>
                <w:szCs w:val="24"/>
              </w:rPr>
              <w:t xml:space="preserve">line with service and Education Directorate COVID-19 protocols.  </w:t>
            </w:r>
          </w:p>
          <w:p w:rsidR="008C3A64" w:rsidRPr="008C3A64" w:rsidRDefault="008C3A64" w:rsidP="008C3A64">
            <w:pPr>
              <w:spacing w:before="240" w:line="276" w:lineRule="auto"/>
              <w:rPr>
                <w:b/>
                <w:bCs/>
                <w:position w:val="17"/>
                <w:sz w:val="28"/>
                <w:szCs w:val="28"/>
                <w:lang w:eastAsia="en-AU"/>
              </w:rPr>
            </w:pPr>
            <w:r w:rsidRPr="008C3A64">
              <w:rPr>
                <w:b/>
                <w:bCs/>
                <w:color w:val="000000"/>
                <w:position w:val="17"/>
                <w:sz w:val="28"/>
                <w:szCs w:val="28"/>
                <w:lang w:eastAsia="en-AU"/>
              </w:rPr>
              <w:t>Short message service (SMS)</w:t>
            </w:r>
          </w:p>
          <w:p w:rsidR="008C3A64" w:rsidRPr="008C3A64" w:rsidRDefault="008C3A64" w:rsidP="008C3A64">
            <w:pPr>
              <w:spacing w:before="240" w:line="276" w:lineRule="auto"/>
              <w:rPr>
                <w:b/>
                <w:bCs/>
                <w:position w:val="17"/>
                <w:sz w:val="28"/>
                <w:szCs w:val="28"/>
                <w:lang w:eastAsia="en-AU"/>
              </w:rPr>
            </w:pPr>
            <w:r w:rsidRPr="008C3A64">
              <w:rPr>
                <w:color w:val="000000"/>
                <w:sz w:val="24"/>
                <w:szCs w:val="24"/>
              </w:rPr>
              <w:t xml:space="preserve">As part of the Education Directorate’s Strategic Security and Emergency Management capabilities, in the event of an emergency, education and care services will now receive short message services (SMS) to their emergency mobile phone contact number listed in the </w:t>
            </w:r>
            <w:hyperlink r:id="rId9" w:history="1">
              <w:r w:rsidRPr="008C3A64">
                <w:rPr>
                  <w:color w:val="0563C1"/>
                  <w:sz w:val="24"/>
                  <w:szCs w:val="24"/>
                  <w:u w:val="single"/>
                </w:rPr>
                <w:t>National Quality Agenda IT System</w:t>
              </w:r>
            </w:hyperlink>
            <w:r w:rsidRPr="008C3A64">
              <w:rPr>
                <w:color w:val="000000"/>
                <w:sz w:val="24"/>
                <w:szCs w:val="24"/>
              </w:rPr>
              <w:t xml:space="preserve"> (NQAITS). This emergency mobile phone contact field is located under the service profile.  </w:t>
            </w:r>
          </w:p>
          <w:p w:rsidR="008C3A64" w:rsidRPr="008C3A64" w:rsidRDefault="008C3A64" w:rsidP="008C3A64">
            <w:pPr>
              <w:spacing w:line="276" w:lineRule="auto"/>
              <w:rPr>
                <w:sz w:val="24"/>
                <w:szCs w:val="24"/>
              </w:rPr>
            </w:pPr>
          </w:p>
          <w:p w:rsidR="008C3A64" w:rsidRPr="008C3A64" w:rsidRDefault="008C3A64" w:rsidP="008C3A64">
            <w:pPr>
              <w:spacing w:line="276" w:lineRule="auto"/>
              <w:rPr>
                <w:color w:val="000000"/>
                <w:sz w:val="24"/>
                <w:szCs w:val="24"/>
              </w:rPr>
            </w:pPr>
            <w:r w:rsidRPr="008C3A64">
              <w:rPr>
                <w:color w:val="000000"/>
                <w:sz w:val="24"/>
                <w:szCs w:val="24"/>
              </w:rPr>
              <w:t xml:space="preserve">On 1 October 2020 testing of the emergency notification SMS system took place, with only 48 percent of recipients responding as requested. If your service did not receive the below SMS, please check that the correct emergency mobile phone number is updated under your service profile in NQAITS. Keeping the correct details up to date in NQAITS is critical and will enable services to receive timely information and instructions in the event of an emergency. </w:t>
            </w:r>
          </w:p>
          <w:p w:rsidR="008C3A64" w:rsidRPr="008C3A64" w:rsidRDefault="008C3A64" w:rsidP="008C3A64">
            <w:pPr>
              <w:spacing w:line="276" w:lineRule="auto"/>
              <w:rPr>
                <w:color w:val="000000"/>
                <w:sz w:val="24"/>
                <w:szCs w:val="24"/>
              </w:rPr>
            </w:pPr>
          </w:p>
          <w:p w:rsidR="008C3A64" w:rsidRPr="008C3A64" w:rsidRDefault="008C3A64" w:rsidP="008C3A64">
            <w:pPr>
              <w:spacing w:line="276" w:lineRule="auto"/>
              <w:jc w:val="center"/>
              <w:rPr>
                <w:color w:val="000000"/>
                <w:sz w:val="24"/>
                <w:szCs w:val="24"/>
              </w:rPr>
            </w:pPr>
            <w:r w:rsidRPr="008C3A64">
              <w:rPr>
                <w:noProof/>
                <w:color w:val="000000"/>
                <w:sz w:val="24"/>
                <w:szCs w:val="24"/>
              </w:rPr>
              <w:drawing>
                <wp:inline distT="0" distB="0" distL="0" distR="0" wp14:anchorId="38A20BCB" wp14:editId="3BAB39E9">
                  <wp:extent cx="2057400" cy="1400175"/>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057400" cy="1400175"/>
                          </a:xfrm>
                          <a:prstGeom prst="rect">
                            <a:avLst/>
                          </a:prstGeom>
                          <a:noFill/>
                          <a:ln>
                            <a:noFill/>
                          </a:ln>
                        </pic:spPr>
                      </pic:pic>
                    </a:graphicData>
                  </a:graphic>
                </wp:inline>
              </w:drawing>
            </w:r>
          </w:p>
          <w:p w:rsidR="008C3A64" w:rsidRPr="008C3A64" w:rsidRDefault="008C3A64" w:rsidP="008C3A64">
            <w:pPr>
              <w:spacing w:line="276" w:lineRule="auto"/>
              <w:rPr>
                <w:color w:val="000000"/>
                <w:sz w:val="24"/>
                <w:szCs w:val="24"/>
              </w:rPr>
            </w:pPr>
          </w:p>
          <w:p w:rsidR="008C3A64" w:rsidRPr="008C3A64" w:rsidRDefault="008C3A64" w:rsidP="008C3A64">
            <w:pPr>
              <w:spacing w:line="276" w:lineRule="auto"/>
              <w:rPr>
                <w:color w:val="000000"/>
                <w:sz w:val="24"/>
                <w:szCs w:val="24"/>
              </w:rPr>
            </w:pPr>
            <w:r w:rsidRPr="008C3A64">
              <w:rPr>
                <w:color w:val="000000"/>
                <w:sz w:val="24"/>
                <w:szCs w:val="24"/>
              </w:rPr>
              <w:t>Further SMS testing will be conducted soon. Upon receiving any SMS notification from the Education Directorate, services must respond within 30 minutes from receipt.</w:t>
            </w:r>
          </w:p>
          <w:p w:rsidR="008C3A64" w:rsidRPr="008C3A64" w:rsidRDefault="008C3A64" w:rsidP="008C3A64">
            <w:pPr>
              <w:spacing w:line="276" w:lineRule="auto"/>
              <w:textAlignment w:val="center"/>
              <w:rPr>
                <w:b/>
                <w:bCs/>
                <w:position w:val="17"/>
                <w:sz w:val="24"/>
                <w:szCs w:val="24"/>
                <w:highlight w:val="yellow"/>
                <w:lang w:eastAsia="en-AU"/>
              </w:rPr>
            </w:pPr>
          </w:p>
          <w:p w:rsidR="008C3A64" w:rsidRPr="008C3A64" w:rsidRDefault="008C3A64" w:rsidP="008C3A64">
            <w:pPr>
              <w:spacing w:line="276" w:lineRule="auto"/>
              <w:textAlignment w:val="center"/>
              <w:rPr>
                <w:b/>
                <w:bCs/>
                <w:position w:val="17"/>
                <w:sz w:val="28"/>
                <w:szCs w:val="28"/>
                <w:lang w:eastAsia="en-AU"/>
              </w:rPr>
            </w:pPr>
            <w:r w:rsidRPr="008C3A64">
              <w:rPr>
                <w:b/>
                <w:bCs/>
                <w:color w:val="000000"/>
                <w:position w:val="17"/>
                <w:sz w:val="28"/>
                <w:szCs w:val="28"/>
                <w:lang w:eastAsia="en-AU"/>
              </w:rPr>
              <w:t xml:space="preserve">New Exceeding National Quality Standard guidance </w:t>
            </w:r>
          </w:p>
          <w:p w:rsidR="008C3A64" w:rsidRPr="008C3A64" w:rsidRDefault="008C3A64" w:rsidP="008C3A64">
            <w:pPr>
              <w:spacing w:line="276" w:lineRule="auto"/>
              <w:textAlignment w:val="center"/>
              <w:rPr>
                <w:b/>
                <w:bCs/>
                <w:position w:val="17"/>
                <w:sz w:val="28"/>
                <w:szCs w:val="28"/>
                <w:lang w:eastAsia="en-AU"/>
              </w:rPr>
            </w:pPr>
          </w:p>
          <w:p w:rsidR="008C3A64" w:rsidRPr="008C3A64" w:rsidRDefault="008C3A64" w:rsidP="008C3A64">
            <w:pPr>
              <w:spacing w:line="276" w:lineRule="auto"/>
              <w:rPr>
                <w:rFonts w:cs="Arial"/>
                <w:sz w:val="24"/>
                <w:szCs w:val="24"/>
              </w:rPr>
            </w:pPr>
            <w:r w:rsidRPr="008C3A64">
              <w:rPr>
                <w:rFonts w:cs="Arial"/>
                <w:color w:val="000000"/>
                <w:sz w:val="24"/>
                <w:szCs w:val="24"/>
              </w:rPr>
              <w:t xml:space="preserve">ACECQA has released new Exceeding National Quality Standard (NQS) guidance as part of their commitment to promote consistency, </w:t>
            </w:r>
            <w:proofErr w:type="gramStart"/>
            <w:r w:rsidRPr="008C3A64">
              <w:rPr>
                <w:rFonts w:cs="Arial"/>
                <w:color w:val="000000"/>
                <w:sz w:val="24"/>
                <w:szCs w:val="24"/>
              </w:rPr>
              <w:t>reliability</w:t>
            </w:r>
            <w:proofErr w:type="gramEnd"/>
            <w:r w:rsidRPr="008C3A64">
              <w:rPr>
                <w:rFonts w:cs="Arial"/>
                <w:color w:val="000000"/>
                <w:sz w:val="24"/>
                <w:szCs w:val="24"/>
              </w:rPr>
              <w:t xml:space="preserve"> and transparency in quality rating decisions. Informed by sector feedback and developed in collaboration with all state and territory regulatory authorities, the guidance and new resources include: </w:t>
            </w:r>
          </w:p>
          <w:p w:rsidR="008C3A64" w:rsidRPr="008C3A64" w:rsidRDefault="008C3A64" w:rsidP="008C3A64">
            <w:pPr>
              <w:numPr>
                <w:ilvl w:val="0"/>
                <w:numId w:val="1"/>
              </w:numPr>
              <w:spacing w:before="120" w:after="120" w:line="276" w:lineRule="auto"/>
              <w:rPr>
                <w:rFonts w:eastAsia="Times New Roman" w:cs="Arial"/>
                <w:sz w:val="24"/>
                <w:szCs w:val="24"/>
              </w:rPr>
            </w:pPr>
            <w:r w:rsidRPr="008C3A64">
              <w:rPr>
                <w:rFonts w:eastAsia="Times New Roman" w:cs="Arial"/>
                <w:color w:val="000000"/>
                <w:sz w:val="24"/>
                <w:szCs w:val="24"/>
              </w:rPr>
              <w:t xml:space="preserve">a series of </w:t>
            </w:r>
            <w:hyperlink r:id="rId12" w:history="1">
              <w:r w:rsidRPr="008C3A64">
                <w:rPr>
                  <w:rFonts w:ascii="Arial" w:eastAsia="Times New Roman" w:hAnsi="Arial" w:cs="Arial"/>
                  <w:color w:val="0563C1"/>
                  <w:sz w:val="24"/>
                  <w:szCs w:val="24"/>
                  <w:u w:val="single"/>
                </w:rPr>
                <w:t>case studies</w:t>
              </w:r>
            </w:hyperlink>
            <w:r w:rsidRPr="008C3A64">
              <w:rPr>
                <w:rFonts w:eastAsia="Times New Roman" w:cs="Arial"/>
                <w:color w:val="000000"/>
                <w:sz w:val="24"/>
                <w:szCs w:val="24"/>
              </w:rPr>
              <w:t xml:space="preserve"> that offer practical and illustrative examples of high quality practice for each quality standard;</w:t>
            </w:r>
          </w:p>
          <w:p w:rsidR="008C3A64" w:rsidRPr="008C3A64" w:rsidRDefault="008C3A64" w:rsidP="008C3A64">
            <w:pPr>
              <w:numPr>
                <w:ilvl w:val="0"/>
                <w:numId w:val="1"/>
              </w:numPr>
              <w:spacing w:before="120" w:after="120" w:line="276" w:lineRule="auto"/>
              <w:rPr>
                <w:rFonts w:eastAsia="Times New Roman" w:cs="Arial"/>
                <w:sz w:val="24"/>
                <w:szCs w:val="24"/>
              </w:rPr>
            </w:pPr>
            <w:r w:rsidRPr="008C3A64">
              <w:rPr>
                <w:rFonts w:eastAsia="Times New Roman" w:cs="Arial"/>
                <w:color w:val="000000"/>
                <w:sz w:val="24"/>
                <w:szCs w:val="24"/>
              </w:rPr>
              <w:t xml:space="preserve">updates to Exceeding guidance in the </w:t>
            </w:r>
            <w:hyperlink r:id="rId13" w:history="1">
              <w:r w:rsidRPr="008C3A64">
                <w:rPr>
                  <w:rFonts w:ascii="Arial" w:eastAsia="Times New Roman" w:hAnsi="Arial" w:cs="Arial"/>
                  <w:color w:val="0563C1"/>
                  <w:sz w:val="24"/>
                  <w:szCs w:val="24"/>
                  <w:u w:val="single"/>
                </w:rPr>
                <w:t>Guide to the NQF</w:t>
              </w:r>
            </w:hyperlink>
            <w:r w:rsidRPr="008C3A64">
              <w:rPr>
                <w:rFonts w:eastAsia="Times New Roman" w:cs="Arial"/>
                <w:color w:val="000000"/>
                <w:sz w:val="24"/>
                <w:szCs w:val="24"/>
              </w:rPr>
              <w:t xml:space="preserve"> (page 93). This includes translating guidance previously presented as Exceeding ‘indicators’ against each standard into reflective questions for service leaders, educators and other </w:t>
            </w:r>
            <w:proofErr w:type="gramStart"/>
            <w:r w:rsidRPr="008C3A64">
              <w:rPr>
                <w:rFonts w:eastAsia="Times New Roman" w:cs="Arial"/>
                <w:color w:val="000000"/>
                <w:sz w:val="24"/>
                <w:szCs w:val="24"/>
              </w:rPr>
              <w:t>staff;</w:t>
            </w:r>
            <w:proofErr w:type="gramEnd"/>
          </w:p>
          <w:p w:rsidR="008C3A64" w:rsidRPr="008C3A64" w:rsidRDefault="008C3A64" w:rsidP="008C3A64">
            <w:pPr>
              <w:numPr>
                <w:ilvl w:val="0"/>
                <w:numId w:val="1"/>
              </w:numPr>
              <w:spacing w:before="120" w:after="120" w:line="276" w:lineRule="auto"/>
              <w:rPr>
                <w:rFonts w:eastAsia="Times New Roman" w:cs="Arial"/>
                <w:sz w:val="24"/>
                <w:szCs w:val="24"/>
              </w:rPr>
            </w:pPr>
            <w:r w:rsidRPr="008C3A64">
              <w:rPr>
                <w:rFonts w:eastAsia="Times New Roman" w:cs="Arial"/>
                <w:color w:val="000000"/>
                <w:sz w:val="24"/>
                <w:szCs w:val="24"/>
              </w:rPr>
              <w:t xml:space="preserve">a </w:t>
            </w:r>
            <w:hyperlink r:id="rId14" w:history="1">
              <w:r w:rsidRPr="008C3A64">
                <w:rPr>
                  <w:rFonts w:ascii="Arial" w:eastAsia="Times New Roman" w:hAnsi="Arial" w:cs="Arial"/>
                  <w:color w:val="0563C1"/>
                  <w:sz w:val="24"/>
                  <w:szCs w:val="24"/>
                  <w:u w:val="single"/>
                </w:rPr>
                <w:t>new resource for authorised officers</w:t>
              </w:r>
            </w:hyperlink>
            <w:r w:rsidRPr="008C3A64">
              <w:rPr>
                <w:rFonts w:eastAsia="Times New Roman" w:cs="Arial"/>
                <w:color w:val="000000"/>
                <w:sz w:val="24"/>
                <w:szCs w:val="24"/>
              </w:rPr>
              <w:t xml:space="preserve"> ( page 94) to help assess and rate at the Exceeding NQS level. The resource is a series of questions to help determine if all Exceeding themes are demonstrated for each quality standard.</w:t>
            </w:r>
            <w:r w:rsidRPr="008C3A64">
              <w:rPr>
                <w:rFonts w:eastAsia="Times New Roman" w:cs="Arial"/>
                <w:color w:val="000000"/>
                <w:sz w:val="24"/>
                <w:szCs w:val="24"/>
              </w:rPr>
              <w:br/>
              <w:t>These questions are now being used by authorised officers across Australia and are included in the Guide to the NQF to offer further clarity and transparency for providers, service leaders and educators; and</w:t>
            </w:r>
          </w:p>
          <w:p w:rsidR="008C3A64" w:rsidRPr="008C3A64" w:rsidRDefault="00B61CB7" w:rsidP="008C3A64">
            <w:pPr>
              <w:numPr>
                <w:ilvl w:val="0"/>
                <w:numId w:val="2"/>
              </w:numPr>
              <w:spacing w:line="276" w:lineRule="auto"/>
              <w:rPr>
                <w:rFonts w:eastAsia="Times New Roman" w:cs="Arial"/>
                <w:sz w:val="24"/>
                <w:szCs w:val="24"/>
              </w:rPr>
            </w:pPr>
            <w:hyperlink r:id="rId15" w:history="1">
              <w:r w:rsidR="008C3A64" w:rsidRPr="008C3A64">
                <w:rPr>
                  <w:rFonts w:ascii="Arial" w:eastAsia="Times New Roman" w:hAnsi="Arial" w:cs="Arial"/>
                  <w:color w:val="0563C1"/>
                  <w:sz w:val="24"/>
                  <w:szCs w:val="24"/>
                  <w:u w:val="single"/>
                </w:rPr>
                <w:t>this information sheet</w:t>
              </w:r>
            </w:hyperlink>
            <w:r w:rsidR="008C3A64" w:rsidRPr="008C3A64">
              <w:rPr>
                <w:rFonts w:ascii="Arial" w:eastAsia="Times New Roman" w:hAnsi="Arial" w:cs="Arial"/>
                <w:color w:val="0563C1"/>
                <w:sz w:val="24"/>
                <w:szCs w:val="24"/>
                <w:u w:val="single"/>
              </w:rPr>
              <w:t>, which</w:t>
            </w:r>
            <w:r w:rsidR="008C3A64" w:rsidRPr="008C3A64">
              <w:rPr>
                <w:rFonts w:eastAsia="Times New Roman" w:cs="Arial"/>
                <w:color w:val="000000"/>
                <w:sz w:val="24"/>
                <w:szCs w:val="24"/>
              </w:rPr>
              <w:t xml:space="preserve"> provides a quick summary of the updated Exceeding NQS guidance and new resources.</w:t>
            </w:r>
          </w:p>
          <w:p w:rsidR="008C3A64" w:rsidRPr="008C3A64" w:rsidRDefault="008C3A64" w:rsidP="008C3A64">
            <w:pPr>
              <w:spacing w:line="276" w:lineRule="auto"/>
              <w:textAlignment w:val="center"/>
              <w:rPr>
                <w:position w:val="17"/>
                <w:sz w:val="28"/>
                <w:szCs w:val="28"/>
                <w:lang w:eastAsia="en-AU"/>
              </w:rPr>
            </w:pPr>
          </w:p>
          <w:p w:rsidR="008C3A64" w:rsidRPr="008C3A64" w:rsidRDefault="008C3A64" w:rsidP="008C3A64">
            <w:pPr>
              <w:spacing w:line="276" w:lineRule="auto"/>
              <w:rPr>
                <w:b/>
                <w:bCs/>
                <w:sz w:val="28"/>
                <w:szCs w:val="28"/>
                <w:lang w:eastAsia="en-AU"/>
              </w:rPr>
            </w:pPr>
            <w:r w:rsidRPr="008C3A64">
              <w:rPr>
                <w:b/>
                <w:bCs/>
                <w:color w:val="000000"/>
                <w:sz w:val="28"/>
                <w:szCs w:val="28"/>
                <w:lang w:eastAsia="en-AU"/>
              </w:rPr>
              <w:t xml:space="preserve">Maintaining access to current regulations  </w:t>
            </w:r>
          </w:p>
          <w:p w:rsidR="008C3A64" w:rsidRPr="008C3A64" w:rsidRDefault="008C3A64" w:rsidP="008C3A64">
            <w:pPr>
              <w:spacing w:line="276" w:lineRule="auto"/>
              <w:rPr>
                <w:rFonts w:cs="Arial"/>
                <w:sz w:val="24"/>
                <w:szCs w:val="24"/>
                <w:lang w:eastAsia="en-AU"/>
              </w:rPr>
            </w:pPr>
          </w:p>
          <w:p w:rsidR="008C3A64" w:rsidRPr="008C3A64" w:rsidRDefault="008C3A64" w:rsidP="008C3A64">
            <w:pPr>
              <w:spacing w:line="276" w:lineRule="auto"/>
              <w:rPr>
                <w:sz w:val="24"/>
                <w:szCs w:val="24"/>
                <w:lang w:eastAsia="en-AU"/>
              </w:rPr>
            </w:pPr>
            <w:r w:rsidRPr="008C3A64">
              <w:rPr>
                <w:color w:val="000000"/>
                <w:sz w:val="24"/>
                <w:szCs w:val="24"/>
                <w:lang w:eastAsia="en-AU"/>
              </w:rPr>
              <w:t>From 1 October 2020</w:t>
            </w:r>
            <w:r w:rsidRPr="008C3A64">
              <w:rPr>
                <w:color w:val="000000"/>
                <w:sz w:val="24"/>
                <w:szCs w:val="24"/>
              </w:rPr>
              <w:t xml:space="preserve"> </w:t>
            </w:r>
            <w:r w:rsidRPr="008C3A64">
              <w:rPr>
                <w:color w:val="000000"/>
                <w:sz w:val="24"/>
                <w:szCs w:val="24"/>
                <w:lang w:eastAsia="en-AU"/>
              </w:rPr>
              <w:t xml:space="preserve">new requirements under the </w:t>
            </w:r>
            <w:hyperlink r:id="rId16" w:history="1">
              <w:r w:rsidRPr="008C3A64">
                <w:rPr>
                  <w:color w:val="0563C1"/>
                  <w:sz w:val="24"/>
                  <w:szCs w:val="24"/>
                  <w:u w:val="single"/>
                </w:rPr>
                <w:t>Education and Care Services National Regulations</w:t>
              </w:r>
            </w:hyperlink>
            <w:r w:rsidRPr="008C3A64">
              <w:rPr>
                <w:color w:val="000000"/>
                <w:sz w:val="24"/>
                <w:szCs w:val="24"/>
                <w:lang w:eastAsia="en-AU"/>
              </w:rPr>
              <w:t xml:space="preserve"> (Regulations) came into effect and now include changes in relation to the safe transportation of children.</w:t>
            </w:r>
          </w:p>
          <w:p w:rsidR="008C3A64" w:rsidRPr="008C3A64" w:rsidRDefault="008C3A64" w:rsidP="008C3A64">
            <w:pPr>
              <w:spacing w:line="276" w:lineRule="auto"/>
              <w:rPr>
                <w:sz w:val="24"/>
                <w:szCs w:val="24"/>
                <w:lang w:eastAsia="en-AU"/>
              </w:rPr>
            </w:pPr>
          </w:p>
          <w:p w:rsidR="008C3A64" w:rsidRPr="008C3A64" w:rsidRDefault="008C3A64" w:rsidP="008C3A64">
            <w:pPr>
              <w:spacing w:line="276" w:lineRule="auto"/>
              <w:rPr>
                <w:sz w:val="24"/>
                <w:szCs w:val="24"/>
              </w:rPr>
            </w:pPr>
            <w:r w:rsidRPr="008C3A64">
              <w:rPr>
                <w:color w:val="000000"/>
                <w:sz w:val="24"/>
                <w:szCs w:val="24"/>
                <w:lang w:eastAsia="en-AU"/>
              </w:rPr>
              <w:t xml:space="preserve">Providers and services need to check that </w:t>
            </w:r>
            <w:r w:rsidRPr="008C3A64">
              <w:rPr>
                <w:color w:val="000000"/>
                <w:sz w:val="24"/>
                <w:szCs w:val="24"/>
              </w:rPr>
              <w:t>a copy of the updated Regulations is accessible at any service premises at all times for use by nominated supervisors, staff members, volunteers, parents of children enrolled at the service and any person seeking to make use of the service.</w:t>
            </w:r>
          </w:p>
          <w:p w:rsidR="008C3A64" w:rsidRPr="008C3A64" w:rsidRDefault="008C3A64" w:rsidP="008C3A64">
            <w:pPr>
              <w:spacing w:line="276" w:lineRule="auto"/>
              <w:rPr>
                <w:sz w:val="24"/>
                <w:szCs w:val="24"/>
              </w:rPr>
            </w:pPr>
          </w:p>
          <w:p w:rsidR="008C3A64" w:rsidRPr="008C3A64" w:rsidRDefault="008C3A64" w:rsidP="008C3A64">
            <w:pPr>
              <w:spacing w:line="276" w:lineRule="auto"/>
              <w:rPr>
                <w:sz w:val="24"/>
                <w:szCs w:val="24"/>
              </w:rPr>
            </w:pPr>
            <w:r w:rsidRPr="008C3A64">
              <w:rPr>
                <w:color w:val="000000"/>
                <w:sz w:val="24"/>
                <w:szCs w:val="24"/>
              </w:rPr>
              <w:t xml:space="preserve">Services can choose to have either a printed, hyperlink or QR version of the Regulations clearly displayed and accessible in a prominent position at the entrance of the service. </w:t>
            </w:r>
          </w:p>
          <w:p w:rsidR="008C3A64" w:rsidRPr="008C3A64" w:rsidRDefault="008C3A64" w:rsidP="008C3A64">
            <w:pPr>
              <w:spacing w:line="276" w:lineRule="auto"/>
              <w:textAlignment w:val="center"/>
              <w:rPr>
                <w:position w:val="17"/>
                <w:sz w:val="24"/>
                <w:szCs w:val="24"/>
                <w:lang w:eastAsia="en-AU"/>
              </w:rPr>
            </w:pPr>
          </w:p>
          <w:p w:rsidR="00F0412B" w:rsidRPr="00121500" w:rsidRDefault="00F0412B" w:rsidP="00C600AD">
            <w:pPr>
              <w:rPr>
                <w:rFonts w:asciiTheme="minorHAnsi" w:hAnsiTheme="minorHAnsi" w:cstheme="minorHAnsi"/>
                <w:color w:val="000000"/>
                <w:lang w:eastAsia="en-AU"/>
              </w:rPr>
            </w:pPr>
          </w:p>
          <w:p w:rsidR="00F0412B" w:rsidRPr="00121500" w:rsidRDefault="00F0412B" w:rsidP="00C600AD">
            <w:pPr>
              <w:rPr>
                <w:rFonts w:asciiTheme="minorHAnsi" w:hAnsiTheme="minorHAnsi" w:cstheme="minorHAnsi"/>
                <w:sz w:val="20"/>
                <w:szCs w:val="20"/>
              </w:rPr>
            </w:pPr>
            <w:r w:rsidRPr="00121500">
              <w:rPr>
                <w:rFonts w:asciiTheme="minorHAnsi" w:hAnsiTheme="minorHAnsi" w:cstheme="minorHAnsi"/>
                <w:color w:val="000000"/>
                <w:sz w:val="20"/>
                <w:szCs w:val="20"/>
                <w:lang w:eastAsia="en-AU"/>
              </w:rPr>
              <w:t xml:space="preserve">For enquires in relation to this notification please call CECA on (02) 6207 1114 or email </w:t>
            </w:r>
            <w:hyperlink r:id="rId17" w:history="1">
              <w:r w:rsidRPr="00121500">
                <w:rPr>
                  <w:rStyle w:val="Hyperlink"/>
                  <w:rFonts w:asciiTheme="minorHAnsi" w:hAnsiTheme="minorHAnsi" w:cstheme="minorHAnsi"/>
                  <w:color w:val="0000FF"/>
                  <w:sz w:val="20"/>
                  <w:szCs w:val="20"/>
                </w:rPr>
                <w:t>CECA@ACT.gov.au</w:t>
              </w:r>
            </w:hyperlink>
            <w:r w:rsidRPr="00121500">
              <w:rPr>
                <w:rFonts w:asciiTheme="minorHAnsi" w:hAnsiTheme="minorHAnsi" w:cstheme="minorHAnsi"/>
                <w:color w:val="000000"/>
                <w:sz w:val="20"/>
                <w:szCs w:val="20"/>
                <w:u w:val="single"/>
              </w:rPr>
              <w:t>.</w:t>
            </w:r>
            <w:r w:rsidRPr="00121500">
              <w:rPr>
                <w:rFonts w:asciiTheme="minorHAnsi" w:hAnsiTheme="minorHAnsi" w:cstheme="minorHAnsi"/>
                <w:color w:val="000000"/>
                <w:sz w:val="20"/>
                <w:szCs w:val="20"/>
              </w:rPr>
              <w:t xml:space="preserve"> </w:t>
            </w:r>
          </w:p>
          <w:p w:rsidR="00F0412B" w:rsidRPr="00121500" w:rsidRDefault="00F0412B" w:rsidP="00C600AD">
            <w:pPr>
              <w:jc w:val="center"/>
              <w:rPr>
                <w:rFonts w:asciiTheme="minorHAnsi" w:hAnsiTheme="minorHAnsi" w:cstheme="minorHAnsi"/>
              </w:rPr>
            </w:pPr>
          </w:p>
          <w:p w:rsidR="00F0412B" w:rsidRPr="00121500" w:rsidRDefault="00F0412B" w:rsidP="00C600AD">
            <w:pPr>
              <w:jc w:val="center"/>
              <w:rPr>
                <w:rFonts w:asciiTheme="minorHAnsi" w:hAnsiTheme="minorHAnsi" w:cstheme="minorHAnsi"/>
                <w:color w:val="767171"/>
                <w:sz w:val="20"/>
                <w:szCs w:val="20"/>
                <w:lang w:eastAsia="en-AU"/>
              </w:rPr>
            </w:pPr>
            <w:r w:rsidRPr="00121500">
              <w:rPr>
                <w:rFonts w:asciiTheme="minorHAnsi" w:hAnsiTheme="minorHAnsi" w:cstheme="minorHAnsi"/>
                <w:color w:val="767171"/>
                <w:sz w:val="20"/>
                <w:szCs w:val="20"/>
                <w:lang w:eastAsia="en-AU"/>
              </w:rPr>
              <w:t xml:space="preserve">This email has been authorised by the ACT Regulatory Authority (CECA). </w:t>
            </w:r>
          </w:p>
          <w:p w:rsidR="00F0412B" w:rsidRPr="00121500" w:rsidRDefault="00F0412B" w:rsidP="00C600AD">
            <w:pPr>
              <w:jc w:val="center"/>
              <w:rPr>
                <w:rFonts w:asciiTheme="minorHAnsi" w:hAnsiTheme="minorHAnsi" w:cstheme="minorHAnsi"/>
                <w:color w:val="767171"/>
                <w:lang w:eastAsia="en-AU"/>
              </w:rPr>
            </w:pPr>
            <w:r w:rsidRPr="00121500">
              <w:rPr>
                <w:rFonts w:asciiTheme="minorHAnsi" w:hAnsiTheme="minorHAnsi" w:cstheme="minorHAnsi"/>
                <w:color w:val="767171"/>
                <w:sz w:val="20"/>
                <w:szCs w:val="20"/>
                <w:lang w:eastAsia="en-AU"/>
              </w:rPr>
              <w:t>CECA are responsible for administering the National Quality Framework within the ACT</w:t>
            </w:r>
            <w:r w:rsidRPr="00121500">
              <w:rPr>
                <w:rFonts w:asciiTheme="minorHAnsi" w:hAnsiTheme="minorHAnsi" w:cstheme="minorHAnsi"/>
                <w:color w:val="767171"/>
                <w:lang w:eastAsia="en-AU"/>
              </w:rPr>
              <w:t>.</w:t>
            </w:r>
          </w:p>
        </w:tc>
      </w:tr>
    </w:tbl>
    <w:p w:rsidR="00F0412B" w:rsidRPr="00121500" w:rsidRDefault="00F0412B" w:rsidP="00F0412B">
      <w:pPr>
        <w:rPr>
          <w:rFonts w:asciiTheme="minorHAnsi" w:hAnsiTheme="minorHAnsi" w:cstheme="minorHAnsi"/>
          <w:color w:val="333132"/>
        </w:rPr>
      </w:pPr>
    </w:p>
    <w:tbl>
      <w:tblPr>
        <w:tblW w:w="10488" w:type="dxa"/>
        <w:jc w:val="center"/>
        <w:tblCellSpacing w:w="0" w:type="dxa"/>
        <w:shd w:val="clear" w:color="auto" w:fill="FFFFFF"/>
        <w:tblCellMar>
          <w:left w:w="0" w:type="dxa"/>
          <w:right w:w="0" w:type="dxa"/>
        </w:tblCellMar>
        <w:tblLook w:val="04A0" w:firstRow="1" w:lastRow="0" w:firstColumn="1" w:lastColumn="0" w:noHBand="0" w:noVBand="1"/>
      </w:tblPr>
      <w:tblGrid>
        <w:gridCol w:w="10510"/>
      </w:tblGrid>
      <w:tr w:rsidR="00F0412B" w:rsidRPr="00121500" w:rsidTr="00C600AD">
        <w:trPr>
          <w:trHeight w:val="671"/>
          <w:tblCellSpacing w:w="0" w:type="dxa"/>
          <w:jc w:val="center"/>
        </w:trPr>
        <w:tc>
          <w:tcPr>
            <w:tcW w:w="10439" w:type="dxa"/>
            <w:shd w:val="clear" w:color="auto" w:fill="5C5C5C"/>
            <w:vAlign w:val="center"/>
            <w:hideMark/>
          </w:tcPr>
          <w:tbl>
            <w:tblPr>
              <w:tblW w:w="10510" w:type="dxa"/>
              <w:jc w:val="center"/>
              <w:tblCellSpacing w:w="0" w:type="dxa"/>
              <w:shd w:val="clear" w:color="auto" w:fill="FFFFFF"/>
              <w:tblCellMar>
                <w:left w:w="0" w:type="dxa"/>
                <w:right w:w="0" w:type="dxa"/>
              </w:tblCellMar>
              <w:tblLook w:val="04A0" w:firstRow="1" w:lastRow="0" w:firstColumn="1" w:lastColumn="0" w:noHBand="0" w:noVBand="1"/>
            </w:tblPr>
            <w:tblGrid>
              <w:gridCol w:w="4139"/>
              <w:gridCol w:w="88"/>
              <w:gridCol w:w="6283"/>
            </w:tblGrid>
            <w:tr w:rsidR="00F0412B" w:rsidRPr="00121500" w:rsidTr="00C600AD">
              <w:trPr>
                <w:gridAfter w:val="2"/>
                <w:wAfter w:w="6371" w:type="dxa"/>
                <w:trHeight w:val="76"/>
                <w:tblCellSpacing w:w="0" w:type="dxa"/>
                <w:jc w:val="center"/>
              </w:trPr>
              <w:tc>
                <w:tcPr>
                  <w:tcW w:w="0" w:type="auto"/>
                  <w:shd w:val="clear" w:color="auto" w:fill="5C5C5C"/>
                  <w:vAlign w:val="center"/>
                  <w:hideMark/>
                </w:tcPr>
                <w:p w:rsidR="00F0412B" w:rsidRPr="00121500" w:rsidRDefault="00F0412B" w:rsidP="00C600AD">
                  <w:pPr>
                    <w:rPr>
                      <w:rFonts w:asciiTheme="minorHAnsi" w:eastAsia="Times New Roman" w:hAnsiTheme="minorHAnsi" w:cstheme="minorHAnsi"/>
                      <w:sz w:val="20"/>
                      <w:szCs w:val="20"/>
                      <w:lang w:eastAsia="en-AU"/>
                    </w:rPr>
                  </w:pPr>
                </w:p>
              </w:tc>
            </w:tr>
            <w:tr w:rsidR="00F0412B" w:rsidRPr="00121500" w:rsidTr="00C600AD">
              <w:trPr>
                <w:trHeight w:val="543"/>
                <w:tblCellSpacing w:w="0" w:type="dxa"/>
                <w:jc w:val="center"/>
              </w:trPr>
              <w:tc>
                <w:tcPr>
                  <w:tcW w:w="0" w:type="auto"/>
                  <w:shd w:val="clear" w:color="auto" w:fill="5C5C5C"/>
                  <w:tcMar>
                    <w:top w:w="120" w:type="dxa"/>
                    <w:left w:w="630" w:type="dxa"/>
                    <w:bottom w:w="120" w:type="dxa"/>
                    <w:right w:w="0" w:type="dxa"/>
                  </w:tcMar>
                  <w:vAlign w:val="center"/>
                  <w:hideMark/>
                </w:tcPr>
                <w:p w:rsidR="00F0412B" w:rsidRPr="00121500" w:rsidRDefault="00F0412B" w:rsidP="00C600AD">
                  <w:pPr>
                    <w:pStyle w:val="NormalWeb"/>
                    <w:rPr>
                      <w:rFonts w:asciiTheme="minorHAnsi" w:hAnsiTheme="minorHAnsi" w:cstheme="minorHAnsi"/>
                      <w:color w:val="FFFFFF"/>
                      <w:sz w:val="20"/>
                      <w:szCs w:val="20"/>
                    </w:rPr>
                  </w:pPr>
                  <w:r w:rsidRPr="00121500">
                    <w:rPr>
                      <w:rFonts w:asciiTheme="minorHAnsi" w:hAnsiTheme="minorHAnsi" w:cstheme="minorHAnsi"/>
                      <w:noProof/>
                      <w:color w:val="0000FF"/>
                      <w:sz w:val="20"/>
                      <w:szCs w:val="20"/>
                    </w:rPr>
                    <w:drawing>
                      <wp:inline distT="0" distB="0" distL="0" distR="0" wp14:anchorId="7BEC8CD0" wp14:editId="3CE3097D">
                        <wp:extent cx="1085850" cy="352425"/>
                        <wp:effectExtent l="0" t="0" r="0" b="0"/>
                        <wp:docPr id="93" name="Picture 93" descr="faceboo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5850" cy="352425"/>
                                </a:xfrm>
                                <a:prstGeom prst="rect">
                                  <a:avLst/>
                                </a:prstGeom>
                                <a:noFill/>
                                <a:ln>
                                  <a:noFill/>
                                </a:ln>
                              </pic:spPr>
                            </pic:pic>
                          </a:graphicData>
                        </a:graphic>
                      </wp:inline>
                    </w:drawing>
                  </w:r>
                </w:p>
              </w:tc>
              <w:tc>
                <w:tcPr>
                  <w:tcW w:w="0" w:type="auto"/>
                  <w:shd w:val="clear" w:color="auto" w:fill="5C5C5C"/>
                  <w:tcMar>
                    <w:top w:w="120" w:type="dxa"/>
                    <w:left w:w="0" w:type="dxa"/>
                    <w:bottom w:w="120" w:type="dxa"/>
                    <w:right w:w="0" w:type="dxa"/>
                  </w:tcMar>
                  <w:vAlign w:val="center"/>
                  <w:hideMark/>
                </w:tcPr>
                <w:p w:rsidR="00F0412B" w:rsidRPr="00121500" w:rsidRDefault="00F0412B" w:rsidP="00C600AD">
                  <w:pPr>
                    <w:jc w:val="center"/>
                    <w:rPr>
                      <w:rFonts w:asciiTheme="minorHAnsi" w:hAnsiTheme="minorHAnsi" w:cstheme="minorHAnsi"/>
                      <w:color w:val="333132"/>
                    </w:rPr>
                  </w:pPr>
                  <w:r w:rsidRPr="00121500">
                    <w:rPr>
                      <w:rFonts w:asciiTheme="minorHAnsi" w:hAnsiTheme="minorHAnsi" w:cstheme="minorHAnsi"/>
                      <w:color w:val="333132"/>
                    </w:rPr>
                    <w:t> </w:t>
                  </w:r>
                </w:p>
              </w:tc>
              <w:tc>
                <w:tcPr>
                  <w:tcW w:w="6283" w:type="dxa"/>
                  <w:shd w:val="clear" w:color="auto" w:fill="5C5C5C"/>
                  <w:tcMar>
                    <w:top w:w="120" w:type="dxa"/>
                    <w:left w:w="0" w:type="dxa"/>
                    <w:bottom w:w="120" w:type="dxa"/>
                    <w:right w:w="525" w:type="dxa"/>
                  </w:tcMar>
                  <w:vAlign w:val="center"/>
                  <w:hideMark/>
                </w:tcPr>
                <w:p w:rsidR="00F0412B" w:rsidRPr="00121500" w:rsidRDefault="00F0412B" w:rsidP="00C600AD">
                  <w:pPr>
                    <w:jc w:val="right"/>
                    <w:rPr>
                      <w:rFonts w:asciiTheme="minorHAnsi" w:hAnsiTheme="minorHAnsi" w:cstheme="minorHAnsi"/>
                      <w:color w:val="333132"/>
                    </w:rPr>
                  </w:pPr>
                  <w:r w:rsidRPr="00121500">
                    <w:rPr>
                      <w:rFonts w:asciiTheme="minorHAnsi" w:hAnsiTheme="minorHAnsi" w:cstheme="minorHAnsi"/>
                      <w:noProof/>
                      <w:color w:val="333132"/>
                    </w:rPr>
                    <w:drawing>
                      <wp:inline distT="0" distB="0" distL="0" distR="0" wp14:anchorId="6CEFD90C" wp14:editId="48669CFE">
                        <wp:extent cx="1895475" cy="647700"/>
                        <wp:effectExtent l="0" t="0" r="0" b="0"/>
                        <wp:docPr id="94" name="Picture 94"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pect, Integrity, Collaboration and Innovation, the ACTPS Values and Signature Behaivour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5475" cy="647700"/>
                                </a:xfrm>
                                <a:prstGeom prst="rect">
                                  <a:avLst/>
                                </a:prstGeom>
                                <a:noFill/>
                                <a:ln>
                                  <a:noFill/>
                                </a:ln>
                              </pic:spPr>
                            </pic:pic>
                          </a:graphicData>
                        </a:graphic>
                      </wp:inline>
                    </w:drawing>
                  </w:r>
                </w:p>
              </w:tc>
            </w:tr>
          </w:tbl>
          <w:p w:rsidR="00F0412B" w:rsidRPr="00121500" w:rsidRDefault="00F0412B" w:rsidP="00C600AD">
            <w:pPr>
              <w:jc w:val="center"/>
              <w:rPr>
                <w:rFonts w:asciiTheme="minorHAnsi" w:eastAsia="Times New Roman" w:hAnsiTheme="minorHAnsi" w:cstheme="minorHAnsi"/>
                <w:sz w:val="20"/>
                <w:szCs w:val="20"/>
                <w:lang w:eastAsia="en-AU"/>
              </w:rPr>
            </w:pPr>
          </w:p>
        </w:tc>
      </w:tr>
      <w:tr w:rsidR="00F0412B" w:rsidRPr="00121500" w:rsidTr="00C600AD">
        <w:trPr>
          <w:trHeight w:val="60"/>
          <w:tblCellSpacing w:w="0" w:type="dxa"/>
          <w:jc w:val="center"/>
        </w:trPr>
        <w:tc>
          <w:tcPr>
            <w:tcW w:w="10488" w:type="dxa"/>
            <w:shd w:val="clear" w:color="auto" w:fill="5C5C5C"/>
            <w:vAlign w:val="center"/>
          </w:tcPr>
          <w:p w:rsidR="00F0412B" w:rsidRPr="00121500" w:rsidRDefault="00F0412B" w:rsidP="00C600AD">
            <w:pPr>
              <w:rPr>
                <w:rFonts w:asciiTheme="minorHAnsi" w:hAnsiTheme="minorHAnsi" w:cstheme="minorHAnsi"/>
                <w:color w:val="333132"/>
              </w:rPr>
            </w:pPr>
          </w:p>
        </w:tc>
      </w:tr>
    </w:tbl>
    <w:p w:rsidR="001C49DD" w:rsidRPr="00121500" w:rsidRDefault="001C49DD">
      <w:pPr>
        <w:rPr>
          <w:rFonts w:asciiTheme="minorHAnsi" w:hAnsiTheme="minorHAnsi" w:cstheme="minorHAnsi"/>
        </w:rPr>
      </w:pPr>
    </w:p>
    <w:sectPr w:rsidR="001C49DD" w:rsidRPr="00121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03F43"/>
    <w:multiLevelType w:val="hybridMultilevel"/>
    <w:tmpl w:val="7BF8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1E57D16"/>
    <w:multiLevelType w:val="hybridMultilevel"/>
    <w:tmpl w:val="EBEEBF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2B"/>
    <w:rsid w:val="00121500"/>
    <w:rsid w:val="001C49DD"/>
    <w:rsid w:val="001E4B11"/>
    <w:rsid w:val="00380DFB"/>
    <w:rsid w:val="003F7DBA"/>
    <w:rsid w:val="00694CF8"/>
    <w:rsid w:val="008C3A64"/>
    <w:rsid w:val="00A5783B"/>
    <w:rsid w:val="00B51BD8"/>
    <w:rsid w:val="00CC1ED6"/>
    <w:rsid w:val="00F041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8C60"/>
  <w15:chartTrackingRefBased/>
  <w15:docId w15:val="{62567ED0-DA73-4DB8-B235-14CE9221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1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12B"/>
    <w:rPr>
      <w:color w:val="0563C1"/>
      <w:u w:val="single"/>
    </w:rPr>
  </w:style>
  <w:style w:type="paragraph" w:styleId="NormalWeb">
    <w:name w:val="Normal (Web)"/>
    <w:basedOn w:val="Normal"/>
    <w:uiPriority w:val="99"/>
    <w:semiHidden/>
    <w:unhideWhenUsed/>
    <w:rsid w:val="00F0412B"/>
    <w:pPr>
      <w:spacing w:before="100" w:beforeAutospacing="1" w:after="100" w:afterAutospacing="1"/>
    </w:pPr>
    <w:rPr>
      <w:lang w:eastAsia="en-AU"/>
    </w:rPr>
  </w:style>
  <w:style w:type="paragraph" w:styleId="NoSpacing">
    <w:name w:val="No Spacing"/>
    <w:basedOn w:val="Normal"/>
    <w:uiPriority w:val="1"/>
    <w:qFormat/>
    <w:rsid w:val="00F04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3441.ED572C00" TargetMode="External"/><Relationship Id="rId13" Type="http://schemas.openxmlformats.org/officeDocument/2006/relationships/hyperlink" Target="https://aus01.safelinks.protection.outlook.com/?url=https%3A%2F%2Furldefense.proofpoint.com%2Fv2%2Furl%3Fu%3Dhttps-3A__aus01.safelinks.protection.outlook.com_-3Furl-3Dhttps-253A-252F-252Furldefense.proofpoint.com-252Fv2-252Furl-253Fu-253Dhttps-2D3A-5F-5Fwww.acecqa.gov.au-5Fsites-5Fdefault-5Ffiles-5F2020-2D2D09-5FGuide-2D2Dto-2D2Dthe-2D2DNQF-2D2DSeptember-2D2D2020.pdf-2526d-253DDwMF-2Dg-2526c-253D1Ed-2D6ms7zRUF92PJRS6bbw-2526r-253DdoXfx3e9HF851dufQBOH1qsyXPdpYtOXydcyVrSvFic-2526m-253DCzOw1kBmj5flQTYI1RG64jSO-5Fbfb-2D143TlFlWmQU-5F0k-2526s-253DupNgLR-2DeA6CsVWsR2vH2nvwdEBKtVu7NOfpvsFZc-2D-2D8-2526e-253D-26data-3D02-257C01-257C-257Cf84aac02f3654cc2dd0508d86fc41820-257Cb46c190803344236b978585ee88e4199-257C0-257C0-257C637382235296368593-26sdata-3DvMyL8Wp-252FqpzzE125Jp1cPcUitl2fJKnBE72NVmxYsYg-253D-26reserved-3D0%26d%3DDwMFAg%26c%3D1Ed-6ms7zRUF92PJRS6bbw%26r%3DX5HtouCg1k_g2G2gArP8idT_Oaxqu3A6HBgPaQnYgqY%26m%3Dzzsx7LiF2GD8ZUHacpbb4lBnnOAF1GMiBWZO72DHbkY%26s%3DPmyV4Lmz6PTuTStFYm5DPT8WmHUrLz752iHAuAbZZUk%26e%3D&amp;data=04%7C01%7C%7C882016d8520f4b56241908d873b9ef58%7Cb46c190803344236b978585ee88e4199%7C0%7C0%7C637386589716923627%7CUnknown%7CTWFpbGZsb3d8eyJWIjoiMC4wLjAwMDAiLCJQIjoiV2luMzIiLCJBTiI6Ik1haWwiLCJXVCI6Mn0%3D%7C1000&amp;sdata=GN4dP1zgAqzNymLpdmi5ovDVMNw5L6nu9DzWH3%2BlhdU%3D&amp;reserved=0" TargetMode="External"/><Relationship Id="rId18" Type="http://schemas.openxmlformats.org/officeDocument/2006/relationships/hyperlink" Target="https://www.facebook.com/CECAAC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aus01.safelinks.protection.outlook.com/?url=https%3A%2F%2Furldefense.proofpoint.com%2Fv2%2Furl%3Fu%3Dhttps-3A__aus01.safelinks.protection.outlook.com_-3Furl-3Dhttps-253A-252F-252Furldefense.proofpoint.com-252Fv2-252Furl-253Fu-253Dhttps-2D3A-5F-5Fwww.acecqa.gov.au-5Fassessment-5Fexceeding-2D2Dnqs-2526d-253DDwMF-2Dg-2526c-253D1Ed-2D6ms7zRUF92PJRS6bbw-2526r-253DdoXfx3e9HF851dufQBOH1qsyXPdpYtOXydcyVrSvFic-2526m-253DCzOw1kBmj5flQTYI1RG64jSO-5Fbfb-2D143TlFlWmQU-5F0k-2526s-253D14e717UvoTqJAK277j2GZ9kViDXEBW7ljRy5fTJV0DQ-2526e-253D-26data-3D02-257C01-257C-257Cf84aac02f3654cc2dd0508d86fc41820-257Cb46c190803344236b978585ee88e4199-257C0-257C0-257C637382235296358603-26sdata-3DiZv7pMuuxiwL70WifRqenp7DfbmqNjV1tmQIv0E7tdI-253D-26reserved-3D0%26d%3DDwMFAg%26c%3D1Ed-6ms7zRUF92PJRS6bbw%26r%3DX5HtouCg1k_g2G2gArP8idT_Oaxqu3A6HBgPaQnYgqY%26m%3Dzzsx7LiF2GD8ZUHacpbb4lBnnOAF1GMiBWZO72DHbkY%26s%3DXqLJAQMyvCN8-tdvOdIxJdskkrPGDE1amKrJRxkINTA%26e%3D&amp;data=04%7C01%7C%7C882016d8520f4b56241908d873b9ef58%7Cb46c190803344236b978585ee88e4199%7C0%7C0%7C637386589716913641%7CUnknown%7CTWFpbGZsb3d8eyJWIjoiMC4wLjAwMDAiLCJQIjoiV2luMzIiLCJBTiI6Ik1haWwiLCJXVCI6Mn0%3D%7C1000&amp;sdata=m2S%2FqD2xkBX6oPxvzjiiAYMkL10Ikm2BOFOoIC8S3RA%3D&amp;reserved=0" TargetMode="External"/><Relationship Id="rId17" Type="http://schemas.openxmlformats.org/officeDocument/2006/relationships/hyperlink" Target="mailto:CECA@ACT.gov.au" TargetMode="External"/><Relationship Id="rId2" Type="http://schemas.openxmlformats.org/officeDocument/2006/relationships/styles" Target="styles.xml"/><Relationship Id="rId16" Type="http://schemas.openxmlformats.org/officeDocument/2006/relationships/hyperlink" Target="https://aus01.safelinks.protection.outlook.com/?url=https%3A%2F%2Furldefense.proofpoint.com%2Fv2%2Furl%3Fu%3Dhttps-3A__aus01.safelinks.protection.outlook.com_-3Furl-3Dhttps-253A-252F-252Furldefense.proofpoint.com-252Fv2-252Furl-253Fu-253Dhttps-2D3A-5F-5Fwww.acecqa.gov.au-5Fnqf-5Fnational-2D2Dlaw-2D2Dregulations-5Fnational-2D2Dregulations-2526d-253DDwMF-2Dg-2526c-253D1Ed-2D6ms7zRUF92PJRS6bbw-2526r-253DdoXfx3e9HF851dufQBOH1qsyXPdpYtOXydcyVrSvFic-2526m-253DCzOw1kBmj5flQTYI1RG64jSO-5Fbfb-2D143TlFlWmQU-5F0k-2526s-253DOBYzFi6uayCqk5WwNe09Hsq-2DnNmI-2DnCJ3bTmlUw6-5FAg-2526e-253D-26data-3D02-257C01-257C-257Cf84aac02f3654cc2dd0508d86fc41820-257Cb46c190803344236b978585ee88e4199-257C0-257C0-257C637382235296378589-26sdata-3DIUH2r0gzeKgI2H55r7hOc1AfuXjr4-252B-252FRLSMPBDU0xnI-253D-26reserved-3D0%26d%3DDwMFAg%26c%3D1Ed-6ms7zRUF92PJRS6bbw%26r%3DX5HtouCg1k_g2G2gArP8idT_Oaxqu3A6HBgPaQnYgqY%26m%3Dzzsx7LiF2GD8ZUHacpbb4lBnnOAF1GMiBWZO72DHbkY%26s%3Dm-OJt0Sfv2PNKmhisfjCHQ5yfYbYqMYUgHKll0z7Aww%26e%3D&amp;data=04%7C01%7C%7C882016d8520f4b56241908d873b9ef58%7Cb46c190803344236b978585ee88e4199%7C0%7C0%7C637386589716933628%7CUnknown%7CTWFpbGZsb3d8eyJWIjoiMC4wLjAwMDAiLCJQIjoiV2luMzIiLCJBTiI6Ik1haWwiLCJXVCI6Mn0%3D%7C1000&amp;sdata=xCbTz%2BQTgpVg5bJn0OysnTvIRI1dRRcindLa7cbIb0o%3D&amp;reserved=0"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cid:image001.gif@01D63441.ED572C00" TargetMode="External"/><Relationship Id="rId11" Type="http://schemas.openxmlformats.org/officeDocument/2006/relationships/image" Target="cid:image013.jpg@01D6A6F1.B658F260" TargetMode="External"/><Relationship Id="rId5" Type="http://schemas.openxmlformats.org/officeDocument/2006/relationships/image" Target="media/image1.gif"/><Relationship Id="rId15" Type="http://schemas.openxmlformats.org/officeDocument/2006/relationships/hyperlink" Target="https://aus01.safelinks.protection.outlook.com/?url=https%3A%2F%2Furldefense.proofpoint.com%2Fv2%2Furl%3Fu%3Dhttps-3A__aus01.safelinks.protection.outlook.com_-3Furl-3Dhttps-253A-252F-252Furldefense.proofpoint.com-252Fv2-252Furl-253Fu-253Dhttps-2D3A-5F-5Fwww.acecqa.gov.au-5Fmedia-5F29941-2526d-253DDwMF-2Dg-2526c-253D1Ed-2D6ms7zRUF92PJRS6bbw-2526r-253DdoXfx3e9HF851dufQBOH1qsyXPdpYtOXydcyVrSvFic-2526m-253DCzOw1kBmj5flQTYI1RG64jSO-5Fbfb-2D143TlFlWmQU-5F0k-2526s-253DYPxcUFy5bvzaZktsD88sRGNZY0o0AVl4c-5Fw2UPTlsOg-2526e-253D-26data-3D02-257C01-257C-257Cf84aac02f3654cc2dd0508d86fc41820-257Cb46c190803344236b978585ee88e4199-257C0-257C0-257C637382235296378589-26sdata-3D2GX9NxU-252BH27QySYfSduFc0uEj3MpDO1HVGbY-252BGM73pQ-253D-26reserved-3D0%26d%3DDwMFAg%26c%3D1Ed-6ms7zRUF92PJRS6bbw%26r%3DX5HtouCg1k_g2G2gArP8idT_Oaxqu3A6HBgPaQnYgqY%26m%3Dzzsx7LiF2GD8ZUHacpbb4lBnnOAF1GMiBWZO72DHbkY%26s%3DX4t4x3wJ0cRMDhXsFosdym_-NjFMy5mAK6NGyEp5RAI%26e%3D&amp;data=04%7C01%7C%7C882016d8520f4b56241908d873b9ef58%7Cb46c190803344236b978585ee88e4199%7C0%7C0%7C637386589716933628%7CUnknown%7CTWFpbGZsb3d8eyJWIjoiMC4wLjAwMDAiLCJQIjoiV2luMzIiLCJBTiI6Ik1haWwiLCJXVCI6Mn0%3D%7C1000&amp;sdata=vG%2B1aRqJPMewdrsh8E4gLvwczRStcDIuPN40isMfKyA%3D&amp;reserved=0" TargetMode="External"/><Relationship Id="rId10" Type="http://schemas.openxmlformats.org/officeDocument/2006/relationships/image" Target="media/image3.jpe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aus01.safelinks.protection.outlook.com/?url=https%3A%2F%2Furldefense.proofpoint.com%2Fv2%2Furl%3Fu%3Dhttps-3A__aus01.safelinks.protection.outlook.com_-3Furl-3Dhttps-253A-252F-252Furldefense.proofpoint.com-252Fv2-252Furl-253Fu-253Dhttps-2D3A-5F-5Fpublic.nqaits.acecqa.gov.au-5FPages-5FLanding.aspx-2526d-253DDwMF-2Dg-2526c-253D1Ed-2D6ms7zRUF92PJRS6bbw-2526r-253DdoXfx3e9HF851dufQBOH1qsyXPdpYtOXydcyVrSvFic-2526m-253DCzOw1kBmj5flQTYI1RG64jSO-5Fbfb-2D143TlFlWmQU-5F0k-2526s-253D5f1VcMML77vehaf0sxzvbqj0aRPXeT5xDmfdgr4e1Pg-2526e-253D-26data-3D02-257C01-257C-257Cf84aac02f3654cc2dd0508d86fc41820-257Cb46c190803344236b978585ee88e4199-257C0-257C0-257C637382235296348608-26sdata-3DsErFCyNTZ-252BW-252BSmMWTo-252BWxDXcptbVAAPefus9Oc2ae0M-253D-26reserved-3D0%26d%3DDwMFAg%26c%3D1Ed-6ms7zRUF92PJRS6bbw%26r%3DX5HtouCg1k_g2G2gArP8idT_Oaxqu3A6HBgPaQnYgqY%26m%3Dzzsx7LiF2GD8ZUHacpbb4lBnnOAF1GMiBWZO72DHbkY%26s%3DWNa1_vp26e1WtSZuex8ZtWZZBNglOSOlsmWRYwhi3ZY%26e%3D&amp;data=04%7C01%7C%7C882016d8520f4b56241908d873b9ef58%7Cb46c190803344236b978585ee88e4199%7C0%7C0%7C637386589716913641%7CUnknown%7CTWFpbGZsb3d8eyJWIjoiMC4wLjAwMDAiLCJQIjoiV2luMzIiLCJBTiI6Ik1haWwiLCJXVCI6Mn0%3D%7C1000&amp;sdata=GjIQW%2Bg6OlT0mhgS28hVUVFyWZCoLV3gQoj67Bs2jKY%3D&amp;reserved=0" TargetMode="External"/><Relationship Id="rId14" Type="http://schemas.openxmlformats.org/officeDocument/2006/relationships/hyperlink" Target="https://aus01.safelinks.protection.outlook.com/?url=https%3A%2F%2Furldefense.proofpoint.com%2Fv2%2Furl%3Fu%3Dhttps-3A__aus01.safelinks.protection.outlook.com_-3Furl-3Dhttps-253A-252F-252Furldefense.proofpoint.com-252Fv2-252Furl-253Fu-253Dhttps-2D3A-5F-5Fwww.acecqa.gov.au-5Fsites-5Fdefault-5Ffiles-5F2020-2D2D09-5FGuide-2D2Dto-2D2Dthe-2D2DNQF-2D2DSeptember-2D2D2020.pdf-2526d-253DDwMF-2Dg-2526c-253D1Ed-2D6ms7zRUF92PJRS6bbw-2526r-253DdoXfx3e9HF851dufQBOH1qsyXPdpYtOXydcyVrSvFic-2526m-253DCzOw1kBmj5flQTYI1RG64jSO-5Fbfb-2D143TlFlWmQU-5F0k-2526s-253DupNgLR-2DeA6CsVWsR2vH2nvwdEBKtVu7NOfpvsFZc-2D-2D8-2526e-253D-26data-3D02-257C01-257C-257Cf84aac02f3654cc2dd0508d86fc41820-257Cb46c190803344236b978585ee88e4199-257C0-257C0-257C637382235296368593-26sdata-3DvMyL8Wp-252FqpzzE125Jp1cPcUitl2fJKnBE72NVmxYsYg-253D-26reserved-3D0%26d%3DDwMFAg%26c%3D1Ed-6ms7zRUF92PJRS6bbw%26r%3DX5HtouCg1k_g2G2gArP8idT_Oaxqu3A6HBgPaQnYgqY%26m%3Dzzsx7LiF2GD8ZUHacpbb4lBnnOAF1GMiBWZO72DHbkY%26s%3DPmyV4Lmz6PTuTStFYm5DPT8WmHUrLz752iHAuAbZZUk%26e%3D&amp;data=04%7C01%7C%7C882016d8520f4b56241908d873b9ef58%7Cb46c190803344236b978585ee88e4199%7C0%7C0%7C637386589716923627%7CUnknown%7CTWFpbGZsb3d8eyJWIjoiMC4wLjAwMDAiLCJQIjoiV2luMzIiLCJBTiI6Ik1haWwiLCJXVCI6Mn0%3D%7C1000&amp;sdata=GN4dP1zgAqzNymLpdmi5ovDVMNw5L6nu9DzWH3%2BlhdU%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Wang, Zhenxing</cp:lastModifiedBy>
  <cp:revision>1</cp:revision>
  <dcterms:created xsi:type="dcterms:W3CDTF">2020-11-20T05:28:00Z</dcterms:created>
  <dcterms:modified xsi:type="dcterms:W3CDTF">2020-11-20T05:28:00Z</dcterms:modified>
</cp:coreProperties>
</file>