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412B" w:rsidRPr="00121500" w:rsidRDefault="00F0412B" w:rsidP="00F0412B">
      <w:pPr>
        <w:rPr>
          <w:rFonts w:asciiTheme="minorHAnsi" w:hAnsiTheme="minorHAnsi" w:cstheme="minorHAnsi"/>
        </w:rPr>
      </w:pPr>
    </w:p>
    <w:p w:rsidR="00F0412B" w:rsidRPr="00121500" w:rsidRDefault="00F0412B" w:rsidP="00F0412B">
      <w:pPr>
        <w:rPr>
          <w:rFonts w:asciiTheme="minorHAnsi" w:hAnsiTheme="minorHAnsi" w:cstheme="minorHAnsi"/>
        </w:rPr>
      </w:pPr>
    </w:p>
    <w:tbl>
      <w:tblPr>
        <w:tblW w:w="10297" w:type="dxa"/>
        <w:jc w:val="center"/>
        <w:tblCellSpacing w:w="0" w:type="dxa"/>
        <w:shd w:val="clear" w:color="auto" w:fill="F2F2F2"/>
        <w:tblCellMar>
          <w:left w:w="0" w:type="dxa"/>
          <w:right w:w="0" w:type="dxa"/>
        </w:tblCellMar>
        <w:tblLook w:val="04A0" w:firstRow="1" w:lastRow="0" w:firstColumn="1" w:lastColumn="0" w:noHBand="0" w:noVBand="1"/>
      </w:tblPr>
      <w:tblGrid>
        <w:gridCol w:w="2507"/>
        <w:gridCol w:w="1776"/>
        <w:gridCol w:w="6334"/>
        <w:gridCol w:w="6"/>
      </w:tblGrid>
      <w:tr w:rsidR="00F0412B" w:rsidRPr="00121500" w:rsidTr="003F7DBA">
        <w:trPr>
          <w:tblCellSpacing w:w="0" w:type="dxa"/>
          <w:jc w:val="center"/>
        </w:trPr>
        <w:tc>
          <w:tcPr>
            <w:tcW w:w="2309" w:type="dxa"/>
            <w:shd w:val="clear" w:color="auto" w:fill="5C5C5C"/>
            <w:tcMar>
              <w:top w:w="225" w:type="dxa"/>
              <w:left w:w="465" w:type="dxa"/>
              <w:bottom w:w="225" w:type="dxa"/>
              <w:right w:w="0" w:type="dxa"/>
            </w:tcMar>
            <w:vAlign w:val="center"/>
            <w:hideMark/>
          </w:tcPr>
          <w:p w:rsidR="00F0412B" w:rsidRPr="00121500" w:rsidRDefault="00F0412B" w:rsidP="00C600AD">
            <w:pPr>
              <w:rPr>
                <w:rFonts w:asciiTheme="minorHAnsi" w:hAnsiTheme="minorHAnsi" w:cstheme="minorHAnsi"/>
              </w:rPr>
            </w:pPr>
          </w:p>
        </w:tc>
        <w:tc>
          <w:tcPr>
            <w:tcW w:w="1318" w:type="dxa"/>
            <w:shd w:val="clear" w:color="auto" w:fill="5C5C5C"/>
            <w:tcMar>
              <w:top w:w="225" w:type="dxa"/>
              <w:left w:w="645" w:type="dxa"/>
              <w:bottom w:w="225" w:type="dxa"/>
              <w:right w:w="0" w:type="dxa"/>
            </w:tcMar>
            <w:vAlign w:val="center"/>
            <w:hideMark/>
          </w:tcPr>
          <w:p w:rsidR="00F0412B" w:rsidRPr="00121500" w:rsidRDefault="00F0412B" w:rsidP="00C600AD">
            <w:pPr>
              <w:ind w:left="-2100"/>
              <w:rPr>
                <w:rFonts w:asciiTheme="minorHAnsi" w:eastAsia="Times New Roman" w:hAnsiTheme="minorHAnsi" w:cstheme="minorHAnsi"/>
                <w:sz w:val="20"/>
                <w:szCs w:val="20"/>
                <w:lang w:eastAsia="en-AU"/>
              </w:rPr>
            </w:pPr>
          </w:p>
        </w:tc>
        <w:tc>
          <w:tcPr>
            <w:tcW w:w="6670" w:type="dxa"/>
            <w:gridSpan w:val="2"/>
            <w:shd w:val="clear" w:color="auto" w:fill="5C5C5C"/>
            <w:tcMar>
              <w:top w:w="225" w:type="dxa"/>
              <w:left w:w="0" w:type="dxa"/>
              <w:bottom w:w="225" w:type="dxa"/>
              <w:right w:w="375" w:type="dxa"/>
            </w:tcMar>
            <w:vAlign w:val="center"/>
            <w:hideMark/>
          </w:tcPr>
          <w:p w:rsidR="00F0412B" w:rsidRPr="00121500" w:rsidRDefault="00F0412B" w:rsidP="00C600AD">
            <w:pPr>
              <w:spacing w:before="100" w:beforeAutospacing="1" w:after="100" w:afterAutospacing="1"/>
              <w:ind w:left="-1137"/>
              <w:jc w:val="right"/>
              <w:rPr>
                <w:rFonts w:asciiTheme="minorHAnsi" w:hAnsiTheme="minorHAnsi" w:cstheme="minorHAnsi"/>
                <w:color w:val="FFFFFF"/>
                <w:sz w:val="20"/>
                <w:szCs w:val="20"/>
                <w:lang w:eastAsia="en-AU"/>
              </w:rPr>
            </w:pPr>
            <w:r w:rsidRPr="00121500">
              <w:rPr>
                <w:rFonts w:asciiTheme="minorHAnsi" w:hAnsiTheme="minorHAnsi" w:cstheme="minorHAnsi"/>
                <w:noProof/>
                <w:color w:val="000000"/>
              </w:rPr>
              <w:drawing>
                <wp:inline distT="0" distB="0" distL="0" distR="0" wp14:anchorId="6230F627" wp14:editId="0B60328D">
                  <wp:extent cx="209550" cy="2095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21500">
              <w:rPr>
                <w:rFonts w:asciiTheme="minorHAnsi" w:hAnsiTheme="minorHAnsi" w:cstheme="minorHAnsi"/>
                <w:noProof/>
                <w:color w:val="000000"/>
              </w:rPr>
              <w:drawing>
                <wp:inline distT="0" distB="0" distL="0" distR="0" wp14:anchorId="048012C8" wp14:editId="405D480A">
                  <wp:extent cx="209550" cy="2095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21500">
              <w:rPr>
                <w:rFonts w:asciiTheme="minorHAnsi" w:hAnsiTheme="minorHAnsi" w:cstheme="minorHAnsi"/>
                <w:noProof/>
                <w:color w:val="000000"/>
              </w:rPr>
              <w:drawing>
                <wp:inline distT="0" distB="0" distL="0" distR="0" wp14:anchorId="55A1891D" wp14:editId="31160370">
                  <wp:extent cx="209550" cy="2095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F0412B" w:rsidRPr="00121500" w:rsidTr="003F7DBA">
        <w:trPr>
          <w:gridAfter w:val="1"/>
          <w:wAfter w:w="23" w:type="dxa"/>
          <w:tblCellSpacing w:w="0" w:type="dxa"/>
          <w:jc w:val="center"/>
        </w:trPr>
        <w:tc>
          <w:tcPr>
            <w:tcW w:w="10274" w:type="dxa"/>
            <w:gridSpan w:val="3"/>
            <w:shd w:val="clear" w:color="auto" w:fill="342682"/>
            <w:vAlign w:val="center"/>
            <w:hideMark/>
          </w:tcPr>
          <w:p w:rsidR="00F0412B" w:rsidRPr="00121500" w:rsidRDefault="00F0412B" w:rsidP="00C600AD">
            <w:pPr>
              <w:rPr>
                <w:rFonts w:asciiTheme="minorHAnsi" w:hAnsiTheme="minorHAnsi" w:cstheme="minorHAnsi"/>
                <w:color w:val="333132"/>
              </w:rPr>
            </w:pPr>
            <w:r w:rsidRPr="00121500">
              <w:rPr>
                <w:rFonts w:asciiTheme="minorHAnsi" w:hAnsiTheme="minorHAnsi" w:cstheme="minorHAnsi"/>
                <w:noProof/>
                <w:color w:val="333132"/>
              </w:rPr>
              <w:drawing>
                <wp:inline distT="0" distB="0" distL="0" distR="0" wp14:anchorId="348EBABA" wp14:editId="716BE50E">
                  <wp:extent cx="6742365" cy="1925003"/>
                  <wp:effectExtent l="0" t="0" r="0" b="0"/>
                  <wp:docPr id="76" name="Picture 76"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Aler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777158" cy="1934937"/>
                          </a:xfrm>
                          <a:prstGeom prst="rect">
                            <a:avLst/>
                          </a:prstGeom>
                          <a:noFill/>
                          <a:ln>
                            <a:noFill/>
                          </a:ln>
                        </pic:spPr>
                      </pic:pic>
                    </a:graphicData>
                  </a:graphic>
                </wp:inline>
              </w:drawing>
            </w:r>
          </w:p>
        </w:tc>
      </w:tr>
    </w:tbl>
    <w:p w:rsidR="00F0412B" w:rsidRPr="00121500" w:rsidRDefault="00F0412B" w:rsidP="00F0412B">
      <w:pPr>
        <w:rPr>
          <w:rFonts w:asciiTheme="minorHAnsi" w:hAnsiTheme="minorHAnsi" w:cstheme="minorHAnsi"/>
        </w:rPr>
      </w:pPr>
    </w:p>
    <w:tbl>
      <w:tblPr>
        <w:tblW w:w="10260" w:type="dxa"/>
        <w:jc w:val="center"/>
        <w:tblCellSpacing w:w="0" w:type="dxa"/>
        <w:shd w:val="clear" w:color="auto" w:fill="F2F2F2"/>
        <w:tblCellMar>
          <w:left w:w="0" w:type="dxa"/>
          <w:right w:w="0" w:type="dxa"/>
        </w:tblCellMar>
        <w:tblLook w:val="04A0" w:firstRow="1" w:lastRow="0" w:firstColumn="1" w:lastColumn="0" w:noHBand="0" w:noVBand="1"/>
      </w:tblPr>
      <w:tblGrid>
        <w:gridCol w:w="10260"/>
      </w:tblGrid>
      <w:tr w:rsidR="00F0412B" w:rsidRPr="00121500" w:rsidTr="00C600AD">
        <w:trPr>
          <w:trHeight w:val="2960"/>
          <w:tblCellSpacing w:w="0" w:type="dxa"/>
          <w:jc w:val="center"/>
        </w:trPr>
        <w:tc>
          <w:tcPr>
            <w:tcW w:w="0" w:type="auto"/>
            <w:shd w:val="clear" w:color="auto" w:fill="F2F2F2"/>
            <w:tcMar>
              <w:top w:w="300" w:type="dxa"/>
              <w:left w:w="750" w:type="dxa"/>
              <w:bottom w:w="375" w:type="dxa"/>
              <w:right w:w="630" w:type="dxa"/>
            </w:tcMar>
            <w:vAlign w:val="center"/>
          </w:tcPr>
          <w:p w:rsidR="00F0412B" w:rsidRPr="00121500" w:rsidRDefault="00F0412B" w:rsidP="00C600AD">
            <w:pPr>
              <w:spacing w:before="150" w:line="300" w:lineRule="exact"/>
              <w:rPr>
                <w:rFonts w:asciiTheme="minorHAnsi" w:hAnsiTheme="minorHAnsi" w:cstheme="minorHAnsi"/>
              </w:rPr>
            </w:pPr>
            <w:r w:rsidRPr="00121500">
              <w:rPr>
                <w:rFonts w:asciiTheme="minorHAnsi" w:hAnsiTheme="minorHAnsi" w:cstheme="minorHAnsi"/>
                <w:i/>
                <w:iCs/>
                <w:color w:val="222222"/>
                <w:sz w:val="20"/>
                <w:szCs w:val="20"/>
                <w:lang w:eastAsia="en-AU"/>
              </w:rPr>
              <w:t>The Children’s Education and Care Assurance Update links professionals, providers and educators with news, resources and information that supports quality outcomes for children in ACT education and care services</w:t>
            </w:r>
          </w:p>
          <w:p w:rsidR="003F7DBA" w:rsidRPr="003F7DBA" w:rsidRDefault="003F7DBA" w:rsidP="003F7DBA">
            <w:pPr>
              <w:spacing w:before="100" w:beforeAutospacing="1" w:after="100" w:afterAutospacing="1" w:line="400" w:lineRule="atLeast"/>
              <w:rPr>
                <w:rFonts w:asciiTheme="minorHAnsi" w:hAnsiTheme="minorHAnsi" w:cstheme="minorHAnsi"/>
                <w:sz w:val="24"/>
                <w:szCs w:val="24"/>
                <w:lang w:eastAsia="en-AU"/>
              </w:rPr>
            </w:pPr>
            <w:r w:rsidRPr="003F7DBA">
              <w:rPr>
                <w:rFonts w:asciiTheme="minorHAnsi" w:hAnsiTheme="minorHAnsi" w:cstheme="minorHAnsi"/>
                <w:color w:val="000000"/>
                <w:sz w:val="24"/>
                <w:szCs w:val="24"/>
                <w:lang w:eastAsia="en-AU"/>
              </w:rPr>
              <w:t>8 September 2020</w:t>
            </w:r>
          </w:p>
          <w:p w:rsidR="003F7DBA" w:rsidRPr="003F7DBA" w:rsidRDefault="003F7DBA" w:rsidP="003F7DBA">
            <w:pPr>
              <w:spacing w:after="225" w:line="276" w:lineRule="auto"/>
              <w:rPr>
                <w:rFonts w:asciiTheme="minorHAnsi" w:hAnsiTheme="minorHAnsi" w:cstheme="minorHAnsi"/>
                <w:b/>
                <w:bCs/>
                <w:sz w:val="28"/>
                <w:szCs w:val="28"/>
                <w:lang w:eastAsia="en-AU"/>
              </w:rPr>
            </w:pPr>
            <w:r w:rsidRPr="003F7DBA">
              <w:rPr>
                <w:rFonts w:asciiTheme="minorHAnsi" w:hAnsiTheme="minorHAnsi" w:cstheme="minorHAnsi"/>
                <w:b/>
                <w:bCs/>
                <w:color w:val="000000"/>
                <w:sz w:val="28"/>
                <w:szCs w:val="28"/>
                <w:lang w:eastAsia="en-AU"/>
              </w:rPr>
              <w:t>Official release of Set up for Success: An Early Childhood Strategy for the ACT</w:t>
            </w:r>
          </w:p>
          <w:p w:rsidR="003F7DBA" w:rsidRPr="003F7DBA" w:rsidRDefault="003F7DBA" w:rsidP="003F7DBA">
            <w:pPr>
              <w:spacing w:line="276" w:lineRule="auto"/>
              <w:jc w:val="center"/>
              <w:rPr>
                <w:rFonts w:asciiTheme="minorHAnsi" w:hAnsiTheme="minorHAnsi" w:cstheme="minorHAnsi"/>
                <w:sz w:val="24"/>
                <w:szCs w:val="24"/>
                <w:lang w:eastAsia="en-AU"/>
              </w:rPr>
            </w:pPr>
            <w:r w:rsidRPr="003F7DBA">
              <w:rPr>
                <w:rFonts w:asciiTheme="minorHAnsi" w:hAnsiTheme="minorHAnsi" w:cstheme="minorHAnsi"/>
                <w:noProof/>
                <w:color w:val="000000"/>
              </w:rPr>
              <w:drawing>
                <wp:inline distT="0" distB="0" distL="0" distR="0" wp14:anchorId="036516A9" wp14:editId="58230C36">
                  <wp:extent cx="4572000" cy="2286000"/>
                  <wp:effectExtent l="0" t="0" r="0" b="0"/>
                  <wp:docPr id="171" name="Picture 171" descr="Setting up young Canberran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ing up young Canberrans for succes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rsidR="003F7DBA" w:rsidRPr="003F7DBA" w:rsidRDefault="003F7DBA" w:rsidP="003F7DBA">
            <w:pPr>
              <w:spacing w:line="276" w:lineRule="auto"/>
              <w:rPr>
                <w:rFonts w:asciiTheme="minorHAnsi" w:hAnsiTheme="minorHAnsi" w:cstheme="minorHAnsi"/>
                <w:sz w:val="24"/>
                <w:szCs w:val="24"/>
                <w:lang w:eastAsia="en-AU"/>
              </w:rPr>
            </w:pPr>
          </w:p>
          <w:p w:rsidR="003F7DBA" w:rsidRPr="003F7DBA" w:rsidRDefault="003F7DBA" w:rsidP="003F7DBA">
            <w:pPr>
              <w:spacing w:line="276" w:lineRule="auto"/>
              <w:rPr>
                <w:rFonts w:asciiTheme="minorHAnsi" w:hAnsiTheme="minorHAnsi" w:cstheme="minorHAnsi"/>
                <w:sz w:val="24"/>
                <w:szCs w:val="24"/>
                <w:lang w:eastAsia="en-AU"/>
              </w:rPr>
            </w:pPr>
            <w:r w:rsidRPr="003F7DBA">
              <w:rPr>
                <w:rFonts w:asciiTheme="minorHAnsi" w:hAnsiTheme="minorHAnsi" w:cstheme="minorHAnsi"/>
                <w:color w:val="000000"/>
                <w:sz w:val="24"/>
                <w:szCs w:val="24"/>
                <w:lang w:eastAsia="en-AU"/>
              </w:rPr>
              <w:t xml:space="preserve">The ACT Government has officially released </w:t>
            </w:r>
            <w:hyperlink r:id="rId10" w:history="1">
              <w:r w:rsidRPr="003F7DBA">
                <w:rPr>
                  <w:rFonts w:asciiTheme="minorHAnsi" w:hAnsiTheme="minorHAnsi" w:cstheme="minorHAnsi"/>
                  <w:color w:val="0563C1"/>
                  <w:u w:val="single"/>
                </w:rPr>
                <w:t>Set up for Success: An Early Childhood Strategy for the ACT</w:t>
              </w:r>
            </w:hyperlink>
            <w:r w:rsidRPr="003F7DBA">
              <w:rPr>
                <w:rFonts w:asciiTheme="minorHAnsi" w:hAnsiTheme="minorHAnsi" w:cstheme="minorHAnsi"/>
                <w:color w:val="000000"/>
                <w:sz w:val="24"/>
                <w:szCs w:val="24"/>
                <w:lang w:eastAsia="en-AU"/>
              </w:rPr>
              <w:t xml:space="preserve">. The Strategy provides a comprehensive, joined-up policy framework to guide the delivery of early childhood services and coordinate education, </w:t>
            </w:r>
            <w:proofErr w:type="gramStart"/>
            <w:r w:rsidRPr="003F7DBA">
              <w:rPr>
                <w:rFonts w:asciiTheme="minorHAnsi" w:hAnsiTheme="minorHAnsi" w:cstheme="minorHAnsi"/>
                <w:color w:val="000000"/>
                <w:sz w:val="24"/>
                <w:szCs w:val="24"/>
                <w:lang w:eastAsia="en-AU"/>
              </w:rPr>
              <w:t>health</w:t>
            </w:r>
            <w:proofErr w:type="gramEnd"/>
            <w:r w:rsidRPr="003F7DBA">
              <w:rPr>
                <w:rFonts w:asciiTheme="minorHAnsi" w:hAnsiTheme="minorHAnsi" w:cstheme="minorHAnsi"/>
                <w:color w:val="000000"/>
                <w:sz w:val="24"/>
                <w:szCs w:val="24"/>
                <w:lang w:eastAsia="en-AU"/>
              </w:rPr>
              <w:t xml:space="preserve"> and community service provision for young Canberrans. To read more please visit the </w:t>
            </w:r>
            <w:hyperlink r:id="rId11" w:history="1">
              <w:r w:rsidRPr="003F7DBA">
                <w:rPr>
                  <w:rFonts w:asciiTheme="minorHAnsi" w:hAnsiTheme="minorHAnsi" w:cstheme="minorHAnsi"/>
                  <w:color w:val="0563C1"/>
                  <w:u w:val="single"/>
                </w:rPr>
                <w:t>Education Directorate</w:t>
              </w:r>
            </w:hyperlink>
            <w:r w:rsidRPr="003F7DBA">
              <w:rPr>
                <w:rFonts w:asciiTheme="minorHAnsi" w:hAnsiTheme="minorHAnsi" w:cstheme="minorHAnsi"/>
                <w:color w:val="000000"/>
                <w:sz w:val="24"/>
                <w:szCs w:val="24"/>
                <w:lang w:eastAsia="en-AU"/>
              </w:rPr>
              <w:t xml:space="preserve"> website. </w:t>
            </w:r>
          </w:p>
          <w:p w:rsidR="003F7DBA" w:rsidRPr="003F7DBA" w:rsidRDefault="003F7DBA" w:rsidP="003F7DBA">
            <w:pPr>
              <w:spacing w:after="225" w:line="276" w:lineRule="auto"/>
              <w:rPr>
                <w:rFonts w:asciiTheme="minorHAnsi" w:hAnsiTheme="minorHAnsi" w:cstheme="minorHAnsi"/>
                <w:b/>
                <w:bCs/>
                <w:sz w:val="24"/>
                <w:szCs w:val="24"/>
                <w:lang w:eastAsia="en-AU"/>
              </w:rPr>
            </w:pPr>
          </w:p>
          <w:p w:rsidR="003F7DBA" w:rsidRPr="003F7DBA" w:rsidRDefault="003F7DBA" w:rsidP="003F7DBA">
            <w:pPr>
              <w:spacing w:line="276" w:lineRule="auto"/>
              <w:rPr>
                <w:rFonts w:asciiTheme="minorHAnsi" w:hAnsiTheme="minorHAnsi" w:cstheme="minorHAnsi"/>
                <w:b/>
                <w:bCs/>
                <w:sz w:val="28"/>
                <w:szCs w:val="28"/>
                <w:lang w:eastAsia="en-AU"/>
              </w:rPr>
            </w:pPr>
            <w:r w:rsidRPr="003F7DBA">
              <w:rPr>
                <w:rFonts w:asciiTheme="minorHAnsi" w:hAnsiTheme="minorHAnsi" w:cstheme="minorHAnsi"/>
                <w:b/>
                <w:bCs/>
                <w:color w:val="000000"/>
                <w:sz w:val="28"/>
                <w:szCs w:val="28"/>
                <w:lang w:eastAsia="en-AU"/>
              </w:rPr>
              <w:t>Review of the Disability Standards for Education 2005</w:t>
            </w:r>
          </w:p>
          <w:p w:rsidR="003F7DBA" w:rsidRPr="003F7DBA" w:rsidRDefault="003F7DBA" w:rsidP="003F7DBA">
            <w:pPr>
              <w:spacing w:line="276" w:lineRule="auto"/>
              <w:rPr>
                <w:rFonts w:asciiTheme="minorHAnsi" w:hAnsiTheme="minorHAnsi" w:cstheme="minorHAnsi"/>
                <w:sz w:val="24"/>
                <w:szCs w:val="24"/>
                <w:lang w:eastAsia="en-AU"/>
              </w:rPr>
            </w:pPr>
            <w:r w:rsidRPr="003F7DBA">
              <w:rPr>
                <w:rFonts w:asciiTheme="minorHAnsi" w:hAnsiTheme="minorHAnsi" w:cstheme="minorHAnsi"/>
                <w:color w:val="000000"/>
                <w:sz w:val="24"/>
                <w:szCs w:val="24"/>
                <w:lang w:eastAsia="en-AU"/>
              </w:rPr>
              <w:t xml:space="preserve">On behalf of all governments, ACECQA is undertaking consultations with the education and care sector about their awareness and understanding of their obligations in regard to children with disability under the </w:t>
            </w:r>
            <w:r w:rsidRPr="003F7DBA">
              <w:rPr>
                <w:rFonts w:asciiTheme="minorHAnsi" w:hAnsiTheme="minorHAnsi" w:cstheme="minorHAnsi"/>
                <w:i/>
                <w:iCs/>
                <w:color w:val="000000"/>
                <w:sz w:val="24"/>
                <w:szCs w:val="24"/>
                <w:lang w:eastAsia="en-AU"/>
              </w:rPr>
              <w:t>Disability Discrimination Act 1992</w:t>
            </w:r>
            <w:r w:rsidRPr="003F7DBA">
              <w:rPr>
                <w:rFonts w:asciiTheme="minorHAnsi" w:hAnsiTheme="minorHAnsi" w:cstheme="minorHAnsi"/>
                <w:color w:val="000000"/>
                <w:sz w:val="24"/>
                <w:szCs w:val="24"/>
                <w:lang w:eastAsia="en-AU"/>
              </w:rPr>
              <w:t xml:space="preserve"> (the DDA), including questions of access and participation. This work will help inform the Australian Government’s </w:t>
            </w:r>
            <w:hyperlink r:id="rId12" w:history="1">
              <w:r w:rsidRPr="003F7DBA">
                <w:rPr>
                  <w:rFonts w:asciiTheme="minorHAnsi" w:hAnsiTheme="minorHAnsi" w:cstheme="minorHAnsi"/>
                  <w:color w:val="0563C1"/>
                  <w:u w:val="single"/>
                </w:rPr>
                <w:t>2020 Review of the Disability Standards for Education 2005</w:t>
              </w:r>
            </w:hyperlink>
            <w:r w:rsidRPr="003F7DBA">
              <w:rPr>
                <w:rFonts w:asciiTheme="minorHAnsi" w:hAnsiTheme="minorHAnsi" w:cstheme="minorHAnsi"/>
                <w:color w:val="00538A"/>
                <w:sz w:val="24"/>
                <w:szCs w:val="24"/>
                <w:lang w:eastAsia="en-AU"/>
              </w:rPr>
              <w:t xml:space="preserve"> </w:t>
            </w:r>
            <w:r w:rsidRPr="003F7DBA">
              <w:rPr>
                <w:rFonts w:asciiTheme="minorHAnsi" w:hAnsiTheme="minorHAnsi" w:cstheme="minorHAnsi"/>
                <w:color w:val="000000"/>
                <w:sz w:val="24"/>
                <w:szCs w:val="24"/>
                <w:lang w:eastAsia="en-AU"/>
              </w:rPr>
              <w:t xml:space="preserve">(the Standards). ACECQA’s consultations are based on a set of questions within the </w:t>
            </w:r>
            <w:hyperlink r:id="rId13" w:history="1">
              <w:r w:rsidRPr="003F7DBA">
                <w:rPr>
                  <w:rFonts w:asciiTheme="minorHAnsi" w:hAnsiTheme="minorHAnsi" w:cstheme="minorHAnsi"/>
                  <w:color w:val="0070C0"/>
                  <w:u w:val="single"/>
                </w:rPr>
                <w:t>stakeholder discussion paper</w:t>
              </w:r>
            </w:hyperlink>
            <w:r w:rsidRPr="003F7DBA">
              <w:rPr>
                <w:rFonts w:asciiTheme="minorHAnsi" w:hAnsiTheme="minorHAnsi" w:cstheme="minorHAnsi"/>
                <w:color w:val="000000"/>
                <w:sz w:val="24"/>
                <w:szCs w:val="24"/>
                <w:lang w:eastAsia="en-AU"/>
              </w:rPr>
              <w:t xml:space="preserve">. The questions in the discussion paper are included in an </w:t>
            </w:r>
            <w:hyperlink r:id="rId14" w:history="1">
              <w:r w:rsidRPr="003F7DBA">
                <w:rPr>
                  <w:rFonts w:asciiTheme="minorHAnsi" w:hAnsiTheme="minorHAnsi" w:cstheme="minorHAnsi"/>
                  <w:color w:val="0070C0"/>
                  <w:u w:val="single"/>
                </w:rPr>
                <w:t>online survey</w:t>
              </w:r>
            </w:hyperlink>
            <w:r w:rsidRPr="003F7DBA">
              <w:rPr>
                <w:rFonts w:asciiTheme="minorHAnsi" w:hAnsiTheme="minorHAnsi" w:cstheme="minorHAnsi"/>
                <w:color w:val="000000"/>
                <w:sz w:val="24"/>
                <w:szCs w:val="24"/>
                <w:lang w:eastAsia="en-AU"/>
              </w:rPr>
              <w:t xml:space="preserve"> providing you an opportunity to respond. If you would also like to make a written submission, email </w:t>
            </w:r>
            <w:hyperlink r:id="rId15" w:history="1">
              <w:r w:rsidRPr="003F7DBA">
                <w:rPr>
                  <w:rFonts w:asciiTheme="minorHAnsi" w:hAnsiTheme="minorHAnsi" w:cstheme="minorHAnsi"/>
                  <w:color w:val="0070C0"/>
                  <w:u w:val="single"/>
                </w:rPr>
                <w:t>DSEfeedback@acecqa.gov.au</w:t>
              </w:r>
            </w:hyperlink>
            <w:r w:rsidRPr="003F7DBA">
              <w:rPr>
                <w:rFonts w:asciiTheme="minorHAnsi" w:hAnsiTheme="minorHAnsi" w:cstheme="minorHAnsi"/>
                <w:color w:val="000000"/>
                <w:sz w:val="24"/>
                <w:szCs w:val="24"/>
                <w:lang w:eastAsia="en-AU"/>
              </w:rPr>
              <w:t xml:space="preserve">. Examples of existing, effective approaches to inclusive education and care for children are welcomed. For more information visit the </w:t>
            </w:r>
            <w:hyperlink r:id="rId16" w:history="1">
              <w:r w:rsidRPr="003F7DBA">
                <w:rPr>
                  <w:rFonts w:asciiTheme="minorHAnsi" w:hAnsiTheme="minorHAnsi" w:cstheme="minorHAnsi"/>
                  <w:color w:val="0070C0"/>
                  <w:u w:val="single"/>
                </w:rPr>
                <w:t>ACECQA consultation website</w:t>
              </w:r>
            </w:hyperlink>
            <w:r w:rsidRPr="003F7DBA">
              <w:rPr>
                <w:rFonts w:asciiTheme="minorHAnsi" w:hAnsiTheme="minorHAnsi" w:cstheme="minorHAnsi"/>
                <w:color w:val="000000"/>
                <w:sz w:val="24"/>
                <w:szCs w:val="24"/>
              </w:rPr>
              <w:t>.</w:t>
            </w:r>
            <w:r w:rsidRPr="003F7DBA">
              <w:rPr>
                <w:rFonts w:asciiTheme="minorHAnsi" w:hAnsiTheme="minorHAnsi" w:cstheme="minorHAnsi"/>
                <w:color w:val="000000"/>
                <w:sz w:val="24"/>
                <w:szCs w:val="24"/>
                <w:lang w:eastAsia="en-AU"/>
              </w:rPr>
              <w:t xml:space="preserve"> Survey responses and submissions will close on Wednesday 16 September 2020. </w:t>
            </w:r>
          </w:p>
          <w:p w:rsidR="003F7DBA" w:rsidRPr="003F7DBA" w:rsidRDefault="003F7DBA" w:rsidP="003F7DBA">
            <w:pPr>
              <w:spacing w:line="276" w:lineRule="auto"/>
              <w:rPr>
                <w:rFonts w:asciiTheme="minorHAnsi" w:hAnsiTheme="minorHAnsi" w:cstheme="minorHAnsi"/>
                <w:sz w:val="24"/>
                <w:szCs w:val="24"/>
                <w:lang w:eastAsia="en-AU"/>
              </w:rPr>
            </w:pPr>
          </w:p>
          <w:p w:rsidR="003F7DBA" w:rsidRPr="003F7DBA" w:rsidRDefault="003F7DBA" w:rsidP="003F7DBA">
            <w:pPr>
              <w:spacing w:line="276" w:lineRule="auto"/>
              <w:textAlignment w:val="center"/>
              <w:rPr>
                <w:rFonts w:asciiTheme="minorHAnsi" w:hAnsiTheme="minorHAnsi" w:cstheme="minorHAnsi"/>
                <w:b/>
                <w:bCs/>
                <w:color w:val="0A0AA8"/>
                <w:position w:val="17"/>
                <w:sz w:val="28"/>
                <w:szCs w:val="28"/>
                <w:lang w:eastAsia="en-AU"/>
              </w:rPr>
            </w:pPr>
            <w:r w:rsidRPr="003F7DBA">
              <w:rPr>
                <w:rFonts w:asciiTheme="minorHAnsi" w:hAnsiTheme="minorHAnsi" w:cstheme="minorHAnsi"/>
                <w:b/>
                <w:bCs/>
                <w:color w:val="000000"/>
                <w:position w:val="17"/>
                <w:sz w:val="28"/>
                <w:szCs w:val="28"/>
                <w:lang w:eastAsia="en-AU"/>
              </w:rPr>
              <w:t>National Child Protection Week</w:t>
            </w:r>
            <w:r w:rsidRPr="003F7DBA">
              <w:rPr>
                <w:rFonts w:asciiTheme="minorHAnsi" w:hAnsiTheme="minorHAnsi" w:cstheme="minorHAnsi"/>
                <w:b/>
                <w:bCs/>
                <w:color w:val="0A0AA8"/>
                <w:position w:val="17"/>
                <w:sz w:val="28"/>
                <w:szCs w:val="28"/>
                <w:lang w:eastAsia="en-AU"/>
              </w:rPr>
              <w:t xml:space="preserve"> </w:t>
            </w:r>
          </w:p>
          <w:p w:rsidR="003F7DBA" w:rsidRPr="003F7DBA" w:rsidRDefault="003F7DBA" w:rsidP="003F7DBA">
            <w:pPr>
              <w:spacing w:line="276" w:lineRule="auto"/>
              <w:textAlignment w:val="center"/>
              <w:rPr>
                <w:rFonts w:asciiTheme="minorHAnsi" w:hAnsiTheme="minorHAnsi" w:cstheme="minorHAnsi"/>
                <w:position w:val="17"/>
                <w:sz w:val="24"/>
                <w:szCs w:val="24"/>
                <w:lang w:eastAsia="en-AU"/>
              </w:rPr>
            </w:pPr>
            <w:r w:rsidRPr="003F7DBA">
              <w:rPr>
                <w:rFonts w:asciiTheme="minorHAnsi" w:hAnsiTheme="minorHAnsi" w:cstheme="minorHAnsi"/>
                <w:color w:val="000000"/>
                <w:position w:val="17"/>
                <w:sz w:val="24"/>
                <w:szCs w:val="24"/>
                <w:lang w:eastAsia="en-AU"/>
              </w:rPr>
              <w:t>National Child Protection Week has commenced. With the additional pressures we are all living under, from pandemic isolation to the ongoing trauma of natural disasters, 2020 highlights the importance of child protection more than ever. NAPCAN has launched the official</w:t>
            </w:r>
            <w:r w:rsidRPr="003F7DBA">
              <w:rPr>
                <w:rFonts w:asciiTheme="minorHAnsi" w:hAnsiTheme="minorHAnsi" w:cstheme="minorHAnsi"/>
                <w:color w:val="0A0AA8"/>
                <w:position w:val="17"/>
                <w:sz w:val="24"/>
                <w:szCs w:val="24"/>
                <w:lang w:eastAsia="en-AU"/>
              </w:rPr>
              <w:t xml:space="preserve"> </w:t>
            </w:r>
            <w:hyperlink r:id="rId17" w:history="1">
              <w:r w:rsidRPr="003F7DBA">
                <w:rPr>
                  <w:rFonts w:asciiTheme="minorHAnsi" w:hAnsiTheme="minorHAnsi" w:cstheme="minorHAnsi"/>
                  <w:color w:val="0563C1"/>
                  <w:position w:val="17"/>
                  <w:u w:val="single"/>
                </w:rPr>
                <w:t>Putting Children First webinar series</w:t>
              </w:r>
            </w:hyperlink>
            <w:r w:rsidRPr="003F7DBA">
              <w:rPr>
                <w:rFonts w:asciiTheme="minorHAnsi" w:hAnsiTheme="minorHAnsi" w:cstheme="minorHAnsi"/>
                <w:color w:val="0A0AA8"/>
                <w:position w:val="17"/>
                <w:sz w:val="24"/>
                <w:szCs w:val="24"/>
                <w:lang w:eastAsia="en-AU"/>
              </w:rPr>
              <w:t xml:space="preserve"> </w:t>
            </w:r>
            <w:r w:rsidRPr="003F7DBA">
              <w:rPr>
                <w:rFonts w:asciiTheme="minorHAnsi" w:hAnsiTheme="minorHAnsi" w:cstheme="minorHAnsi"/>
                <w:color w:val="000000"/>
                <w:position w:val="17"/>
                <w:sz w:val="24"/>
                <w:szCs w:val="24"/>
                <w:lang w:eastAsia="en-AU"/>
              </w:rPr>
              <w:t>for National Child</w:t>
            </w:r>
            <w:r w:rsidRPr="003F7DBA">
              <w:rPr>
                <w:rFonts w:asciiTheme="minorHAnsi" w:hAnsiTheme="minorHAnsi" w:cstheme="minorHAnsi"/>
                <w:color w:val="0A0AA8"/>
                <w:position w:val="17"/>
                <w:sz w:val="24"/>
                <w:szCs w:val="24"/>
                <w:lang w:eastAsia="en-AU"/>
              </w:rPr>
              <w:t xml:space="preserve"> </w:t>
            </w:r>
            <w:r w:rsidRPr="003F7DBA">
              <w:rPr>
                <w:rFonts w:asciiTheme="minorHAnsi" w:hAnsiTheme="minorHAnsi" w:cstheme="minorHAnsi"/>
                <w:color w:val="000000"/>
                <w:position w:val="17"/>
                <w:sz w:val="24"/>
                <w:szCs w:val="24"/>
                <w:lang w:eastAsia="en-AU"/>
              </w:rPr>
              <w:t>Protection Week, with the aim of generating important life-changing conversations about how to boost the wellbeing of all Australia’s children.</w:t>
            </w:r>
          </w:p>
          <w:p w:rsidR="003F7DBA" w:rsidRPr="003F7DBA" w:rsidRDefault="003F7DBA" w:rsidP="003F7DBA">
            <w:pPr>
              <w:spacing w:line="276" w:lineRule="auto"/>
              <w:textAlignment w:val="center"/>
              <w:rPr>
                <w:rFonts w:asciiTheme="minorHAnsi" w:hAnsiTheme="minorHAnsi" w:cstheme="minorHAnsi"/>
                <w:position w:val="17"/>
                <w:sz w:val="24"/>
                <w:szCs w:val="24"/>
                <w:lang w:eastAsia="en-AU"/>
              </w:rPr>
            </w:pPr>
          </w:p>
          <w:p w:rsidR="003F7DBA" w:rsidRPr="003F7DBA" w:rsidRDefault="003F7DBA" w:rsidP="003F7DBA">
            <w:pPr>
              <w:spacing w:line="276" w:lineRule="auto"/>
              <w:textAlignment w:val="center"/>
              <w:rPr>
                <w:rFonts w:asciiTheme="minorHAnsi" w:hAnsiTheme="minorHAnsi" w:cstheme="minorHAnsi"/>
                <w:b/>
                <w:bCs/>
                <w:position w:val="17"/>
                <w:sz w:val="28"/>
                <w:szCs w:val="28"/>
                <w:lang w:eastAsia="en-AU"/>
              </w:rPr>
            </w:pPr>
            <w:r w:rsidRPr="003F7DBA">
              <w:rPr>
                <w:rFonts w:asciiTheme="minorHAnsi" w:hAnsiTheme="minorHAnsi" w:cstheme="minorHAnsi"/>
                <w:b/>
                <w:bCs/>
                <w:color w:val="000000"/>
                <w:position w:val="17"/>
                <w:sz w:val="28"/>
                <w:szCs w:val="28"/>
                <w:lang w:eastAsia="en-AU"/>
              </w:rPr>
              <w:t xml:space="preserve">ACT Education and Care Sector Meeting </w:t>
            </w:r>
          </w:p>
          <w:p w:rsidR="003F7DBA" w:rsidRPr="003F7DBA" w:rsidRDefault="003F7DBA" w:rsidP="003F7DBA">
            <w:pPr>
              <w:spacing w:line="276" w:lineRule="auto"/>
              <w:textAlignment w:val="center"/>
              <w:rPr>
                <w:rFonts w:asciiTheme="minorHAnsi" w:hAnsiTheme="minorHAnsi" w:cstheme="minorHAnsi"/>
                <w:b/>
                <w:bCs/>
                <w:position w:val="17"/>
                <w:sz w:val="28"/>
                <w:szCs w:val="28"/>
                <w:lang w:eastAsia="en-AU"/>
              </w:rPr>
            </w:pPr>
            <w:r w:rsidRPr="003F7DBA">
              <w:rPr>
                <w:rFonts w:asciiTheme="minorHAnsi" w:hAnsiTheme="minorHAnsi" w:cstheme="minorHAnsi"/>
                <w:color w:val="000000"/>
                <w:sz w:val="24"/>
                <w:szCs w:val="24"/>
              </w:rPr>
              <w:t xml:space="preserve">CECA will be hosting the first online ACT Education and Care Sector Meeting on 25 September 2020 between 9:30am-12:30pm. This meeting will be recorded and distributed to the sector </w:t>
            </w:r>
            <w:proofErr w:type="gramStart"/>
            <w:r w:rsidRPr="003F7DBA">
              <w:rPr>
                <w:rFonts w:asciiTheme="minorHAnsi" w:hAnsiTheme="minorHAnsi" w:cstheme="minorHAnsi"/>
                <w:color w:val="000000"/>
                <w:sz w:val="24"/>
                <w:szCs w:val="24"/>
              </w:rPr>
              <w:t>at a later date</w:t>
            </w:r>
            <w:proofErr w:type="gramEnd"/>
            <w:r w:rsidRPr="003F7DBA">
              <w:rPr>
                <w:rFonts w:asciiTheme="minorHAnsi" w:hAnsiTheme="minorHAnsi" w:cstheme="minorHAnsi"/>
                <w:color w:val="000000"/>
                <w:sz w:val="24"/>
                <w:szCs w:val="24"/>
              </w:rPr>
              <w:t xml:space="preserve">. To read the full agenda and for registration details please visit </w:t>
            </w:r>
            <w:hyperlink r:id="rId18" w:history="1">
              <w:r w:rsidRPr="003F7DBA">
                <w:rPr>
                  <w:rFonts w:asciiTheme="minorHAnsi" w:hAnsiTheme="minorHAnsi" w:cstheme="minorHAnsi"/>
                  <w:color w:val="0563C1"/>
                  <w:u w:val="single"/>
                </w:rPr>
                <w:t>CECA’s Eventbrite</w:t>
              </w:r>
            </w:hyperlink>
            <w:r w:rsidRPr="003F7DBA">
              <w:rPr>
                <w:rFonts w:asciiTheme="minorHAnsi" w:hAnsiTheme="minorHAnsi" w:cstheme="minorHAnsi"/>
                <w:color w:val="000000"/>
                <w:sz w:val="24"/>
                <w:szCs w:val="24"/>
              </w:rPr>
              <w:t xml:space="preserve"> platform. </w:t>
            </w:r>
          </w:p>
          <w:p w:rsidR="003F7DBA" w:rsidRPr="003F7DBA" w:rsidRDefault="003F7DBA" w:rsidP="003F7DBA">
            <w:pPr>
              <w:spacing w:line="276" w:lineRule="auto"/>
              <w:textAlignment w:val="center"/>
              <w:rPr>
                <w:rFonts w:asciiTheme="minorHAnsi" w:hAnsiTheme="minorHAnsi" w:cstheme="minorHAnsi"/>
                <w:position w:val="17"/>
                <w:sz w:val="24"/>
                <w:szCs w:val="24"/>
                <w:lang w:eastAsia="en-AU"/>
              </w:rPr>
            </w:pPr>
          </w:p>
          <w:p w:rsidR="003F7DBA" w:rsidRPr="003F7DBA" w:rsidRDefault="003F7DBA" w:rsidP="003F7DBA">
            <w:pPr>
              <w:spacing w:line="276" w:lineRule="auto"/>
              <w:textAlignment w:val="center"/>
              <w:rPr>
                <w:rFonts w:asciiTheme="minorHAnsi" w:hAnsiTheme="minorHAnsi" w:cstheme="minorHAnsi"/>
                <w:b/>
                <w:bCs/>
                <w:position w:val="17"/>
                <w:sz w:val="28"/>
                <w:szCs w:val="28"/>
                <w:lang w:eastAsia="en-AU"/>
              </w:rPr>
            </w:pPr>
            <w:r w:rsidRPr="003F7DBA">
              <w:rPr>
                <w:rFonts w:asciiTheme="minorHAnsi" w:hAnsiTheme="minorHAnsi" w:cstheme="minorHAnsi"/>
                <w:b/>
                <w:bCs/>
                <w:color w:val="000000"/>
                <w:position w:val="17"/>
                <w:sz w:val="28"/>
                <w:szCs w:val="28"/>
                <w:lang w:eastAsia="en-AU"/>
              </w:rPr>
              <w:t xml:space="preserve">The Young Thinker </w:t>
            </w:r>
          </w:p>
          <w:p w:rsidR="003F7DBA" w:rsidRPr="003F7DBA" w:rsidRDefault="003F7DBA" w:rsidP="003F7DBA">
            <w:pPr>
              <w:spacing w:line="276" w:lineRule="auto"/>
              <w:textAlignment w:val="center"/>
              <w:rPr>
                <w:rFonts w:asciiTheme="minorHAnsi" w:hAnsiTheme="minorHAnsi" w:cstheme="minorHAnsi"/>
                <w:position w:val="17"/>
                <w:sz w:val="24"/>
                <w:szCs w:val="24"/>
                <w:lang w:eastAsia="en-AU"/>
              </w:rPr>
            </w:pPr>
            <w:r w:rsidRPr="003F7DBA">
              <w:rPr>
                <w:rFonts w:asciiTheme="minorHAnsi" w:hAnsiTheme="minorHAnsi" w:cstheme="minorHAnsi"/>
                <w:color w:val="000000"/>
                <w:position w:val="17"/>
                <w:sz w:val="24"/>
                <w:szCs w:val="24"/>
                <w:lang w:eastAsia="en-AU"/>
              </w:rPr>
              <w:t xml:space="preserve">The ACT Public Advocate and Children and Young People Commissioner would like to hear from children and young people about the issues they feel strongly about. Given recent events, children and young people who live in the ACT are encouraged share how COVID-19 is impacting them. Families and educators can support children to share what they think and provide a submission through The Young Thinker forum. Children can submit a message or a story, create an artwork or comic strip, submit a video or audio recording, or write/record a song. For more information visit </w:t>
            </w:r>
            <w:hyperlink r:id="rId19" w:history="1">
              <w:r w:rsidRPr="003F7DBA">
                <w:rPr>
                  <w:rFonts w:asciiTheme="minorHAnsi" w:hAnsiTheme="minorHAnsi" w:cstheme="minorHAnsi"/>
                  <w:color w:val="0563C1"/>
                  <w:position w:val="17"/>
                  <w:u w:val="single"/>
                </w:rPr>
                <w:t>The ACT Human Rights Commission</w:t>
              </w:r>
            </w:hyperlink>
            <w:r w:rsidRPr="003F7DBA">
              <w:rPr>
                <w:rFonts w:asciiTheme="minorHAnsi" w:hAnsiTheme="minorHAnsi" w:cstheme="minorHAnsi"/>
                <w:color w:val="000000"/>
                <w:position w:val="17"/>
                <w:sz w:val="24"/>
                <w:szCs w:val="24"/>
                <w:lang w:eastAsia="en-AU"/>
              </w:rPr>
              <w:t xml:space="preserve"> website.</w:t>
            </w:r>
          </w:p>
          <w:p w:rsidR="003F7DBA" w:rsidRPr="003F7DBA" w:rsidRDefault="003F7DBA" w:rsidP="003F7DBA">
            <w:pPr>
              <w:spacing w:line="276" w:lineRule="auto"/>
              <w:textAlignment w:val="center"/>
              <w:rPr>
                <w:rFonts w:asciiTheme="minorHAnsi" w:hAnsiTheme="minorHAnsi" w:cstheme="minorHAnsi"/>
                <w:position w:val="17"/>
                <w:sz w:val="24"/>
                <w:szCs w:val="24"/>
                <w:lang w:eastAsia="en-AU"/>
              </w:rPr>
            </w:pPr>
          </w:p>
          <w:p w:rsidR="003F7DBA" w:rsidRPr="003F7DBA" w:rsidRDefault="003F7DBA" w:rsidP="003F7DBA">
            <w:pPr>
              <w:keepNext/>
              <w:keepLines/>
              <w:spacing w:before="40" w:line="276" w:lineRule="auto"/>
              <w:outlineLvl w:val="2"/>
              <w:rPr>
                <w:rFonts w:asciiTheme="minorHAnsi" w:eastAsia="Times New Roman" w:hAnsiTheme="minorHAnsi" w:cstheme="minorHAnsi"/>
                <w:b/>
                <w:bCs/>
                <w:position w:val="17"/>
                <w:sz w:val="28"/>
                <w:szCs w:val="28"/>
                <w:lang w:eastAsia="en-AU"/>
              </w:rPr>
            </w:pPr>
            <w:r w:rsidRPr="003F7DBA">
              <w:rPr>
                <w:rFonts w:asciiTheme="minorHAnsi" w:eastAsia="Times New Roman" w:hAnsiTheme="minorHAnsi" w:cstheme="minorHAnsi"/>
                <w:b/>
                <w:bCs/>
                <w:color w:val="000000"/>
                <w:position w:val="17"/>
                <w:sz w:val="28"/>
                <w:szCs w:val="28"/>
                <w:lang w:eastAsia="en-AU"/>
              </w:rPr>
              <w:t>Safe transportation of children – new requirements from 1 October 2020</w:t>
            </w:r>
          </w:p>
          <w:p w:rsidR="003F7DBA" w:rsidRPr="003F7DBA" w:rsidRDefault="003F7DBA" w:rsidP="003F7DBA">
            <w:pPr>
              <w:spacing w:line="276" w:lineRule="auto"/>
              <w:rPr>
                <w:rFonts w:asciiTheme="minorHAnsi" w:hAnsiTheme="minorHAnsi" w:cstheme="minorHAnsi"/>
                <w:sz w:val="24"/>
                <w:szCs w:val="24"/>
                <w:lang w:eastAsia="en-AU"/>
              </w:rPr>
            </w:pPr>
            <w:r w:rsidRPr="003F7DBA">
              <w:rPr>
                <w:rFonts w:asciiTheme="minorHAnsi" w:hAnsiTheme="minorHAnsi" w:cstheme="minorHAnsi"/>
                <w:color w:val="000000"/>
                <w:sz w:val="24"/>
                <w:szCs w:val="24"/>
                <w:lang w:eastAsia="en-AU"/>
              </w:rPr>
              <w:t>Transporting children may present additional risks, during the journey and the transition between a vehicle and a service premises or other location. To better manage these risks, all governments have agreed to introduce new requirements to strengthen oversight arrangements when children are being transported under the care of an education and care service.</w:t>
            </w:r>
            <w:bookmarkStart w:id="0" w:name="OLE_LINK1"/>
            <w:bookmarkStart w:id="1" w:name="OLE_LINK2"/>
            <w:r w:rsidRPr="003F7DBA">
              <w:rPr>
                <w:rFonts w:asciiTheme="minorHAnsi" w:hAnsiTheme="minorHAnsi" w:cstheme="minorHAnsi"/>
                <w:color w:val="000000"/>
                <w:sz w:val="24"/>
                <w:szCs w:val="24"/>
                <w:lang w:eastAsia="en-AU"/>
              </w:rPr>
              <w:t xml:space="preserve"> From 1 October 2020, approved providers of education and care services that offer, or arrange, transportation of children will be required to have in place transportation-specific policies and procedures. New requirements for transport-specific risk assessments and obtaining written authorisations will also apply. Minor corresponding changes relating to excursions that involve transporting children will also take effect.</w:t>
            </w:r>
            <w:bookmarkEnd w:id="0"/>
            <w:bookmarkEnd w:id="1"/>
            <w:r w:rsidRPr="003F7DBA">
              <w:rPr>
                <w:rFonts w:asciiTheme="minorHAnsi" w:hAnsiTheme="minorHAnsi" w:cstheme="minorHAnsi"/>
                <w:color w:val="000000"/>
                <w:sz w:val="24"/>
                <w:szCs w:val="24"/>
                <w:lang w:eastAsia="en-AU"/>
              </w:rPr>
              <w:t xml:space="preserve"> For more information please read this </w:t>
            </w:r>
            <w:hyperlink r:id="rId20" w:history="1">
              <w:r w:rsidRPr="003F7DBA">
                <w:rPr>
                  <w:rFonts w:asciiTheme="minorHAnsi" w:hAnsiTheme="minorHAnsi" w:cstheme="minorHAnsi"/>
                  <w:color w:val="0563C1"/>
                  <w:u w:val="single"/>
                </w:rPr>
                <w:t>ACECQA information sheet</w:t>
              </w:r>
            </w:hyperlink>
            <w:r w:rsidRPr="003F7DBA">
              <w:rPr>
                <w:rFonts w:asciiTheme="minorHAnsi" w:hAnsiTheme="minorHAnsi" w:cstheme="minorHAnsi"/>
                <w:color w:val="000000"/>
                <w:u w:val="single"/>
              </w:rPr>
              <w:t>.</w:t>
            </w:r>
            <w:r w:rsidRPr="003F7DBA">
              <w:rPr>
                <w:rFonts w:asciiTheme="minorHAnsi" w:hAnsiTheme="minorHAnsi" w:cstheme="minorHAnsi"/>
                <w:color w:val="000000"/>
                <w:sz w:val="24"/>
                <w:szCs w:val="24"/>
                <w:lang w:eastAsia="en-AU"/>
              </w:rPr>
              <w:t xml:space="preserve"> </w:t>
            </w:r>
          </w:p>
          <w:p w:rsidR="00F0412B" w:rsidRPr="00121500" w:rsidRDefault="00F0412B" w:rsidP="00C600AD">
            <w:pPr>
              <w:rPr>
                <w:rFonts w:asciiTheme="minorHAnsi" w:hAnsiTheme="minorHAnsi" w:cstheme="minorHAnsi"/>
                <w:color w:val="000000"/>
                <w:lang w:eastAsia="en-AU"/>
              </w:rPr>
            </w:pPr>
          </w:p>
          <w:p w:rsidR="00F0412B" w:rsidRPr="00121500" w:rsidRDefault="00F0412B" w:rsidP="00C600AD">
            <w:pPr>
              <w:rPr>
                <w:rFonts w:asciiTheme="minorHAnsi" w:hAnsiTheme="minorHAnsi" w:cstheme="minorHAnsi"/>
                <w:sz w:val="20"/>
                <w:szCs w:val="20"/>
              </w:rPr>
            </w:pPr>
            <w:r w:rsidRPr="00121500">
              <w:rPr>
                <w:rFonts w:asciiTheme="minorHAnsi" w:hAnsiTheme="minorHAnsi" w:cstheme="minorHAnsi"/>
                <w:color w:val="000000"/>
                <w:sz w:val="20"/>
                <w:szCs w:val="20"/>
                <w:lang w:eastAsia="en-AU"/>
              </w:rPr>
              <w:t xml:space="preserve">For enquires in relation to this notification please call CECA on (02) 6207 1114 or email </w:t>
            </w:r>
            <w:hyperlink r:id="rId21" w:history="1">
              <w:r w:rsidRPr="00121500">
                <w:rPr>
                  <w:rStyle w:val="Hyperlink"/>
                  <w:rFonts w:asciiTheme="minorHAnsi" w:hAnsiTheme="minorHAnsi" w:cstheme="minorHAnsi"/>
                  <w:color w:val="0000FF"/>
                  <w:sz w:val="20"/>
                  <w:szCs w:val="20"/>
                </w:rPr>
                <w:t>CECA@ACT.gov.au</w:t>
              </w:r>
            </w:hyperlink>
            <w:r w:rsidRPr="00121500">
              <w:rPr>
                <w:rFonts w:asciiTheme="minorHAnsi" w:hAnsiTheme="minorHAnsi" w:cstheme="minorHAnsi"/>
                <w:color w:val="000000"/>
                <w:sz w:val="20"/>
                <w:szCs w:val="20"/>
                <w:u w:val="single"/>
              </w:rPr>
              <w:t>.</w:t>
            </w:r>
            <w:r w:rsidRPr="00121500">
              <w:rPr>
                <w:rFonts w:asciiTheme="minorHAnsi" w:hAnsiTheme="minorHAnsi" w:cstheme="minorHAnsi"/>
                <w:color w:val="000000"/>
                <w:sz w:val="20"/>
                <w:szCs w:val="20"/>
              </w:rPr>
              <w:t xml:space="preserve"> </w:t>
            </w:r>
          </w:p>
          <w:p w:rsidR="00F0412B" w:rsidRPr="00121500" w:rsidRDefault="00F0412B" w:rsidP="00C600AD">
            <w:pPr>
              <w:jc w:val="center"/>
              <w:rPr>
                <w:rFonts w:asciiTheme="minorHAnsi" w:hAnsiTheme="minorHAnsi" w:cstheme="minorHAnsi"/>
              </w:rPr>
            </w:pPr>
          </w:p>
          <w:p w:rsidR="00F0412B" w:rsidRPr="00121500" w:rsidRDefault="00F0412B" w:rsidP="00C600AD">
            <w:pPr>
              <w:jc w:val="center"/>
              <w:rPr>
                <w:rFonts w:asciiTheme="minorHAnsi" w:hAnsiTheme="minorHAnsi" w:cstheme="minorHAnsi"/>
                <w:color w:val="767171"/>
                <w:sz w:val="20"/>
                <w:szCs w:val="20"/>
                <w:lang w:eastAsia="en-AU"/>
              </w:rPr>
            </w:pPr>
            <w:r w:rsidRPr="00121500">
              <w:rPr>
                <w:rFonts w:asciiTheme="minorHAnsi" w:hAnsiTheme="minorHAnsi" w:cstheme="minorHAnsi"/>
                <w:color w:val="767171"/>
                <w:sz w:val="20"/>
                <w:szCs w:val="20"/>
                <w:lang w:eastAsia="en-AU"/>
              </w:rPr>
              <w:t xml:space="preserve">This email has been authorised by the ACT Regulatory Authority (CECA). </w:t>
            </w:r>
          </w:p>
          <w:p w:rsidR="00F0412B" w:rsidRPr="00121500" w:rsidRDefault="00F0412B" w:rsidP="00C600AD">
            <w:pPr>
              <w:jc w:val="center"/>
              <w:rPr>
                <w:rFonts w:asciiTheme="minorHAnsi" w:hAnsiTheme="minorHAnsi" w:cstheme="minorHAnsi"/>
                <w:color w:val="767171"/>
                <w:lang w:eastAsia="en-AU"/>
              </w:rPr>
            </w:pPr>
            <w:r w:rsidRPr="00121500">
              <w:rPr>
                <w:rFonts w:asciiTheme="minorHAnsi" w:hAnsiTheme="minorHAnsi" w:cstheme="minorHAnsi"/>
                <w:color w:val="767171"/>
                <w:sz w:val="20"/>
                <w:szCs w:val="20"/>
                <w:lang w:eastAsia="en-AU"/>
              </w:rPr>
              <w:t>CECA are responsible for administering the National Quality Framework within the ACT</w:t>
            </w:r>
            <w:r w:rsidRPr="00121500">
              <w:rPr>
                <w:rFonts w:asciiTheme="minorHAnsi" w:hAnsiTheme="minorHAnsi" w:cstheme="minorHAnsi"/>
                <w:color w:val="767171"/>
                <w:lang w:eastAsia="en-AU"/>
              </w:rPr>
              <w:t>.</w:t>
            </w:r>
          </w:p>
        </w:tc>
      </w:tr>
    </w:tbl>
    <w:p w:rsidR="00F0412B" w:rsidRPr="00121500" w:rsidRDefault="00F0412B" w:rsidP="00F0412B">
      <w:pPr>
        <w:rPr>
          <w:rFonts w:asciiTheme="minorHAnsi" w:hAnsiTheme="minorHAnsi" w:cstheme="minorHAnsi"/>
          <w:color w:val="333132"/>
        </w:rPr>
      </w:pPr>
    </w:p>
    <w:tbl>
      <w:tblPr>
        <w:tblW w:w="10488" w:type="dxa"/>
        <w:jc w:val="center"/>
        <w:tblCellSpacing w:w="0" w:type="dxa"/>
        <w:shd w:val="clear" w:color="auto" w:fill="FFFFFF"/>
        <w:tblCellMar>
          <w:left w:w="0" w:type="dxa"/>
          <w:right w:w="0" w:type="dxa"/>
        </w:tblCellMar>
        <w:tblLook w:val="04A0" w:firstRow="1" w:lastRow="0" w:firstColumn="1" w:lastColumn="0" w:noHBand="0" w:noVBand="1"/>
      </w:tblPr>
      <w:tblGrid>
        <w:gridCol w:w="10510"/>
      </w:tblGrid>
      <w:tr w:rsidR="00F0412B" w:rsidRPr="00121500" w:rsidTr="00C600AD">
        <w:trPr>
          <w:trHeight w:val="671"/>
          <w:tblCellSpacing w:w="0" w:type="dxa"/>
          <w:jc w:val="center"/>
        </w:trPr>
        <w:tc>
          <w:tcPr>
            <w:tcW w:w="10439" w:type="dxa"/>
            <w:shd w:val="clear" w:color="auto" w:fill="5C5C5C"/>
            <w:vAlign w:val="center"/>
            <w:hideMark/>
          </w:tcPr>
          <w:tbl>
            <w:tblPr>
              <w:tblW w:w="10510" w:type="dxa"/>
              <w:jc w:val="center"/>
              <w:tblCellSpacing w:w="0" w:type="dxa"/>
              <w:shd w:val="clear" w:color="auto" w:fill="FFFFFF"/>
              <w:tblCellMar>
                <w:left w:w="0" w:type="dxa"/>
                <w:right w:w="0" w:type="dxa"/>
              </w:tblCellMar>
              <w:tblLook w:val="04A0" w:firstRow="1" w:lastRow="0" w:firstColumn="1" w:lastColumn="0" w:noHBand="0" w:noVBand="1"/>
            </w:tblPr>
            <w:tblGrid>
              <w:gridCol w:w="4139"/>
              <w:gridCol w:w="88"/>
              <w:gridCol w:w="6283"/>
            </w:tblGrid>
            <w:tr w:rsidR="00F0412B" w:rsidRPr="00121500" w:rsidTr="00C600AD">
              <w:trPr>
                <w:gridAfter w:val="2"/>
                <w:wAfter w:w="6371" w:type="dxa"/>
                <w:trHeight w:val="76"/>
                <w:tblCellSpacing w:w="0" w:type="dxa"/>
                <w:jc w:val="center"/>
              </w:trPr>
              <w:tc>
                <w:tcPr>
                  <w:tcW w:w="0" w:type="auto"/>
                  <w:shd w:val="clear" w:color="auto" w:fill="5C5C5C"/>
                  <w:vAlign w:val="center"/>
                  <w:hideMark/>
                </w:tcPr>
                <w:p w:rsidR="00F0412B" w:rsidRPr="00121500" w:rsidRDefault="00F0412B" w:rsidP="00C600AD">
                  <w:pPr>
                    <w:rPr>
                      <w:rFonts w:asciiTheme="minorHAnsi" w:eastAsia="Times New Roman" w:hAnsiTheme="minorHAnsi" w:cstheme="minorHAnsi"/>
                      <w:sz w:val="20"/>
                      <w:szCs w:val="20"/>
                      <w:lang w:eastAsia="en-AU"/>
                    </w:rPr>
                  </w:pPr>
                </w:p>
              </w:tc>
            </w:tr>
            <w:tr w:rsidR="00F0412B" w:rsidRPr="00121500" w:rsidTr="00C600AD">
              <w:trPr>
                <w:trHeight w:val="543"/>
                <w:tblCellSpacing w:w="0" w:type="dxa"/>
                <w:jc w:val="center"/>
              </w:trPr>
              <w:tc>
                <w:tcPr>
                  <w:tcW w:w="0" w:type="auto"/>
                  <w:shd w:val="clear" w:color="auto" w:fill="5C5C5C"/>
                  <w:tcMar>
                    <w:top w:w="120" w:type="dxa"/>
                    <w:left w:w="630" w:type="dxa"/>
                    <w:bottom w:w="120" w:type="dxa"/>
                    <w:right w:w="0" w:type="dxa"/>
                  </w:tcMar>
                  <w:vAlign w:val="center"/>
                  <w:hideMark/>
                </w:tcPr>
                <w:p w:rsidR="00F0412B" w:rsidRPr="00121500" w:rsidRDefault="00F0412B" w:rsidP="00C600AD">
                  <w:pPr>
                    <w:pStyle w:val="NormalWeb"/>
                    <w:rPr>
                      <w:rFonts w:asciiTheme="minorHAnsi" w:hAnsiTheme="minorHAnsi" w:cstheme="minorHAnsi"/>
                      <w:color w:val="FFFFFF"/>
                      <w:sz w:val="20"/>
                      <w:szCs w:val="20"/>
                    </w:rPr>
                  </w:pPr>
                  <w:r w:rsidRPr="00121500">
                    <w:rPr>
                      <w:rFonts w:asciiTheme="minorHAnsi" w:hAnsiTheme="minorHAnsi" w:cstheme="minorHAnsi"/>
                      <w:noProof/>
                      <w:color w:val="0000FF"/>
                      <w:sz w:val="20"/>
                      <w:szCs w:val="20"/>
                    </w:rPr>
                    <w:drawing>
                      <wp:inline distT="0" distB="0" distL="0" distR="0" wp14:anchorId="7BEC8CD0" wp14:editId="3CE3097D">
                        <wp:extent cx="1085850" cy="352425"/>
                        <wp:effectExtent l="0" t="0" r="0" b="0"/>
                        <wp:docPr id="93" name="Picture 93" descr="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tc>
              <w:tc>
                <w:tcPr>
                  <w:tcW w:w="0" w:type="auto"/>
                  <w:shd w:val="clear" w:color="auto" w:fill="5C5C5C"/>
                  <w:tcMar>
                    <w:top w:w="120" w:type="dxa"/>
                    <w:left w:w="0" w:type="dxa"/>
                    <w:bottom w:w="120" w:type="dxa"/>
                    <w:right w:w="0" w:type="dxa"/>
                  </w:tcMar>
                  <w:vAlign w:val="center"/>
                  <w:hideMark/>
                </w:tcPr>
                <w:p w:rsidR="00F0412B" w:rsidRPr="00121500" w:rsidRDefault="00F0412B" w:rsidP="00C600AD">
                  <w:pPr>
                    <w:jc w:val="center"/>
                    <w:rPr>
                      <w:rFonts w:asciiTheme="minorHAnsi" w:hAnsiTheme="minorHAnsi" w:cstheme="minorHAnsi"/>
                      <w:color w:val="333132"/>
                    </w:rPr>
                  </w:pPr>
                  <w:r w:rsidRPr="00121500">
                    <w:rPr>
                      <w:rFonts w:asciiTheme="minorHAnsi" w:hAnsiTheme="minorHAnsi" w:cstheme="minorHAnsi"/>
                      <w:color w:val="333132"/>
                    </w:rPr>
                    <w:t> </w:t>
                  </w:r>
                </w:p>
              </w:tc>
              <w:tc>
                <w:tcPr>
                  <w:tcW w:w="6283" w:type="dxa"/>
                  <w:shd w:val="clear" w:color="auto" w:fill="5C5C5C"/>
                  <w:tcMar>
                    <w:top w:w="120" w:type="dxa"/>
                    <w:left w:w="0" w:type="dxa"/>
                    <w:bottom w:w="120" w:type="dxa"/>
                    <w:right w:w="525" w:type="dxa"/>
                  </w:tcMar>
                  <w:vAlign w:val="center"/>
                  <w:hideMark/>
                </w:tcPr>
                <w:p w:rsidR="00F0412B" w:rsidRPr="00121500" w:rsidRDefault="00F0412B" w:rsidP="00C600AD">
                  <w:pPr>
                    <w:jc w:val="right"/>
                    <w:rPr>
                      <w:rFonts w:asciiTheme="minorHAnsi" w:hAnsiTheme="minorHAnsi" w:cstheme="minorHAnsi"/>
                      <w:color w:val="333132"/>
                    </w:rPr>
                  </w:pPr>
                  <w:r w:rsidRPr="00121500">
                    <w:rPr>
                      <w:rFonts w:asciiTheme="minorHAnsi" w:hAnsiTheme="minorHAnsi" w:cstheme="minorHAnsi"/>
                      <w:noProof/>
                      <w:color w:val="333132"/>
                    </w:rPr>
                    <w:drawing>
                      <wp:inline distT="0" distB="0" distL="0" distR="0" wp14:anchorId="6CEFD90C" wp14:editId="48669CFE">
                        <wp:extent cx="1895475" cy="647700"/>
                        <wp:effectExtent l="0" t="0" r="0" b="0"/>
                        <wp:docPr id="94" name="Picture 94"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pect, Integrity, Collaboration and Innovation, the ACTPS Values and Signature Behaivou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tc>
            </w:tr>
          </w:tbl>
          <w:p w:rsidR="00F0412B" w:rsidRPr="00121500" w:rsidRDefault="00F0412B" w:rsidP="00C600AD">
            <w:pPr>
              <w:jc w:val="center"/>
              <w:rPr>
                <w:rFonts w:asciiTheme="minorHAnsi" w:eastAsia="Times New Roman" w:hAnsiTheme="minorHAnsi" w:cstheme="minorHAnsi"/>
                <w:sz w:val="20"/>
                <w:szCs w:val="20"/>
                <w:lang w:eastAsia="en-AU"/>
              </w:rPr>
            </w:pPr>
          </w:p>
        </w:tc>
      </w:tr>
      <w:tr w:rsidR="00F0412B" w:rsidRPr="00121500" w:rsidTr="00C600AD">
        <w:trPr>
          <w:trHeight w:val="60"/>
          <w:tblCellSpacing w:w="0" w:type="dxa"/>
          <w:jc w:val="center"/>
        </w:trPr>
        <w:tc>
          <w:tcPr>
            <w:tcW w:w="10488" w:type="dxa"/>
            <w:shd w:val="clear" w:color="auto" w:fill="5C5C5C"/>
            <w:vAlign w:val="center"/>
          </w:tcPr>
          <w:p w:rsidR="00F0412B" w:rsidRPr="00121500" w:rsidRDefault="00F0412B" w:rsidP="00C600AD">
            <w:pPr>
              <w:rPr>
                <w:rFonts w:asciiTheme="minorHAnsi" w:hAnsiTheme="minorHAnsi" w:cstheme="minorHAnsi"/>
                <w:color w:val="333132"/>
              </w:rPr>
            </w:pPr>
          </w:p>
        </w:tc>
      </w:tr>
    </w:tbl>
    <w:p w:rsidR="001C49DD" w:rsidRPr="00121500" w:rsidRDefault="001C49DD">
      <w:pPr>
        <w:rPr>
          <w:rFonts w:asciiTheme="minorHAnsi" w:hAnsiTheme="minorHAnsi" w:cstheme="minorHAnsi"/>
        </w:rPr>
      </w:pPr>
    </w:p>
    <w:sectPr w:rsidR="001C49DD" w:rsidRPr="00121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2B"/>
    <w:rsid w:val="00121500"/>
    <w:rsid w:val="001C49DD"/>
    <w:rsid w:val="001E4B11"/>
    <w:rsid w:val="002E5847"/>
    <w:rsid w:val="00380DFB"/>
    <w:rsid w:val="003F7DBA"/>
    <w:rsid w:val="00694CF8"/>
    <w:rsid w:val="00A5783B"/>
    <w:rsid w:val="00F04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8C60"/>
  <w15:chartTrackingRefBased/>
  <w15:docId w15:val="{62567ED0-DA73-4DB8-B235-14CE9221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12B"/>
    <w:rPr>
      <w:color w:val="0563C1"/>
      <w:u w:val="single"/>
    </w:rPr>
  </w:style>
  <w:style w:type="paragraph" w:styleId="NormalWeb">
    <w:name w:val="Normal (Web)"/>
    <w:basedOn w:val="Normal"/>
    <w:uiPriority w:val="99"/>
    <w:semiHidden/>
    <w:unhideWhenUsed/>
    <w:rsid w:val="00F0412B"/>
    <w:pPr>
      <w:spacing w:before="100" w:beforeAutospacing="1" w:after="100" w:afterAutospacing="1"/>
    </w:pPr>
    <w:rPr>
      <w:lang w:eastAsia="en-AU"/>
    </w:rPr>
  </w:style>
  <w:style w:type="paragraph" w:styleId="NoSpacing">
    <w:name w:val="No Spacing"/>
    <w:basedOn w:val="Normal"/>
    <w:uiPriority w:val="1"/>
    <w:qFormat/>
    <w:rsid w:val="00F0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cecqa.gov.au/media/29851" TargetMode="External"/><Relationship Id="rId18" Type="http://schemas.openxmlformats.org/officeDocument/2006/relationships/hyperlink" Target="https://www.eventbrite.com.au/e/act-education-and-care-sector-meeting-september-2020-tickets-11811833612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CECA@ACT.gov.au" TargetMode="External"/><Relationship Id="rId7" Type="http://schemas.openxmlformats.org/officeDocument/2006/relationships/image" Target="cid:image002.jpg@01D63441.ED572C00" TargetMode="External"/><Relationship Id="rId12" Type="http://schemas.openxmlformats.org/officeDocument/2006/relationships/hyperlink" Target="https://disabilitystandardsreview.education.gov.au/early_childhood/" TargetMode="External"/><Relationship Id="rId17" Type="http://schemas.openxmlformats.org/officeDocument/2006/relationships/hyperlink" Target="https://www.napcan.org.au/official-program-webinars-event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cecqa.gov.au/have-your-say-DDA" TargetMode="External"/><Relationship Id="rId20" Type="http://schemas.openxmlformats.org/officeDocument/2006/relationships/hyperlink" Target="https://www.acecqa.gov.au/media/29846"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facebook.com/l.php?u=http%3A%2F%2Fow.ly%2FAEvC50Bde3n%3Ffbclid%3DIwAR3B87p2zQ2Fx3CnDbS18dlS3-UdzSAWmTCtBcix_rdFI2ET6k55StQ504Y&amp;h=AT3q0R2AckUFW6keXobtdcyWGAYCC6m2eoD3E0HcRVtQFb2ZexPrc1pTK43h0kXE0AmyoTM5SWR1-LuNXAtscYMpiUZm9f9jtKT1oO-BLBH_ZAHDqaVaqivOXePEUl1hsz0N&amp;__tn__=-UK-R&amp;c%5b0%5d=AT3bFrMPtszCfCVal6NCbAQZ6imVIQggJRBQI22Sam1G2KicKDNGLy7Tqf6hz1CFnzxtM8MRtnS78sFFYvOqDiX0_DtdrYcV82XX9DsxDGlgFOMxQbJHFik-X9-k7cVR_hb-2d_GX-iHEciHI5V_5nlFOyNIpA0BnTxe2qCFFJ0Cp9VKPj14trdagT3H8_o" TargetMode="External"/><Relationship Id="rId24" Type="http://schemas.openxmlformats.org/officeDocument/2006/relationships/image" Target="media/image5.png"/><Relationship Id="rId5" Type="http://schemas.openxmlformats.org/officeDocument/2006/relationships/image" Target="cid:image001.gif@01D63441.ED572C00" TargetMode="External"/><Relationship Id="rId15" Type="http://schemas.openxmlformats.org/officeDocument/2006/relationships/hyperlink" Target="mailto:DSEfeedback@acecqa.gov.au(link%20sends%20email)" TargetMode="External"/><Relationship Id="rId23" Type="http://schemas.openxmlformats.org/officeDocument/2006/relationships/image" Target="media/image4.png"/><Relationship Id="rId10" Type="http://schemas.openxmlformats.org/officeDocument/2006/relationships/hyperlink" Target="https://www.education.act.gov.au/__data/assets/pdf_file/0005/1620347/Early-Childhood-Strategy-for-the-ACT.pdf" TargetMode="External"/><Relationship Id="rId19" Type="http://schemas.openxmlformats.org/officeDocument/2006/relationships/hyperlink" Target="https://hrc.act.gov.au/childrenyoungpeople/are-you-a-child-or-young-person-with-something-to-say-become-a-young-thinker-and-tell-us-what-you-think/?fbclid=IwAR1wnXGqlIBwLQLm0TbdXKtO3SlSbTsOBk0sHrjhNGg77-bfdFi1_XI4_1E" TargetMode="External"/><Relationship Id="rId4" Type="http://schemas.openxmlformats.org/officeDocument/2006/relationships/image" Target="media/image1.gif"/><Relationship Id="rId9" Type="http://schemas.openxmlformats.org/officeDocument/2006/relationships/image" Target="cid:image008.jpg@01D685F1.98B09450" TargetMode="External"/><Relationship Id="rId14" Type="http://schemas.openxmlformats.org/officeDocument/2006/relationships/hyperlink" Target="https://www.surveymonkey.com/r/DSEReviewECEC" TargetMode="External"/><Relationship Id="rId22" Type="http://schemas.openxmlformats.org/officeDocument/2006/relationships/hyperlink" Target="https://www.facebook.com/CECA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Wang, Zhenxing</cp:lastModifiedBy>
  <cp:revision>1</cp:revision>
  <dcterms:created xsi:type="dcterms:W3CDTF">2020-11-20T05:27:00Z</dcterms:created>
  <dcterms:modified xsi:type="dcterms:W3CDTF">2020-11-20T05:27:00Z</dcterms:modified>
</cp:coreProperties>
</file>