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5613F" w14:textId="77777777" w:rsidR="00C1219E" w:rsidRDefault="00C1219E" w:rsidP="00812163">
      <w:pPr>
        <w:jc w:val="center"/>
        <w:rPr>
          <w:rFonts w:cs="Calibri"/>
          <w:b/>
          <w:sz w:val="28"/>
          <w:szCs w:val="28"/>
        </w:rPr>
      </w:pPr>
    </w:p>
    <w:p w14:paraId="3E507CF0" w14:textId="11A7B402" w:rsidR="00812163" w:rsidRPr="00663AC1" w:rsidRDefault="00812163" w:rsidP="00812163">
      <w:pPr>
        <w:jc w:val="center"/>
        <w:rPr>
          <w:rFonts w:cs="Calibri"/>
          <w:b/>
          <w:sz w:val="28"/>
          <w:szCs w:val="28"/>
        </w:rPr>
      </w:pPr>
      <w:r w:rsidRPr="00663AC1">
        <w:rPr>
          <w:rFonts w:cs="Calibri"/>
          <w:b/>
          <w:sz w:val="28"/>
          <w:szCs w:val="28"/>
        </w:rPr>
        <w:t>Disability Education Reference Group</w:t>
      </w:r>
    </w:p>
    <w:p w14:paraId="30D5CEDE" w14:textId="77777777" w:rsidR="00812163" w:rsidRPr="00663AC1" w:rsidRDefault="00812163" w:rsidP="00812163">
      <w:pPr>
        <w:jc w:val="center"/>
        <w:rPr>
          <w:rFonts w:cs="Calibri"/>
          <w:b/>
          <w:sz w:val="28"/>
          <w:szCs w:val="28"/>
        </w:rPr>
      </w:pPr>
      <w:r w:rsidRPr="00663AC1">
        <w:rPr>
          <w:rFonts w:cs="Calibri"/>
          <w:b/>
          <w:sz w:val="28"/>
          <w:szCs w:val="28"/>
        </w:rPr>
        <w:t xml:space="preserve">Terms of Reference </w:t>
      </w:r>
    </w:p>
    <w:p w14:paraId="156DDFA9" w14:textId="77777777" w:rsidR="00812163" w:rsidRPr="00663AC1" w:rsidRDefault="00812163" w:rsidP="00812163">
      <w:pPr>
        <w:jc w:val="center"/>
        <w:rPr>
          <w:rFonts w:cs="Calibri"/>
          <w:b/>
          <w:sz w:val="20"/>
        </w:rPr>
      </w:pPr>
    </w:p>
    <w:p w14:paraId="332A1509" w14:textId="77777777" w:rsidR="00854AA8" w:rsidRDefault="00854AA8" w:rsidP="00812163">
      <w:pPr>
        <w:rPr>
          <w:rFonts w:cs="Calibri"/>
          <w:b/>
        </w:rPr>
      </w:pPr>
    </w:p>
    <w:p w14:paraId="7075CE69" w14:textId="77777777" w:rsidR="00C1219E" w:rsidRDefault="00C1219E" w:rsidP="00812163">
      <w:pPr>
        <w:rPr>
          <w:rFonts w:cs="Calibri"/>
          <w:b/>
        </w:rPr>
      </w:pPr>
    </w:p>
    <w:p w14:paraId="727C91AB" w14:textId="77777777" w:rsidR="00812163" w:rsidRPr="00751B26" w:rsidRDefault="00812163" w:rsidP="00812163">
      <w:pPr>
        <w:rPr>
          <w:rFonts w:cs="Calibri"/>
          <w:b/>
        </w:rPr>
      </w:pPr>
      <w:r w:rsidRPr="00751B26">
        <w:rPr>
          <w:rFonts w:cs="Calibri"/>
          <w:b/>
        </w:rPr>
        <w:t>Purpose</w:t>
      </w:r>
    </w:p>
    <w:p w14:paraId="2FED5352" w14:textId="34F62775" w:rsidR="00812163" w:rsidRDefault="00812163" w:rsidP="00812163">
      <w:pPr>
        <w:rPr>
          <w:rFonts w:cs="Calibri"/>
        </w:rPr>
      </w:pPr>
      <w:r w:rsidRPr="00751B26">
        <w:rPr>
          <w:rFonts w:cs="Calibri"/>
        </w:rPr>
        <w:t>The Disability Education Reference Group (</w:t>
      </w:r>
      <w:r w:rsidR="003E1C15">
        <w:rPr>
          <w:rFonts w:cs="Calibri"/>
        </w:rPr>
        <w:t>the Reference Group</w:t>
      </w:r>
      <w:r w:rsidRPr="00751B26">
        <w:rPr>
          <w:rFonts w:cs="Calibri"/>
        </w:rPr>
        <w:t xml:space="preserve">) is a community consultative forum convened by the </w:t>
      </w:r>
      <w:r w:rsidRPr="00751B26">
        <w:rPr>
          <w:rFonts w:cs="Calibri"/>
          <w:szCs w:val="24"/>
        </w:rPr>
        <w:t>Director-General</w:t>
      </w:r>
      <w:r>
        <w:rPr>
          <w:rFonts w:cs="Calibri"/>
        </w:rPr>
        <w:t xml:space="preserve"> of the Education</w:t>
      </w:r>
      <w:r w:rsidRPr="00751B26">
        <w:rPr>
          <w:rFonts w:cs="Calibri"/>
        </w:rPr>
        <w:t xml:space="preserve"> Directorate. The </w:t>
      </w:r>
      <w:r w:rsidR="00A73EC6">
        <w:rPr>
          <w:rFonts w:cs="Calibri"/>
        </w:rPr>
        <w:t xml:space="preserve">purpose of the </w:t>
      </w:r>
      <w:r w:rsidRPr="00751B26">
        <w:rPr>
          <w:rFonts w:cs="Calibri"/>
        </w:rPr>
        <w:t xml:space="preserve">reference group </w:t>
      </w:r>
      <w:r w:rsidR="00A73EC6">
        <w:rPr>
          <w:rFonts w:cs="Calibri"/>
        </w:rPr>
        <w:t xml:space="preserve">is to provide a forum for information sharing and for key community stakeholders to contribute to the formulation of policy and advice in relation to the education of students with a disability in ACT public schools. </w:t>
      </w:r>
    </w:p>
    <w:p w14:paraId="3EA2308E" w14:textId="77777777" w:rsidR="00854AA8" w:rsidRDefault="00854AA8" w:rsidP="00812163">
      <w:pPr>
        <w:rPr>
          <w:rFonts w:cs="Calibri"/>
        </w:rPr>
      </w:pPr>
    </w:p>
    <w:p w14:paraId="6F2D812A" w14:textId="77777777" w:rsidR="00854AA8" w:rsidRDefault="00854AA8" w:rsidP="00812163">
      <w:pPr>
        <w:rPr>
          <w:rFonts w:cs="Calibri"/>
        </w:rPr>
      </w:pPr>
      <w:r>
        <w:rPr>
          <w:rFonts w:cs="Calibri"/>
        </w:rPr>
        <w:t xml:space="preserve">The work and scope of </w:t>
      </w:r>
      <w:r w:rsidR="00A73EC6">
        <w:rPr>
          <w:rFonts w:cs="Calibri"/>
        </w:rPr>
        <w:t>the group</w:t>
      </w:r>
      <w:r>
        <w:rPr>
          <w:rFonts w:cs="Calibri"/>
        </w:rPr>
        <w:t xml:space="preserve"> is guided by the following definition of disability derived from the United Nations Convention on the Rights of People with Disability:</w:t>
      </w:r>
    </w:p>
    <w:p w14:paraId="3FC11055" w14:textId="77777777" w:rsidR="00854AA8" w:rsidRDefault="00854AA8" w:rsidP="00812163">
      <w:pPr>
        <w:rPr>
          <w:rFonts w:cs="Calibri"/>
        </w:rPr>
      </w:pPr>
    </w:p>
    <w:p w14:paraId="6C9C7241" w14:textId="77777777" w:rsidR="00854AA8" w:rsidRDefault="00854AA8" w:rsidP="00812163">
      <w:pPr>
        <w:rPr>
          <w:i/>
        </w:rPr>
      </w:pPr>
      <w:r>
        <w:rPr>
          <w:i/>
        </w:rPr>
        <w:t>“</w:t>
      </w:r>
      <w:r w:rsidRPr="003D20CF">
        <w:rPr>
          <w:i/>
        </w:rPr>
        <w:t>Persons with disabilities include those who have long-term physical, mental, intellectual or sensory impairments which in interaction with various barriers may hinder their full and effective participation in society on an equal basis with others</w:t>
      </w:r>
      <w:r>
        <w:rPr>
          <w:i/>
        </w:rPr>
        <w:t>”</w:t>
      </w:r>
    </w:p>
    <w:p w14:paraId="48D81E99" w14:textId="77777777" w:rsidR="00854AA8" w:rsidRDefault="00854AA8" w:rsidP="00812163">
      <w:pPr>
        <w:rPr>
          <w:i/>
        </w:rPr>
      </w:pPr>
    </w:p>
    <w:p w14:paraId="1E76B8BA" w14:textId="77777777" w:rsidR="006171F5" w:rsidRDefault="006171F5" w:rsidP="00812163">
      <w:r w:rsidRPr="006171F5">
        <w:t xml:space="preserve">This definition is based on a social model of disability that acknowledges that disability is an evolving concept that hinders their full and effective participation in society on an equal basis with others.  </w:t>
      </w:r>
    </w:p>
    <w:p w14:paraId="5B1655B7" w14:textId="77777777" w:rsidR="006171F5" w:rsidRDefault="006171F5" w:rsidP="00812163"/>
    <w:p w14:paraId="261ABE82" w14:textId="4B9981D3" w:rsidR="00217E25" w:rsidRPr="00854AA8" w:rsidRDefault="00217E25" w:rsidP="00812163">
      <w:r>
        <w:t>Note: this definition is not linked to resourcing for students with disability.</w:t>
      </w:r>
    </w:p>
    <w:p w14:paraId="6B0B3C6B" w14:textId="77777777" w:rsidR="00812163" w:rsidRPr="00663AC1" w:rsidRDefault="00812163" w:rsidP="00812163">
      <w:pPr>
        <w:rPr>
          <w:rFonts w:cs="Calibri"/>
          <w:b/>
          <w:sz w:val="20"/>
        </w:rPr>
      </w:pPr>
    </w:p>
    <w:p w14:paraId="2919C1BE" w14:textId="5951C30A" w:rsidR="00812163" w:rsidRPr="00751B26" w:rsidRDefault="00A73EC6" w:rsidP="00812163">
      <w:pPr>
        <w:rPr>
          <w:rFonts w:cs="Calibri"/>
          <w:b/>
          <w:szCs w:val="24"/>
        </w:rPr>
      </w:pPr>
      <w:r>
        <w:rPr>
          <w:rFonts w:cs="Calibri"/>
          <w:b/>
          <w:szCs w:val="24"/>
        </w:rPr>
        <w:t>The Disability Education Reference Group will:</w:t>
      </w:r>
    </w:p>
    <w:p w14:paraId="5C2A6D04" w14:textId="77777777" w:rsidR="00E4141D" w:rsidRDefault="00E4141D" w:rsidP="00812163">
      <w:pPr>
        <w:numPr>
          <w:ilvl w:val="0"/>
          <w:numId w:val="6"/>
        </w:numPr>
        <w:rPr>
          <w:rFonts w:cs="Calibri"/>
          <w:szCs w:val="24"/>
        </w:rPr>
      </w:pPr>
      <w:r>
        <w:rPr>
          <w:rFonts w:cs="Calibri"/>
          <w:szCs w:val="24"/>
        </w:rPr>
        <w:t>Contribute to the formulation of policy and advice in relation to the education of students with disability in ACT public schools;</w:t>
      </w:r>
    </w:p>
    <w:p w14:paraId="62A507DF" w14:textId="77777777" w:rsidR="00B22B14" w:rsidRDefault="00B22B14" w:rsidP="00812163">
      <w:pPr>
        <w:numPr>
          <w:ilvl w:val="0"/>
          <w:numId w:val="6"/>
        </w:numPr>
        <w:rPr>
          <w:rFonts w:cs="Calibri"/>
          <w:szCs w:val="24"/>
        </w:rPr>
      </w:pPr>
      <w:r>
        <w:rPr>
          <w:rFonts w:cs="Calibri"/>
          <w:szCs w:val="24"/>
        </w:rPr>
        <w:t>Work together in the best interests of students with disability to support an education system that empowers our young people to thrive in ways that foster a democratic, equitable, diverse and prosperous society;</w:t>
      </w:r>
    </w:p>
    <w:p w14:paraId="702BD28C" w14:textId="77777777" w:rsidR="00B22B14" w:rsidRPr="00B22B14" w:rsidRDefault="00B22B14" w:rsidP="00B22B14">
      <w:pPr>
        <w:numPr>
          <w:ilvl w:val="0"/>
          <w:numId w:val="6"/>
        </w:numPr>
        <w:rPr>
          <w:rFonts w:cs="Calibri"/>
          <w:szCs w:val="24"/>
        </w:rPr>
      </w:pPr>
      <w:r>
        <w:rPr>
          <w:rFonts w:cs="Calibri"/>
          <w:szCs w:val="24"/>
        </w:rPr>
        <w:t>P</w:t>
      </w:r>
      <w:r w:rsidRPr="00751B26">
        <w:rPr>
          <w:rFonts w:cs="Calibri"/>
          <w:szCs w:val="24"/>
        </w:rPr>
        <w:t xml:space="preserve">rovide strategic advice to </w:t>
      </w:r>
      <w:r>
        <w:rPr>
          <w:rFonts w:cs="Calibri"/>
          <w:szCs w:val="24"/>
        </w:rPr>
        <w:t>the Education Directorate on issues affecting students with disability;</w:t>
      </w:r>
    </w:p>
    <w:p w14:paraId="5C392B36" w14:textId="77777777" w:rsidR="00A73EC6" w:rsidRPr="00751B26" w:rsidRDefault="00A73EC6" w:rsidP="00812163">
      <w:pPr>
        <w:numPr>
          <w:ilvl w:val="0"/>
          <w:numId w:val="6"/>
        </w:numPr>
        <w:rPr>
          <w:rFonts w:cs="Calibri"/>
          <w:szCs w:val="24"/>
        </w:rPr>
      </w:pPr>
      <w:r>
        <w:rPr>
          <w:rFonts w:cs="Calibri"/>
          <w:szCs w:val="24"/>
        </w:rPr>
        <w:t xml:space="preserve">Foster cooperative linkages with students with disabilities, their families and other unpaid carers, organisations, </w:t>
      </w:r>
      <w:r w:rsidR="00E4141D">
        <w:rPr>
          <w:rFonts w:cs="Calibri"/>
          <w:szCs w:val="24"/>
        </w:rPr>
        <w:t>government and community;</w:t>
      </w:r>
    </w:p>
    <w:p w14:paraId="183B9541" w14:textId="77777777" w:rsidR="00B22B14" w:rsidRPr="00B22B14" w:rsidRDefault="00E4141D" w:rsidP="00B22B14">
      <w:pPr>
        <w:numPr>
          <w:ilvl w:val="0"/>
          <w:numId w:val="6"/>
        </w:numPr>
        <w:rPr>
          <w:rFonts w:cs="Calibri"/>
          <w:szCs w:val="24"/>
        </w:rPr>
      </w:pPr>
      <w:r>
        <w:rPr>
          <w:rFonts w:cs="Calibri"/>
          <w:szCs w:val="24"/>
        </w:rPr>
        <w:t>Share information on projects and initiatives with implications for the education and inclusion of students with disability.</w:t>
      </w:r>
    </w:p>
    <w:p w14:paraId="40D9A1E6" w14:textId="77777777" w:rsidR="00812163" w:rsidRPr="00663AC1" w:rsidRDefault="00812163" w:rsidP="00812163">
      <w:pPr>
        <w:rPr>
          <w:rFonts w:cs="Calibri"/>
          <w:b/>
          <w:sz w:val="20"/>
        </w:rPr>
      </w:pPr>
    </w:p>
    <w:p w14:paraId="7824D2BD" w14:textId="77777777" w:rsidR="00812163" w:rsidRPr="00751B26" w:rsidRDefault="00812163" w:rsidP="00812163">
      <w:pPr>
        <w:rPr>
          <w:rFonts w:cs="Calibri"/>
          <w:b/>
          <w:szCs w:val="24"/>
        </w:rPr>
      </w:pPr>
      <w:bookmarkStart w:id="0" w:name="_Hlk34672304"/>
      <w:r w:rsidRPr="00751B26">
        <w:rPr>
          <w:rFonts w:cs="Calibri"/>
          <w:b/>
          <w:szCs w:val="24"/>
        </w:rPr>
        <w:t>Membership</w:t>
      </w:r>
    </w:p>
    <w:p w14:paraId="37B582DD" w14:textId="0556B64A" w:rsidR="00812163" w:rsidRPr="00751B26" w:rsidRDefault="00812163" w:rsidP="00812163">
      <w:pPr>
        <w:numPr>
          <w:ilvl w:val="0"/>
          <w:numId w:val="7"/>
        </w:numPr>
        <w:rPr>
          <w:rFonts w:cs="Calibri"/>
          <w:szCs w:val="24"/>
        </w:rPr>
      </w:pPr>
      <w:r w:rsidRPr="00751B26">
        <w:rPr>
          <w:rFonts w:cs="Calibri"/>
          <w:szCs w:val="24"/>
        </w:rPr>
        <w:t>Membership of the Reference Group is determined by</w:t>
      </w:r>
      <w:r w:rsidR="00EB2420">
        <w:rPr>
          <w:rFonts w:cs="Calibri"/>
          <w:szCs w:val="24"/>
        </w:rPr>
        <w:t xml:space="preserve"> the Director-General of the Education Directorate and reviewed biennially.</w:t>
      </w:r>
      <w:r w:rsidRPr="00751B26">
        <w:rPr>
          <w:rFonts w:cs="Calibri"/>
          <w:szCs w:val="24"/>
        </w:rPr>
        <w:t xml:space="preserve"> </w:t>
      </w:r>
      <w:r w:rsidR="00EB2420">
        <w:rPr>
          <w:rFonts w:cs="Calibri"/>
          <w:szCs w:val="24"/>
        </w:rPr>
        <w:t xml:space="preserve">Interim adjustments to the membership can be made if </w:t>
      </w:r>
      <w:proofErr w:type="gramStart"/>
      <w:r w:rsidR="00EB2420">
        <w:rPr>
          <w:rFonts w:cs="Calibri"/>
          <w:szCs w:val="24"/>
        </w:rPr>
        <w:t>necessary</w:t>
      </w:r>
      <w:proofErr w:type="gramEnd"/>
      <w:r w:rsidR="00EB2420">
        <w:rPr>
          <w:rFonts w:cs="Calibri"/>
          <w:szCs w:val="24"/>
        </w:rPr>
        <w:t xml:space="preserve"> by the </w:t>
      </w:r>
      <w:r w:rsidR="00EC4540">
        <w:rPr>
          <w:rFonts w:cs="Calibri"/>
          <w:szCs w:val="24"/>
        </w:rPr>
        <w:t xml:space="preserve">Chair </w:t>
      </w:r>
      <w:r w:rsidR="00750984">
        <w:rPr>
          <w:rFonts w:cs="Calibri"/>
          <w:szCs w:val="24"/>
        </w:rPr>
        <w:t>acting as the representative of</w:t>
      </w:r>
      <w:r w:rsidR="00EC4540">
        <w:rPr>
          <w:rFonts w:cs="Calibri"/>
          <w:szCs w:val="24"/>
        </w:rPr>
        <w:t xml:space="preserve"> </w:t>
      </w:r>
      <w:r w:rsidRPr="00751B26">
        <w:rPr>
          <w:rFonts w:cs="Calibri"/>
          <w:szCs w:val="24"/>
        </w:rPr>
        <w:t>the Director-Gener</w:t>
      </w:r>
      <w:r>
        <w:rPr>
          <w:rFonts w:cs="Calibri"/>
          <w:szCs w:val="24"/>
        </w:rPr>
        <w:t>al</w:t>
      </w:r>
      <w:r w:rsidRPr="00751B26">
        <w:rPr>
          <w:rFonts w:cs="Calibri"/>
          <w:szCs w:val="24"/>
        </w:rPr>
        <w:t xml:space="preserve">. </w:t>
      </w:r>
      <w:r w:rsidR="00EB2420">
        <w:rPr>
          <w:rFonts w:cs="Calibri"/>
          <w:szCs w:val="24"/>
        </w:rPr>
        <w:t xml:space="preserve">Any such interim adjustments would be communicated to the Director-General as a part of the Reference Group’s quarterly reporting. </w:t>
      </w:r>
    </w:p>
    <w:p w14:paraId="496A28D5" w14:textId="6A9BEC7A" w:rsidR="00812163" w:rsidRDefault="00812163" w:rsidP="00812163">
      <w:pPr>
        <w:numPr>
          <w:ilvl w:val="0"/>
          <w:numId w:val="7"/>
        </w:numPr>
        <w:rPr>
          <w:rFonts w:cs="Calibri"/>
          <w:szCs w:val="24"/>
        </w:rPr>
      </w:pPr>
      <w:r w:rsidRPr="00751B26">
        <w:rPr>
          <w:rFonts w:cs="Calibri"/>
          <w:szCs w:val="24"/>
        </w:rPr>
        <w:lastRenderedPageBreak/>
        <w:t>Members are invited</w:t>
      </w:r>
      <w:r w:rsidRPr="00751B26">
        <w:rPr>
          <w:rFonts w:cs="Calibri"/>
          <w:color w:val="FF0000"/>
          <w:szCs w:val="24"/>
        </w:rPr>
        <w:t xml:space="preserve"> </w:t>
      </w:r>
      <w:r w:rsidRPr="00751B26">
        <w:rPr>
          <w:rFonts w:cs="Calibri"/>
          <w:szCs w:val="24"/>
        </w:rPr>
        <w:t>from organisations representing</w:t>
      </w:r>
      <w:r w:rsidR="007872ED">
        <w:rPr>
          <w:rFonts w:cs="Calibri"/>
          <w:szCs w:val="24"/>
        </w:rPr>
        <w:t xml:space="preserve"> </w:t>
      </w:r>
      <w:r w:rsidR="00065554">
        <w:rPr>
          <w:rFonts w:cs="Calibri"/>
          <w:szCs w:val="24"/>
        </w:rPr>
        <w:t>students</w:t>
      </w:r>
      <w:r w:rsidR="00B16C1E">
        <w:rPr>
          <w:rFonts w:cs="Calibri"/>
          <w:szCs w:val="24"/>
        </w:rPr>
        <w:t xml:space="preserve">, young people </w:t>
      </w:r>
      <w:r w:rsidR="00065554">
        <w:rPr>
          <w:rFonts w:cs="Calibri"/>
          <w:szCs w:val="24"/>
        </w:rPr>
        <w:t xml:space="preserve">and </w:t>
      </w:r>
      <w:r w:rsidR="007872ED">
        <w:rPr>
          <w:rFonts w:cs="Calibri"/>
          <w:szCs w:val="24"/>
        </w:rPr>
        <w:t>people with disability,</w:t>
      </w:r>
      <w:r w:rsidRPr="00751B26">
        <w:rPr>
          <w:rFonts w:cs="Calibri"/>
          <w:szCs w:val="24"/>
        </w:rPr>
        <w:t xml:space="preserve"> principals, Australian Education Union, parent associations and other government and community organisations involved in the support of people with a disability</w:t>
      </w:r>
      <w:r w:rsidR="00B16C1E">
        <w:rPr>
          <w:rFonts w:cs="Calibri"/>
          <w:szCs w:val="24"/>
        </w:rPr>
        <w:t>,</w:t>
      </w:r>
      <w:r w:rsidRPr="00751B26">
        <w:rPr>
          <w:rFonts w:cs="Calibri"/>
          <w:szCs w:val="24"/>
        </w:rPr>
        <w:t xml:space="preserve"> their families</w:t>
      </w:r>
      <w:r w:rsidR="002C5CE2">
        <w:rPr>
          <w:rFonts w:cs="Calibri"/>
          <w:szCs w:val="24"/>
        </w:rPr>
        <w:t xml:space="preserve"> and allies</w:t>
      </w:r>
      <w:r w:rsidRPr="00751B26">
        <w:rPr>
          <w:rFonts w:cs="Calibri"/>
          <w:szCs w:val="24"/>
        </w:rPr>
        <w:t xml:space="preserve">. </w:t>
      </w:r>
    </w:p>
    <w:bookmarkEnd w:id="0"/>
    <w:p w14:paraId="08AD5756" w14:textId="3C2745FA" w:rsidR="00B22B14" w:rsidDel="00B16C1E" w:rsidRDefault="00B22B14" w:rsidP="00812163">
      <w:pPr>
        <w:numPr>
          <w:ilvl w:val="0"/>
          <w:numId w:val="7"/>
        </w:numPr>
        <w:rPr>
          <w:rFonts w:cs="Calibri"/>
          <w:szCs w:val="24"/>
        </w:rPr>
      </w:pPr>
      <w:r w:rsidDel="00B16C1E">
        <w:rPr>
          <w:rFonts w:cs="Calibri"/>
          <w:szCs w:val="24"/>
        </w:rPr>
        <w:t>The Reference Group is not a representative body but rather an advisory group of people who are able to draw upon valued and relevant perspectives and experience.</w:t>
      </w:r>
    </w:p>
    <w:p w14:paraId="7CFC3D8E" w14:textId="33AF147A" w:rsidR="00B22B14" w:rsidRPr="00751B26" w:rsidRDefault="00B22B14" w:rsidP="00812163">
      <w:pPr>
        <w:numPr>
          <w:ilvl w:val="0"/>
          <w:numId w:val="7"/>
        </w:numPr>
        <w:rPr>
          <w:rFonts w:cs="Calibri"/>
          <w:szCs w:val="24"/>
        </w:rPr>
      </w:pPr>
      <w:r>
        <w:rPr>
          <w:rFonts w:cs="Calibri"/>
          <w:szCs w:val="24"/>
        </w:rPr>
        <w:t>Other individuals with expertise for particular projects or issues may be co-opted as required.</w:t>
      </w:r>
    </w:p>
    <w:p w14:paraId="73D25D14" w14:textId="295F2B9E" w:rsidR="00812163" w:rsidRDefault="00812163" w:rsidP="00812163">
      <w:pPr>
        <w:numPr>
          <w:ilvl w:val="0"/>
          <w:numId w:val="7"/>
        </w:numPr>
        <w:rPr>
          <w:rFonts w:cs="Calibri"/>
          <w:szCs w:val="24"/>
        </w:rPr>
      </w:pPr>
      <w:r w:rsidRPr="00751B26">
        <w:rPr>
          <w:rFonts w:cs="Calibri"/>
          <w:szCs w:val="24"/>
        </w:rPr>
        <w:t xml:space="preserve">Applications </w:t>
      </w:r>
      <w:r w:rsidR="00750984">
        <w:rPr>
          <w:rFonts w:cs="Calibri"/>
          <w:szCs w:val="24"/>
        </w:rPr>
        <w:t>for change</w:t>
      </w:r>
      <w:r w:rsidR="00B16C1E">
        <w:rPr>
          <w:rFonts w:cs="Calibri"/>
          <w:szCs w:val="24"/>
        </w:rPr>
        <w:t>s</w:t>
      </w:r>
      <w:r w:rsidR="00750984">
        <w:rPr>
          <w:rFonts w:cs="Calibri"/>
          <w:szCs w:val="24"/>
        </w:rPr>
        <w:t xml:space="preserve"> to the membership</w:t>
      </w:r>
      <w:r w:rsidR="00EB2420">
        <w:rPr>
          <w:rFonts w:cs="Calibri"/>
          <w:szCs w:val="24"/>
        </w:rPr>
        <w:t xml:space="preserve">, including resignations </w:t>
      </w:r>
      <w:r w:rsidRPr="00751B26">
        <w:rPr>
          <w:rFonts w:cs="Calibri"/>
          <w:szCs w:val="24"/>
        </w:rPr>
        <w:t xml:space="preserve">must be made </w:t>
      </w:r>
      <w:r w:rsidR="00B843D7">
        <w:rPr>
          <w:rFonts w:cs="Calibri"/>
          <w:szCs w:val="24"/>
        </w:rPr>
        <w:t xml:space="preserve">in writing </w:t>
      </w:r>
      <w:r w:rsidRPr="00751B26">
        <w:rPr>
          <w:rFonts w:cs="Calibri"/>
          <w:szCs w:val="24"/>
        </w:rPr>
        <w:t xml:space="preserve">to the </w:t>
      </w:r>
      <w:r w:rsidR="002C5CE2">
        <w:rPr>
          <w:rFonts w:cs="Calibri"/>
          <w:szCs w:val="24"/>
        </w:rPr>
        <w:t>Chair</w:t>
      </w:r>
      <w:r w:rsidR="00EB2420">
        <w:rPr>
          <w:rFonts w:cs="Calibri"/>
          <w:szCs w:val="24"/>
        </w:rPr>
        <w:t xml:space="preserve"> and reported to the Director-General as a part of the Reference Group’s quarterly reporting</w:t>
      </w:r>
      <w:r w:rsidR="00B16C1E">
        <w:rPr>
          <w:rFonts w:cs="Calibri"/>
          <w:szCs w:val="24"/>
        </w:rPr>
        <w:t>.</w:t>
      </w:r>
    </w:p>
    <w:p w14:paraId="1286F6EC" w14:textId="6A517175" w:rsidR="00EB2420" w:rsidRPr="00EB2420" w:rsidRDefault="00812163" w:rsidP="00EB2420">
      <w:pPr>
        <w:numPr>
          <w:ilvl w:val="0"/>
          <w:numId w:val="7"/>
        </w:numPr>
        <w:rPr>
          <w:rFonts w:cs="Calibri"/>
          <w:szCs w:val="24"/>
        </w:rPr>
      </w:pPr>
      <w:r w:rsidRPr="00751B26">
        <w:rPr>
          <w:rFonts w:cs="Calibri"/>
          <w:szCs w:val="24"/>
        </w:rPr>
        <w:t>Members are requested to send a proxy if they are unable to attend.</w:t>
      </w:r>
    </w:p>
    <w:p w14:paraId="0C81BA18" w14:textId="77777777" w:rsidR="00812163" w:rsidRPr="00663AC1" w:rsidRDefault="00812163" w:rsidP="00812163">
      <w:pPr>
        <w:rPr>
          <w:rFonts w:cs="Calibri"/>
          <w:sz w:val="20"/>
        </w:rPr>
      </w:pPr>
    </w:p>
    <w:p w14:paraId="67CCD19B" w14:textId="77777777" w:rsidR="00B22B14" w:rsidRDefault="00B22B14" w:rsidP="00812163">
      <w:pPr>
        <w:rPr>
          <w:rFonts w:cs="Calibri"/>
          <w:b/>
          <w:szCs w:val="24"/>
        </w:rPr>
      </w:pPr>
      <w:r>
        <w:rPr>
          <w:rFonts w:cs="Calibri"/>
          <w:b/>
          <w:szCs w:val="24"/>
        </w:rPr>
        <w:t>Chair</w:t>
      </w:r>
    </w:p>
    <w:p w14:paraId="37920B90" w14:textId="4D8EF6B3" w:rsidR="00B22B14" w:rsidRDefault="00B22B14" w:rsidP="006369B0">
      <w:pPr>
        <w:numPr>
          <w:ilvl w:val="0"/>
          <w:numId w:val="7"/>
        </w:numPr>
        <w:rPr>
          <w:rFonts w:cs="Calibri"/>
          <w:szCs w:val="24"/>
        </w:rPr>
      </w:pPr>
      <w:r w:rsidRPr="003D20CF">
        <w:rPr>
          <w:rFonts w:cs="Calibri"/>
          <w:szCs w:val="24"/>
        </w:rPr>
        <w:t xml:space="preserve">The </w:t>
      </w:r>
      <w:r>
        <w:rPr>
          <w:rFonts w:cs="Calibri"/>
          <w:szCs w:val="24"/>
        </w:rPr>
        <w:t xml:space="preserve">Reference Group is chaired by </w:t>
      </w:r>
      <w:r w:rsidR="00F55FA1">
        <w:rPr>
          <w:rFonts w:cs="Calibri"/>
          <w:szCs w:val="24"/>
        </w:rPr>
        <w:t>an</w:t>
      </w:r>
      <w:r>
        <w:rPr>
          <w:rFonts w:cs="Calibri"/>
          <w:szCs w:val="24"/>
        </w:rPr>
        <w:t xml:space="preserve"> Education Directorate</w:t>
      </w:r>
      <w:r w:rsidR="00065554">
        <w:rPr>
          <w:rFonts w:cs="Calibri"/>
          <w:szCs w:val="24"/>
        </w:rPr>
        <w:t xml:space="preserve"> Executive</w:t>
      </w:r>
      <w:r>
        <w:rPr>
          <w:rFonts w:cs="Calibri"/>
          <w:szCs w:val="24"/>
        </w:rPr>
        <w:t>.</w:t>
      </w:r>
    </w:p>
    <w:p w14:paraId="7DC2FD1F" w14:textId="5A04D567" w:rsidR="006369B0" w:rsidDel="00B16C1E" w:rsidRDefault="006369B0" w:rsidP="006369B0">
      <w:pPr>
        <w:numPr>
          <w:ilvl w:val="0"/>
          <w:numId w:val="7"/>
        </w:numPr>
        <w:rPr>
          <w:rFonts w:cs="Calibri"/>
          <w:szCs w:val="24"/>
        </w:rPr>
      </w:pPr>
      <w:r w:rsidRPr="006369B0" w:rsidDel="00B16C1E">
        <w:rPr>
          <w:rFonts w:cs="Calibri"/>
          <w:szCs w:val="24"/>
        </w:rPr>
        <w:t xml:space="preserve">The Minister of Education </w:t>
      </w:r>
      <w:r w:rsidR="00B843D7">
        <w:rPr>
          <w:rFonts w:cs="Calibri"/>
          <w:szCs w:val="24"/>
        </w:rPr>
        <w:t>and/or Director</w:t>
      </w:r>
      <w:r w:rsidR="00482D4C">
        <w:rPr>
          <w:rFonts w:cs="Calibri"/>
          <w:szCs w:val="24"/>
        </w:rPr>
        <w:t>-</w:t>
      </w:r>
      <w:r w:rsidR="00B843D7">
        <w:rPr>
          <w:rFonts w:cs="Calibri"/>
          <w:szCs w:val="24"/>
        </w:rPr>
        <w:t xml:space="preserve">General of the Education Directorate </w:t>
      </w:r>
      <w:r w:rsidRPr="006369B0" w:rsidDel="00B16C1E">
        <w:rPr>
          <w:rFonts w:cs="Calibri"/>
          <w:szCs w:val="24"/>
        </w:rPr>
        <w:t>will be invited to Chair</w:t>
      </w:r>
      <w:r w:rsidR="00B843D7">
        <w:rPr>
          <w:rFonts w:cs="Calibri"/>
          <w:szCs w:val="24"/>
        </w:rPr>
        <w:t>/attend one</w:t>
      </w:r>
      <w:r w:rsidRPr="006369B0" w:rsidDel="00B16C1E">
        <w:rPr>
          <w:rFonts w:cs="Calibri"/>
          <w:szCs w:val="24"/>
        </w:rPr>
        <w:t xml:space="preserve"> meeting each year.</w:t>
      </w:r>
    </w:p>
    <w:p w14:paraId="78D26E7F" w14:textId="77777777" w:rsidR="00B22B14" w:rsidRPr="003D20CF" w:rsidRDefault="00B22B14" w:rsidP="00B22B14">
      <w:pPr>
        <w:rPr>
          <w:rFonts w:cs="Calibri"/>
          <w:szCs w:val="24"/>
        </w:rPr>
      </w:pPr>
    </w:p>
    <w:p w14:paraId="3BE60083" w14:textId="77777777" w:rsidR="00812163" w:rsidRPr="00751B26" w:rsidRDefault="00812163" w:rsidP="00812163">
      <w:pPr>
        <w:rPr>
          <w:rFonts w:cs="Calibri"/>
          <w:b/>
          <w:szCs w:val="24"/>
        </w:rPr>
      </w:pPr>
      <w:r w:rsidRPr="00751B26">
        <w:rPr>
          <w:rFonts w:cs="Calibri"/>
          <w:b/>
          <w:szCs w:val="24"/>
        </w:rPr>
        <w:t>Meetings</w:t>
      </w:r>
    </w:p>
    <w:p w14:paraId="01AE7D88" w14:textId="067BA9AA" w:rsidR="00812163" w:rsidRPr="00751B26" w:rsidRDefault="00812163" w:rsidP="00812163">
      <w:pPr>
        <w:numPr>
          <w:ilvl w:val="0"/>
          <w:numId w:val="7"/>
        </w:numPr>
        <w:rPr>
          <w:rFonts w:cs="Calibri"/>
          <w:szCs w:val="24"/>
        </w:rPr>
      </w:pPr>
      <w:r w:rsidRPr="00751B26">
        <w:rPr>
          <w:rFonts w:cs="Calibri"/>
          <w:szCs w:val="24"/>
        </w:rPr>
        <w:t xml:space="preserve">The Reference Group </w:t>
      </w:r>
      <w:r w:rsidR="00A73EC6">
        <w:rPr>
          <w:rFonts w:cs="Calibri"/>
          <w:szCs w:val="24"/>
        </w:rPr>
        <w:t>meets</w:t>
      </w:r>
      <w:r w:rsidRPr="00751B26">
        <w:rPr>
          <w:rFonts w:cs="Calibri"/>
          <w:szCs w:val="24"/>
        </w:rPr>
        <w:t xml:space="preserve"> </w:t>
      </w:r>
      <w:r w:rsidR="00A73EC6">
        <w:rPr>
          <w:rFonts w:cs="Calibri"/>
          <w:szCs w:val="24"/>
        </w:rPr>
        <w:t>four</w:t>
      </w:r>
      <w:r w:rsidRPr="00751B26">
        <w:rPr>
          <w:rFonts w:cs="Calibri"/>
          <w:szCs w:val="24"/>
        </w:rPr>
        <w:t xml:space="preserve"> times per year.</w:t>
      </w:r>
    </w:p>
    <w:p w14:paraId="6F2B52D1" w14:textId="1A6271C9" w:rsidR="006171F5" w:rsidRDefault="00812163" w:rsidP="006171F5">
      <w:pPr>
        <w:numPr>
          <w:ilvl w:val="0"/>
          <w:numId w:val="7"/>
        </w:numPr>
        <w:rPr>
          <w:rFonts w:cs="Calibri"/>
          <w:szCs w:val="24"/>
        </w:rPr>
      </w:pPr>
      <w:r w:rsidRPr="00751B26">
        <w:rPr>
          <w:rFonts w:cs="Calibri"/>
          <w:szCs w:val="24"/>
        </w:rPr>
        <w:t xml:space="preserve">The Reference Group may appoint a </w:t>
      </w:r>
      <w:r w:rsidR="00A73EC6">
        <w:rPr>
          <w:rFonts w:cs="Calibri"/>
          <w:szCs w:val="24"/>
        </w:rPr>
        <w:t xml:space="preserve">time-limited </w:t>
      </w:r>
      <w:r w:rsidRPr="00751B26">
        <w:rPr>
          <w:rFonts w:cs="Calibri"/>
          <w:szCs w:val="24"/>
        </w:rPr>
        <w:t>working group to address specific issues between sessions and working groups will report to the Reference Group.</w:t>
      </w:r>
    </w:p>
    <w:p w14:paraId="6F06716D" w14:textId="40FE4424" w:rsidR="00812163" w:rsidRDefault="00F55FA1" w:rsidP="006171F5">
      <w:pPr>
        <w:numPr>
          <w:ilvl w:val="0"/>
          <w:numId w:val="7"/>
        </w:numPr>
        <w:rPr>
          <w:rFonts w:cs="Calibri"/>
          <w:szCs w:val="24"/>
        </w:rPr>
      </w:pPr>
      <w:r>
        <w:rPr>
          <w:rFonts w:cs="Calibri"/>
          <w:szCs w:val="24"/>
        </w:rPr>
        <w:t>Following each quarterly meeting, t</w:t>
      </w:r>
      <w:r w:rsidR="00812163" w:rsidRPr="006171F5">
        <w:rPr>
          <w:rFonts w:cs="Calibri"/>
          <w:szCs w:val="24"/>
        </w:rPr>
        <w:t xml:space="preserve">he Reference Group will report </w:t>
      </w:r>
      <w:r>
        <w:rPr>
          <w:rFonts w:cs="Calibri"/>
          <w:szCs w:val="24"/>
        </w:rPr>
        <w:t xml:space="preserve">the topics discussed </w:t>
      </w:r>
      <w:r w:rsidR="00812163" w:rsidRPr="006171F5">
        <w:rPr>
          <w:rFonts w:cs="Calibri"/>
          <w:szCs w:val="24"/>
        </w:rPr>
        <w:t>to the Director-General</w:t>
      </w:r>
      <w:r>
        <w:rPr>
          <w:rFonts w:cs="Calibri"/>
          <w:szCs w:val="24"/>
        </w:rPr>
        <w:t xml:space="preserve">, the </w:t>
      </w:r>
      <w:r w:rsidR="009544CB">
        <w:rPr>
          <w:rFonts w:cs="Calibri"/>
          <w:szCs w:val="24"/>
        </w:rPr>
        <w:t xml:space="preserve">Minister </w:t>
      </w:r>
      <w:r>
        <w:rPr>
          <w:rFonts w:cs="Calibri"/>
          <w:szCs w:val="24"/>
        </w:rPr>
        <w:t xml:space="preserve">and </w:t>
      </w:r>
      <w:r w:rsidR="00B16C1E">
        <w:rPr>
          <w:rFonts w:cs="Calibri"/>
          <w:szCs w:val="24"/>
        </w:rPr>
        <w:t xml:space="preserve">the public </w:t>
      </w:r>
      <w:r>
        <w:rPr>
          <w:rFonts w:cs="Calibri"/>
          <w:szCs w:val="24"/>
        </w:rPr>
        <w:t xml:space="preserve">through a </w:t>
      </w:r>
      <w:r w:rsidR="00750984">
        <w:rPr>
          <w:rFonts w:cs="Calibri"/>
          <w:szCs w:val="24"/>
        </w:rPr>
        <w:t xml:space="preserve">Communiqué </w:t>
      </w:r>
      <w:r>
        <w:rPr>
          <w:rFonts w:cs="Calibri"/>
          <w:szCs w:val="24"/>
        </w:rPr>
        <w:t>on the Education Directorate website</w:t>
      </w:r>
      <w:r w:rsidR="00B16C1E">
        <w:rPr>
          <w:rFonts w:cs="Calibri"/>
          <w:szCs w:val="24"/>
        </w:rPr>
        <w:t>.</w:t>
      </w:r>
    </w:p>
    <w:p w14:paraId="653A5C21" w14:textId="77777777" w:rsidR="00812163" w:rsidRPr="00663AC1" w:rsidRDefault="00812163" w:rsidP="00812163">
      <w:pPr>
        <w:rPr>
          <w:rFonts w:cs="Calibri"/>
          <w:b/>
          <w:sz w:val="20"/>
        </w:rPr>
      </w:pPr>
    </w:p>
    <w:p w14:paraId="0AED4FCF" w14:textId="77777777" w:rsidR="00812163" w:rsidRPr="00751B26" w:rsidRDefault="00812163" w:rsidP="00812163">
      <w:pPr>
        <w:rPr>
          <w:rFonts w:cs="Calibri"/>
          <w:b/>
        </w:rPr>
      </w:pPr>
      <w:r w:rsidRPr="00751B26">
        <w:rPr>
          <w:rFonts w:cs="Calibri"/>
          <w:b/>
        </w:rPr>
        <w:t>Secretariat</w:t>
      </w:r>
    </w:p>
    <w:p w14:paraId="4D1B684D" w14:textId="3C214869" w:rsidR="00591985" w:rsidRDefault="00812163" w:rsidP="00735D2A">
      <w:pPr>
        <w:rPr>
          <w:rFonts w:cs="Calibri"/>
        </w:rPr>
      </w:pPr>
      <w:r>
        <w:rPr>
          <w:rFonts w:cs="Calibri"/>
        </w:rPr>
        <w:t xml:space="preserve">The Education </w:t>
      </w:r>
      <w:r w:rsidRPr="00751B26">
        <w:rPr>
          <w:rFonts w:cs="Calibri"/>
        </w:rPr>
        <w:t>Directorate provides secretariat and advisory assistance to the</w:t>
      </w:r>
      <w:r w:rsidR="00AF1D98">
        <w:rPr>
          <w:rFonts w:cs="Calibri"/>
        </w:rPr>
        <w:t xml:space="preserve"> Reference</w:t>
      </w:r>
      <w:r w:rsidRPr="00751B26">
        <w:rPr>
          <w:rFonts w:cs="Calibri"/>
        </w:rPr>
        <w:t xml:space="preserve"> Group.</w:t>
      </w:r>
      <w:r w:rsidR="0048195D">
        <w:rPr>
          <w:rFonts w:cs="Calibri"/>
        </w:rPr>
        <w:t xml:space="preserve"> Meeting agenda</w:t>
      </w:r>
      <w:r w:rsidR="005C552B">
        <w:rPr>
          <w:rFonts w:cs="Calibri"/>
        </w:rPr>
        <w:t>s</w:t>
      </w:r>
      <w:r w:rsidR="0048195D">
        <w:rPr>
          <w:rFonts w:cs="Calibri"/>
        </w:rPr>
        <w:t xml:space="preserve"> will be developed in consultation with members.  A final agenda and papers will be circulated one week prior to the meeting. Minutes and actions arising will be distributed within two weeks of each meeting.</w:t>
      </w:r>
    </w:p>
    <w:p w14:paraId="2F7D4357" w14:textId="77777777" w:rsidR="0048195D" w:rsidRDefault="0048195D" w:rsidP="00735D2A">
      <w:pPr>
        <w:rPr>
          <w:rFonts w:cs="Calibri"/>
        </w:rPr>
      </w:pPr>
    </w:p>
    <w:p w14:paraId="738D33A0" w14:textId="77777777" w:rsidR="0048195D" w:rsidRDefault="0048195D" w:rsidP="00735D2A">
      <w:pPr>
        <w:rPr>
          <w:rFonts w:cs="Calibri"/>
          <w:b/>
        </w:rPr>
      </w:pPr>
      <w:r>
        <w:rPr>
          <w:rFonts w:cs="Calibri"/>
          <w:b/>
        </w:rPr>
        <w:t>Confidentiality</w:t>
      </w:r>
    </w:p>
    <w:p w14:paraId="0B0264DC" w14:textId="77777777" w:rsidR="00761112" w:rsidRDefault="008C3CF9" w:rsidP="00735D2A">
      <w:pPr>
        <w:rPr>
          <w:rFonts w:cs="Calibri"/>
        </w:rPr>
      </w:pPr>
      <w:r>
        <w:rPr>
          <w:rFonts w:cs="Calibri"/>
        </w:rPr>
        <w:t>In general, m</w:t>
      </w:r>
      <w:r w:rsidR="00761112">
        <w:rPr>
          <w:rFonts w:cs="Calibri"/>
        </w:rPr>
        <w:t>eeting papers and minutes are generally not for furth</w:t>
      </w:r>
      <w:r>
        <w:rPr>
          <w:rFonts w:cs="Calibri"/>
        </w:rPr>
        <w:t>er distribution beyond members and their</w:t>
      </w:r>
      <w:r w:rsidR="00761112">
        <w:rPr>
          <w:rFonts w:cs="Calibri"/>
        </w:rPr>
        <w:t xml:space="preserve"> </w:t>
      </w:r>
      <w:r>
        <w:rPr>
          <w:rFonts w:cs="Calibri"/>
        </w:rPr>
        <w:t>parent organisation.</w:t>
      </w:r>
      <w:r w:rsidR="00761112">
        <w:rPr>
          <w:rFonts w:cs="Calibri"/>
        </w:rPr>
        <w:t xml:space="preserve"> </w:t>
      </w:r>
    </w:p>
    <w:p w14:paraId="75E3F667" w14:textId="77777777" w:rsidR="00761112" w:rsidRDefault="00761112" w:rsidP="00735D2A">
      <w:pPr>
        <w:rPr>
          <w:rFonts w:cs="Calibri"/>
        </w:rPr>
      </w:pPr>
    </w:p>
    <w:p w14:paraId="4570CD3F" w14:textId="77777777" w:rsidR="00761112" w:rsidRDefault="008C3CF9" w:rsidP="00735D2A">
      <w:pPr>
        <w:rPr>
          <w:rFonts w:cs="Calibri"/>
        </w:rPr>
      </w:pPr>
      <w:r>
        <w:rPr>
          <w:rFonts w:cs="Calibri"/>
        </w:rPr>
        <w:t xml:space="preserve">There may be times, however, that specific discussions require </w:t>
      </w:r>
      <w:r w:rsidR="00761112">
        <w:rPr>
          <w:rFonts w:cs="Calibri"/>
        </w:rPr>
        <w:t xml:space="preserve">a higher degree of confidentiality. Where this is the case, the Directorate will highlight the highly confidential nature of the topic </w:t>
      </w:r>
      <w:r w:rsidR="002E1CD3">
        <w:rPr>
          <w:rFonts w:cs="Calibri"/>
        </w:rPr>
        <w:t>and request that</w:t>
      </w:r>
      <w:r w:rsidR="00761112">
        <w:rPr>
          <w:rFonts w:cs="Calibri"/>
        </w:rPr>
        <w:t xml:space="preserve"> details of the disc</w:t>
      </w:r>
      <w:r>
        <w:rPr>
          <w:rFonts w:cs="Calibri"/>
        </w:rPr>
        <w:t>ussion are not shared with any parties outside the room.</w:t>
      </w:r>
    </w:p>
    <w:p w14:paraId="137EBF3C" w14:textId="77777777" w:rsidR="00761112" w:rsidRDefault="00761112" w:rsidP="00735D2A">
      <w:pPr>
        <w:rPr>
          <w:rFonts w:cs="Calibri"/>
        </w:rPr>
      </w:pPr>
    </w:p>
    <w:p w14:paraId="007B1002" w14:textId="77777777" w:rsidR="00B811E7" w:rsidRDefault="00B811E7" w:rsidP="00735D2A">
      <w:pPr>
        <w:rPr>
          <w:rFonts w:cs="Calibri"/>
        </w:rPr>
      </w:pPr>
    </w:p>
    <w:p w14:paraId="0C21BA7A" w14:textId="77777777" w:rsidR="00B811E7" w:rsidRPr="0048195D" w:rsidRDefault="00B811E7" w:rsidP="00735D2A"/>
    <w:sectPr w:rsidR="00B811E7" w:rsidRPr="0048195D" w:rsidSect="00C1219E">
      <w:headerReference w:type="first" r:id="rId8"/>
      <w:footerReference w:type="first" r:id="rId9"/>
      <w:pgSz w:w="11900" w:h="16840"/>
      <w:pgMar w:top="1783" w:right="1418" w:bottom="1418" w:left="2127" w:header="709" w:footer="45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0C177" w14:textId="77777777" w:rsidR="00A44679" w:rsidRDefault="00A44679">
      <w:r>
        <w:separator/>
      </w:r>
    </w:p>
  </w:endnote>
  <w:endnote w:type="continuationSeparator" w:id="0">
    <w:p w14:paraId="55DF6002" w14:textId="77777777" w:rsidR="00A44679" w:rsidRDefault="00A4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E0D3E" w14:textId="77777777" w:rsidR="002C5FA7" w:rsidRDefault="002C5FA7" w:rsidP="00AD0EB0">
    <w:pPr>
      <w:pStyle w:val="Header"/>
      <w:ind w:left="-1134" w:right="-289"/>
      <w:rPr>
        <w:sz w:val="16"/>
      </w:rPr>
    </w:pPr>
  </w:p>
  <w:p w14:paraId="1B0EE65B" w14:textId="77777777" w:rsidR="002C5FA7" w:rsidRDefault="002C5FA7" w:rsidP="005829D3">
    <w:pPr>
      <w:jc w:val="center"/>
      <w:rPr>
        <w:b/>
        <w:sz w:val="18"/>
        <w:szCs w:val="18"/>
        <w:lang w:val="it-IT"/>
      </w:rPr>
    </w:pPr>
    <w:r>
      <w:rPr>
        <w:b/>
        <w:sz w:val="18"/>
        <w:szCs w:val="18"/>
        <w:lang w:val="it-IT"/>
      </w:rPr>
      <w:t>GPO Box 158 Canberra ACT 2601  |  phone: 132281  |  www.act.gov.au</w:t>
    </w:r>
  </w:p>
  <w:p w14:paraId="25A7FAF1" w14:textId="77777777" w:rsidR="002C5FA7" w:rsidRPr="00E266B3" w:rsidRDefault="002C5FA7" w:rsidP="00E266B3">
    <w:pPr>
      <w:pStyle w:val="Header"/>
      <w:tabs>
        <w:tab w:val="left" w:pos="993"/>
      </w:tabs>
      <w:spacing w:before="120"/>
      <w:ind w:right="-289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B9212" w14:textId="77777777" w:rsidR="00A44679" w:rsidRDefault="00A44679">
      <w:r>
        <w:separator/>
      </w:r>
    </w:p>
  </w:footnote>
  <w:footnote w:type="continuationSeparator" w:id="0">
    <w:p w14:paraId="4DA14DF6" w14:textId="77777777" w:rsidR="00A44679" w:rsidRDefault="00A44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14A70" w14:textId="0822C968" w:rsidR="00C1219E" w:rsidRDefault="00C1219E" w:rsidP="00C1219E">
    <w:pPr>
      <w:pStyle w:val="Header"/>
      <w:ind w:left="-1134"/>
      <w:jc w:val="left"/>
    </w:pPr>
    <w:r>
      <w:rPr>
        <w:noProof/>
        <w:lang w:eastAsia="en-AU"/>
      </w:rPr>
      <w:drawing>
        <wp:inline distT="0" distB="0" distL="0" distR="0" wp14:anchorId="56D48CE0" wp14:editId="332D48DD">
          <wp:extent cx="1390015" cy="713105"/>
          <wp:effectExtent l="0" t="0" r="635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65C85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916DC"/>
    <w:multiLevelType w:val="hybridMultilevel"/>
    <w:tmpl w:val="3E688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C21B2"/>
    <w:multiLevelType w:val="hybridMultilevel"/>
    <w:tmpl w:val="DB2CC852"/>
    <w:lvl w:ilvl="0" w:tplc="F3803DE4">
      <w:start w:val="7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C4746"/>
    <w:multiLevelType w:val="hybridMultilevel"/>
    <w:tmpl w:val="355EB4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57EF1"/>
    <w:multiLevelType w:val="hybridMultilevel"/>
    <w:tmpl w:val="55E227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80969"/>
    <w:multiLevelType w:val="hybridMultilevel"/>
    <w:tmpl w:val="4BE89300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6417852"/>
    <w:multiLevelType w:val="hybridMultilevel"/>
    <w:tmpl w:val="4AA86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42CCC"/>
    <w:multiLevelType w:val="hybridMultilevel"/>
    <w:tmpl w:val="98FC99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AU" w:vendorID="6" w:dllVersion="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a3a3a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6DB"/>
    <w:rsid w:val="000522E9"/>
    <w:rsid w:val="00065554"/>
    <w:rsid w:val="000719BE"/>
    <w:rsid w:val="000C05C1"/>
    <w:rsid w:val="000E5A7D"/>
    <w:rsid w:val="00196036"/>
    <w:rsid w:val="001B1BC5"/>
    <w:rsid w:val="001D63EF"/>
    <w:rsid w:val="001F4323"/>
    <w:rsid w:val="00212F8A"/>
    <w:rsid w:val="00217E25"/>
    <w:rsid w:val="002316A5"/>
    <w:rsid w:val="00236F9A"/>
    <w:rsid w:val="002C5CE2"/>
    <w:rsid w:val="002C5FA7"/>
    <w:rsid w:val="002D7BB0"/>
    <w:rsid w:val="002E1CD3"/>
    <w:rsid w:val="00314487"/>
    <w:rsid w:val="003416DB"/>
    <w:rsid w:val="00366ED6"/>
    <w:rsid w:val="003C4787"/>
    <w:rsid w:val="003D20CF"/>
    <w:rsid w:val="003E1C15"/>
    <w:rsid w:val="00407CAF"/>
    <w:rsid w:val="00462752"/>
    <w:rsid w:val="0048195D"/>
    <w:rsid w:val="00482D4C"/>
    <w:rsid w:val="00490D31"/>
    <w:rsid w:val="004932CB"/>
    <w:rsid w:val="004B1B69"/>
    <w:rsid w:val="0050055A"/>
    <w:rsid w:val="00533344"/>
    <w:rsid w:val="005437EA"/>
    <w:rsid w:val="005829D3"/>
    <w:rsid w:val="00591985"/>
    <w:rsid w:val="005C552B"/>
    <w:rsid w:val="005D2E9A"/>
    <w:rsid w:val="006114F4"/>
    <w:rsid w:val="006171F5"/>
    <w:rsid w:val="006354F7"/>
    <w:rsid w:val="006369B0"/>
    <w:rsid w:val="006556E6"/>
    <w:rsid w:val="0065738E"/>
    <w:rsid w:val="00664CCF"/>
    <w:rsid w:val="00665F32"/>
    <w:rsid w:val="006A6CB4"/>
    <w:rsid w:val="006B699F"/>
    <w:rsid w:val="006D163D"/>
    <w:rsid w:val="006D5972"/>
    <w:rsid w:val="00711996"/>
    <w:rsid w:val="0071527B"/>
    <w:rsid w:val="00726002"/>
    <w:rsid w:val="00730133"/>
    <w:rsid w:val="00734212"/>
    <w:rsid w:val="00735D2A"/>
    <w:rsid w:val="00750984"/>
    <w:rsid w:val="0075294C"/>
    <w:rsid w:val="00754772"/>
    <w:rsid w:val="00761112"/>
    <w:rsid w:val="007838C5"/>
    <w:rsid w:val="007872ED"/>
    <w:rsid w:val="00787A1B"/>
    <w:rsid w:val="00793089"/>
    <w:rsid w:val="007C01D4"/>
    <w:rsid w:val="007F27F2"/>
    <w:rsid w:val="00812163"/>
    <w:rsid w:val="0083135F"/>
    <w:rsid w:val="00833AD9"/>
    <w:rsid w:val="00854AA8"/>
    <w:rsid w:val="008C3CF9"/>
    <w:rsid w:val="008C59C8"/>
    <w:rsid w:val="008D43F8"/>
    <w:rsid w:val="008F308E"/>
    <w:rsid w:val="00912BFE"/>
    <w:rsid w:val="009242D0"/>
    <w:rsid w:val="00930297"/>
    <w:rsid w:val="00946497"/>
    <w:rsid w:val="009544CB"/>
    <w:rsid w:val="009A239C"/>
    <w:rsid w:val="009D3CAE"/>
    <w:rsid w:val="009E26EA"/>
    <w:rsid w:val="00A06C6A"/>
    <w:rsid w:val="00A2055E"/>
    <w:rsid w:val="00A36EA6"/>
    <w:rsid w:val="00A44679"/>
    <w:rsid w:val="00A73EC6"/>
    <w:rsid w:val="00A86AE1"/>
    <w:rsid w:val="00AB7B02"/>
    <w:rsid w:val="00AC6158"/>
    <w:rsid w:val="00AD0EB0"/>
    <w:rsid w:val="00AF1D98"/>
    <w:rsid w:val="00B010D3"/>
    <w:rsid w:val="00B07364"/>
    <w:rsid w:val="00B16C1E"/>
    <w:rsid w:val="00B22B14"/>
    <w:rsid w:val="00B23134"/>
    <w:rsid w:val="00B811E7"/>
    <w:rsid w:val="00B843D7"/>
    <w:rsid w:val="00B84609"/>
    <w:rsid w:val="00BB7440"/>
    <w:rsid w:val="00BD5A20"/>
    <w:rsid w:val="00BF672B"/>
    <w:rsid w:val="00C1219E"/>
    <w:rsid w:val="00C42710"/>
    <w:rsid w:val="00C8286D"/>
    <w:rsid w:val="00C84AA2"/>
    <w:rsid w:val="00CB2134"/>
    <w:rsid w:val="00CC36E8"/>
    <w:rsid w:val="00CF703D"/>
    <w:rsid w:val="00D146BA"/>
    <w:rsid w:val="00D354E8"/>
    <w:rsid w:val="00D62941"/>
    <w:rsid w:val="00D93D10"/>
    <w:rsid w:val="00DD6B52"/>
    <w:rsid w:val="00E1462A"/>
    <w:rsid w:val="00E266B3"/>
    <w:rsid w:val="00E4141D"/>
    <w:rsid w:val="00E53F3E"/>
    <w:rsid w:val="00E56294"/>
    <w:rsid w:val="00E56324"/>
    <w:rsid w:val="00E8722C"/>
    <w:rsid w:val="00E90BC6"/>
    <w:rsid w:val="00EB2420"/>
    <w:rsid w:val="00EC4540"/>
    <w:rsid w:val="00EC4B98"/>
    <w:rsid w:val="00EC6002"/>
    <w:rsid w:val="00ED05EE"/>
    <w:rsid w:val="00ED5DC4"/>
    <w:rsid w:val="00EE051E"/>
    <w:rsid w:val="00F42559"/>
    <w:rsid w:val="00F50DAA"/>
    <w:rsid w:val="00F55FA1"/>
    <w:rsid w:val="00FD5612"/>
    <w:rsid w:val="00FE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a3a3a3"/>
    </o:shapedefaults>
    <o:shapelayout v:ext="edit">
      <o:idmap v:ext="edit" data="1"/>
    </o:shapelayout>
  </w:shapeDefaults>
  <w:decimalSymbol w:val="."/>
  <w:listSeparator w:val=","/>
  <w14:docId w14:val="210B2BA7"/>
  <w15:docId w15:val="{9B9D27FE-8524-44D7-A875-BB21853D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3AD9"/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qFormat/>
    <w:rsid w:val="00833AD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33AD9"/>
    <w:pPr>
      <w:keepNext/>
      <w:outlineLvl w:val="1"/>
    </w:pPr>
    <w:rPr>
      <w:rFonts w:eastAsia="Times New Roman"/>
      <w:b/>
      <w:sz w:val="28"/>
      <w:lang w:val="en-US"/>
    </w:rPr>
  </w:style>
  <w:style w:type="paragraph" w:styleId="Heading3">
    <w:name w:val="heading 3"/>
    <w:basedOn w:val="Normal"/>
    <w:next w:val="Normal"/>
    <w:qFormat/>
    <w:rsid w:val="00833AD9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3AD9"/>
    <w:pPr>
      <w:tabs>
        <w:tab w:val="center" w:pos="4320"/>
        <w:tab w:val="right" w:pos="8640"/>
      </w:tabs>
      <w:spacing w:before="240"/>
      <w:jc w:val="right"/>
    </w:pPr>
    <w:rPr>
      <w:b/>
      <w:sz w:val="18"/>
    </w:rPr>
  </w:style>
  <w:style w:type="paragraph" w:styleId="Footer">
    <w:name w:val="footer"/>
    <w:basedOn w:val="Normal"/>
    <w:rsid w:val="00833AD9"/>
    <w:pPr>
      <w:tabs>
        <w:tab w:val="center" w:pos="4320"/>
        <w:tab w:val="right" w:pos="8640"/>
      </w:tabs>
    </w:pPr>
    <w:rPr>
      <w:sz w:val="18"/>
    </w:rPr>
  </w:style>
  <w:style w:type="character" w:styleId="Hyperlink">
    <w:name w:val="Hyperlink"/>
    <w:rsid w:val="00833AD9"/>
    <w:rPr>
      <w:rFonts w:ascii="Calibri" w:hAnsi="Calibri"/>
      <w:color w:val="0000FF"/>
      <w:u w:val="single"/>
    </w:rPr>
  </w:style>
  <w:style w:type="character" w:styleId="FollowedHyperlink">
    <w:name w:val="FollowedHyperlink"/>
    <w:rsid w:val="00833AD9"/>
    <w:rPr>
      <w:rFonts w:ascii="Calibri" w:hAnsi="Calibri"/>
      <w:color w:val="800080"/>
      <w:sz w:val="24"/>
      <w:u w:val="single"/>
    </w:rPr>
  </w:style>
  <w:style w:type="paragraph" w:styleId="BodyText">
    <w:name w:val="Body Text"/>
    <w:basedOn w:val="Normal"/>
    <w:rsid w:val="00833AD9"/>
    <w:pPr>
      <w:keepNext/>
      <w:keepLines/>
    </w:pPr>
    <w:rPr>
      <w:rFonts w:eastAsia="Times New Roman"/>
      <w:lang w:val="en-US"/>
    </w:rPr>
  </w:style>
  <w:style w:type="table" w:styleId="TableGrid">
    <w:name w:val="Table Grid"/>
    <w:basedOn w:val="TableNormal"/>
    <w:rsid w:val="00833AD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3344"/>
    <w:rPr>
      <w:rFonts w:ascii="Tahoma" w:hAnsi="Tahoma" w:cs="Tahoma"/>
      <w:sz w:val="16"/>
      <w:szCs w:val="16"/>
    </w:rPr>
  </w:style>
  <w:style w:type="paragraph" w:customStyle="1" w:styleId="Division">
    <w:name w:val="Division"/>
    <w:basedOn w:val="Header"/>
    <w:rsid w:val="00833AD9"/>
    <w:pPr>
      <w:spacing w:before="120"/>
      <w:ind w:left="-1134" w:right="-289"/>
      <w:jc w:val="left"/>
    </w:pPr>
    <w:rPr>
      <w:sz w:val="20"/>
    </w:rPr>
  </w:style>
  <w:style w:type="paragraph" w:customStyle="1" w:styleId="Style0">
    <w:name w:val="Style0"/>
    <w:rsid w:val="00F50DA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50DAA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854AA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54AA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54AA8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4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4AA8"/>
    <w:rPr>
      <w:rFonts w:ascii="Calibri" w:hAnsi="Calibri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54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53F98-6C78-403C-8183-66A060D5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670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and Training Letter</vt:lpstr>
    </vt:vector>
  </TitlesOfParts>
  <Company>ACT Government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and Training Letter</dc:title>
  <dc:creator>sowchan power</dc:creator>
  <cp:keywords>ACT Government, letterhead, black and white</cp:keywords>
  <cp:lastModifiedBy>Spinks, Jacinta</cp:lastModifiedBy>
  <cp:revision>3</cp:revision>
  <cp:lastPrinted>2021-02-23T22:53:00Z</cp:lastPrinted>
  <dcterms:created xsi:type="dcterms:W3CDTF">2021-02-23T22:52:00Z</dcterms:created>
  <dcterms:modified xsi:type="dcterms:W3CDTF">2021-02-23T22:54:00Z</dcterms:modified>
</cp:coreProperties>
</file>